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DDD: entendendo o domínio do problema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DDD em contexto ágil: modelo de domínio, backlog e histórias de usuário</w:t>
      </w:r>
    </w:p>
    <w:p>
      <w:r>
        <w:rPr>
          <w:i/>
          <w:color w:val="666666"/>
          <w:sz w:val="20"/>
        </w:rPr>
        <w:t>Sprint 6 — Integração com o Ecossistema Ágil (19/06/2026) • Como o modelo de domínio guia o backlog</w:t>
      </w:r>
    </w:p>
    <w:p>
      <w:r>
        <w:t>O Domain-Driven Design não substitui o backlog ágil — ele o alimenta. Ao modelar o domínio em Entidades, Value Objects e Agregados, a equipe do Scrunic ganhou um vocabulário preciso que se refletiu diretamente nas histórias de usuário e na priorização do Product Owner. Esta análise detalha, conceito a conceito, como o modelo tático do DDD vira artefato ágil.</w:t>
      </w:r>
    </w:p>
    <w:p/>
    <w:p>
      <w:r>
        <w:rPr>
          <w:b/>
        </w:rPr>
        <w:t>1. Do modelo de domínio ao backlog</w:t>
      </w:r>
    </w:p>
    <w:p>
      <w:r>
        <w:t>Cada Agregado identificado no DDD tende a corresponder a uma área coesa do backlog. No Scrunic, o Agregado "Quadro" (com suas Colunas e Cartões) deu origem a um épico próprio, separado do Agregado "Usuário", que deu origem a outro. Essa separação evitou histórias de usuário que misturassem responsabilidades de módulos diferentes.</w:t>
      </w:r>
    </w:p>
    <w:p/>
    <w:p>
      <w:r>
        <w:rPr>
          <w:b/>
        </w:rPr>
        <w:t>2. Mapeamento entre conceitos de DDD e artefatos ágeis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Conceito DDD</w:t>
            </w:r>
          </w:p>
        </w:tc>
        <w:tc>
          <w:tcPr>
            <w:tcW w:type="dxa" w:w="432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Artefato ágil correspondente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Domínio / Subdomínio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Visão de produto / temas do backlog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Bounded Context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Épico ou módulo do backlog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Linguagem Ubíqua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Vocabulário usado na redação das histórias de usuário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Agregado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Conjunto coeso de histórias de usuário relacionadas</w:t>
            </w:r>
          </w:p>
        </w:tc>
      </w:tr>
      <w:tr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Raiz de Agregação</w:t>
            </w:r>
          </w:p>
        </w:tc>
        <w:tc>
          <w:tcPr>
            <w:tcW w:type="dxa" w:w="432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Critério de aceite que garante a consistência da funcionalidade entregue</w:t>
            </w:r>
          </w:p>
        </w:tc>
      </w:tr>
      <w:tr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Invariante (regra de negócio)</w:t>
            </w:r>
          </w:p>
        </w:tc>
        <w:tc>
          <w:tcPr>
            <w:tcW w:type="dxa" w:w="432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Critério de aceite obrigatório de uma história</w:t>
            </w:r>
          </w:p>
        </w:tc>
      </w:tr>
    </w:tbl>
    <w:p/>
    <w:p>
      <w:r>
        <w:rPr>
          <w:b/>
        </w:rPr>
        <w:t>3. Exemplo de história de usuário guiada pelo domínio</w:t>
      </w:r>
    </w:p>
    <w:p>
      <w:r>
        <w:t>A partir da regra de negócio identificada no domínio — "um Cartão não pode existir sem estar associado a uma Coluna de um Quadro" — a equipe redigiu a história a seguir, com o critério de aceite já derivado diretamente da invariante do domínio.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4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hAnsi="Courier New"/>
                <w:sz w:val="18"/>
              </w:rPr>
              <w:t>História: Como usuário, quero criar um cartão dentro de uma coluna do</w:t>
            </w:r>
            <w:r>
              <w:rPr>
                <w:rFonts w:ascii="Courier New" w:hAnsi="Courier New"/>
                <w:sz w:val="18"/>
              </w:rPr>
              <w:br/>
              <w:t>meu quadro, para que ele apareça imediatamente no fluxo de trabalho</w:t>
            </w:r>
            <w:r>
              <w:rPr>
                <w:rFonts w:ascii="Courier New" w:hAnsi="Courier New"/>
                <w:sz w:val="18"/>
              </w:rPr>
              <w:br/>
              <w:t>do grupo.</w:t>
            </w:r>
            <w:r>
              <w:rPr>
                <w:rFonts w:ascii="Courier New" w:hAnsi="Courier New"/>
                <w:sz w:val="18"/>
              </w:rPr>
              <w:br/>
            </w:r>
            <w:r>
              <w:rPr>
                <w:rFonts w:ascii="Courier New" w:hAnsi="Courier New"/>
                <w:sz w:val="18"/>
              </w:rPr>
              <w:br/>
              <w:t>Critério de aceite (derivado da invariante do domínio):</w:t>
            </w:r>
            <w:r>
              <w:rPr>
                <w:rFonts w:ascii="Courier New" w:hAnsi="Courier New"/>
                <w:sz w:val="18"/>
              </w:rPr>
              <w:br/>
              <w:t xml:space="preserve">  o sistema deve rejeitar a criação de um cartão sem coluna associada.</w:t>
            </w:r>
          </w:p>
        </w:tc>
      </w:tr>
    </w:tbl>
    <w:p/>
    <w:p>
      <w:r>
        <w:rPr>
          <w:b/>
        </w:rPr>
        <w:t>4. Riscos de escrever histórias sem modelo de domínio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Sem modelo de domínio prévio</w:t>
            </w:r>
          </w:p>
        </w:tc>
        <w:tc>
          <w:tcPr>
            <w:tcW w:type="dxa" w:w="2880"/>
            <w:shd w:val="clear" w:color="auto" w:fill="1F5C9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 modelo de domínio (DDD)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Vocabulário do backlog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Termos genéricos, inconsistentes entre histórias.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Linguagem Ubíqua consistente em todo o backlog.</w:t>
            </w:r>
          </w:p>
        </w:tc>
      </w:tr>
      <w:tr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Critérios de aceite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Definidos ad-hoc, podem ignorar regras de negócio.</w:t>
            </w:r>
          </w:p>
        </w:tc>
        <w:tc>
          <w:tcPr>
            <w:tcW w:type="dxa" w:w="2880"/>
            <w:shd w:val="clear" w:color="auto" w:fill="F3F6FB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Derivados diretamente das invariantes do domínio.</w:t>
            </w:r>
          </w:p>
        </w:tc>
      </w:tr>
      <w:tr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b/>
                <w:sz w:val="19"/>
              </w:rPr>
              <w:t>Fronteiras de módulo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Histórias misturam responsabilidades de áreas diferentes.</w:t>
            </w:r>
          </w:p>
        </w:tc>
        <w:tc>
          <w:tcPr>
            <w:tcW w:type="dxa" w:w="28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r>
              <w:rPr>
                <w:sz w:val="19"/>
              </w:rPr>
              <w:t>Cada Agregado delimita um conjunto coeso de histórias.</w:t>
            </w:r>
          </w:p>
        </w:tc>
      </w:tr>
    </w:tbl>
    <w:p/>
    <w:p>
      <w:r>
        <w:rPr>
          <w:b/>
        </w:rPr>
        <w:t>5. Síntese</w:t>
      </w:r>
    </w:p>
    <w:p>
      <w:r>
        <w:t>Modelar o domínio antes de escrever histórias de usuário evitou ambiguidade no backlog do Scrunic: cada história nasceu com um vocabulário já validado e com as regras de negócio (invariantes) já conhecidas, reduzindo retrabalho de refinamento durante o sprint.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Ideia central: </w:t>
            </w:r>
            <w:r>
              <w:t>o DDD não compete com o backlog ágil — ele o alimenta com vocabulário preciso e regras de negócio já mapeadas, reduzindo ambiguidade nas histórias de usuário.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