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25038" w:rsidRDefault="00E25038">
      <w:pPr>
        <w:spacing w:before="60" w:after="60"/>
      </w:pPr>
    </w:p>
    <w:p w14:paraId="00000002" w14:textId="77777777" w:rsidR="00E25038" w:rsidRDefault="00E25038">
      <w:pPr>
        <w:spacing w:before="60" w:after="60"/>
      </w:pPr>
    </w:p>
    <w:p w14:paraId="00000003" w14:textId="77777777" w:rsidR="00E25038" w:rsidRDefault="00E25038">
      <w:pPr>
        <w:spacing w:before="60" w:after="60"/>
      </w:pPr>
    </w:p>
    <w:p w14:paraId="00000004" w14:textId="77777777" w:rsidR="00E25038" w:rsidRDefault="00000000">
      <w:pPr>
        <w:spacing w:before="480" w:after="160"/>
        <w:jc w:val="center"/>
      </w:pPr>
      <w:r>
        <w:rPr>
          <w:color w:val="444444"/>
          <w:sz w:val="28"/>
          <w:szCs w:val="28"/>
        </w:rPr>
        <w:t>Análise e Desenvolvimento de Sistemas</w:t>
      </w:r>
    </w:p>
    <w:p w14:paraId="00000005" w14:textId="77777777" w:rsidR="00E25038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>Gerenciamento Ágil de Projetos</w:t>
      </w:r>
    </w:p>
    <w:p w14:paraId="00000006" w14:textId="77777777" w:rsidR="00E25038" w:rsidRDefault="00000000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r>
        <w:rPr>
          <w:b/>
          <w:bCs/>
          <w:color w:val="2E75B6"/>
          <w:sz w:val="32"/>
          <w:szCs w:val="32"/>
        </w:rPr>
        <w:t>Entrega Final — Documento Consolidado</w:t>
      </w:r>
    </w:p>
    <w:p w14:paraId="00000007" w14:textId="77777777" w:rsidR="00E25038" w:rsidRDefault="00E25038">
      <w:pPr>
        <w:spacing w:before="60" w:after="60"/>
      </w:pPr>
    </w:p>
    <w:p w14:paraId="00000008" w14:textId="77777777" w:rsidR="00E25038" w:rsidRDefault="00E25038">
      <w:pPr>
        <w:spacing w:before="60" w:after="60"/>
      </w:pPr>
    </w:p>
    <w:p w14:paraId="00000009" w14:textId="77777777" w:rsidR="00E25038" w:rsidRDefault="00000000">
      <w:pPr>
        <w:jc w:val="center"/>
      </w:pPr>
      <w:r>
        <w:rPr>
          <w:color w:val="444444"/>
          <w:sz w:val="24"/>
          <w:szCs w:val="24"/>
        </w:rPr>
        <w:t xml:space="preserve">Período: </w:t>
      </w:r>
      <w:r>
        <w:rPr>
          <w:b/>
          <w:bCs/>
          <w:color w:val="444444"/>
          <w:sz w:val="24"/>
          <w:szCs w:val="24"/>
        </w:rPr>
        <w:t>08/05/2026</w:t>
      </w:r>
      <w:r>
        <w:rPr>
          <w:color w:val="444444"/>
          <w:sz w:val="24"/>
          <w:szCs w:val="24"/>
        </w:rPr>
        <w:t xml:space="preserve"> a </w:t>
      </w:r>
      <w:r>
        <w:rPr>
          <w:b/>
          <w:bCs/>
          <w:color w:val="444444"/>
          <w:sz w:val="24"/>
          <w:szCs w:val="24"/>
        </w:rPr>
        <w:t>03/07/2026</w:t>
      </w:r>
    </w:p>
    <w:p w14:paraId="0000000A" w14:textId="77777777" w:rsidR="00E25038" w:rsidRDefault="00000000">
      <w:pPr>
        <w:spacing w:after="160"/>
        <w:jc w:val="center"/>
      </w:pPr>
      <w:r>
        <w:rPr>
          <w:color w:val="444444"/>
        </w:rPr>
        <w:t>Em grupo | Todos os grupos abordam os 5 temas | 8 sprints + entrega final</w:t>
      </w:r>
    </w:p>
    <w:p w14:paraId="0000000B" w14:textId="77777777" w:rsidR="00E25038" w:rsidRDefault="00E25038">
      <w:pPr>
        <w:spacing w:before="60" w:after="60"/>
      </w:pPr>
    </w:p>
    <w:p w14:paraId="00001001" w14:textId="77777777">
      <w:pPr>
        <w:spacing w:before="60" w:after="60"/>
        <w:jc w:val="both"/>
      </w:pPr>
      <w:r>
        <w:t xml:space="preserve"/>
      </w:r>
    </w:p>
    <w:p w14:paraId="00001002" w14:textId="77777777">
      <w:pPr>
        <w:keepNext/>
        <w:spacing w:before="160" w:after="60"/>
        <w:rPr>
          <w:b/>
          <w:bCs/>
        </w:rPr>
      </w:pPr>
      <w:r>
        <w:rPr>
          <w:b/>
          <w:bCs/>
        </w:rPr>
        <w:t/>
      </w:r>
    </w:p>
    <w:p w14:paraId="00001003" w14:textId="77777777">
      <w:pPr>
        <w:spacing w:before="240" w:after="120"/>
        <w:jc w:val="center"/>
      </w:pPr>
      <w:r>
        <w:rPr>
          <w:b/>
          <w:bCs/>
          <w:color w:val="1B2330"/>
          <w:sz w:val="30"/>
          <w:szCs w:val="30"/>
        </w:rPr>
        <w:t>Documento Final Consolidado</w:t>
      </w:r>
    </w:p>
    <w:p w14:paraId="00001004" w14:textId="77777777">
      <w:pPr>
        <w:spacing w:before="0" w:after="240"/>
        <w:jc w:val="center"/>
      </w:pPr>
      <w:r>
        <w:rPr>
          <w:i/>
          <w:iCs/>
          <w:color w:val="6A7585"/>
          <w:sz w:val="22"/>
          <w:szCs w:val="22"/>
        </w:rPr>
        <w:t>Relatório técnico — compilação revisada das entregas das Sprints 1 a 7</w:t>
      </w:r>
    </w:p>
    <w:p w14:paraId="00001005" w14:textId="77777777">
      <w:pPr>
        <w:spacing w:before="120" w:after="40"/>
        <w:jc w:val="center"/>
      </w:pPr>
      <w:r>
        <w:rPr>
          <w:b/>
          <w:bCs/>
          <w:color w:val="1F5C99"/>
        </w:rPr>
        <w:t>Integrantes</w:t>
      </w:r>
    </w:p>
    <w:p w14:paraId="00001006" w14:textId="77777777">
      <w:pPr>
        <w:spacing w:before="20" w:after="20"/>
        <w:jc w:val="center"/>
      </w:pPr>
      <w:r>
        <w:t>Gabriel Henrique</w:t>
      </w:r>
    </w:p>
    <w:p w14:paraId="00001007" w14:textId="77777777">
      <w:pPr>
        <w:spacing w:before="20" w:after="20"/>
        <w:jc w:val="center"/>
      </w:pPr>
      <w:r>
        <w:t>Clara Catarina</w:t>
      </w:r>
    </w:p>
    <w:p w14:paraId="00001008" w14:textId="77777777">
      <w:pPr>
        <w:spacing w:before="20" w:after="20"/>
        <w:jc w:val="center"/>
      </w:pPr>
      <w:r>
        <w:t>Ruan Cabral</w:t>
      </w:r>
    </w:p>
    <w:p w14:paraId="00001009" w14:textId="77777777">
      <w:pPr>
        <w:spacing w:before="20" w:after="20"/>
        <w:jc w:val="center"/>
      </w:pPr>
      <w:r>
        <w:t>Lucas Nunes</w:t>
      </w:r>
    </w:p>
    <w:p w14:paraId="0000100A" w14:textId="77777777">
      <w:pPr>
        <w:spacing w:before="240" w:after="40"/>
        <w:jc w:val="center"/>
      </w:pPr>
      <w:r>
        <w:rPr>
          <w:color w:val="6A7585"/>
          <w:sz w:val="20"/>
          <w:szCs w:val="20"/>
        </w:rPr>
        <w:t>Análise e Desenvolvimento de Sistemas · Gerenciamento Ágil de Projetos</w:t>
      </w:r>
    </w:p>
    <w:p w14:paraId="0000100B" w14:textId="77777777">
      <w:pPr>
        <w:spacing w:before="0" w:after="0"/>
        <w:jc w:val="center"/>
      </w:pPr>
      <w:r>
        <w:rPr>
          <w:color w:val="6A7585"/>
          <w:sz w:val="20"/>
          <w:szCs w:val="20"/>
        </w:rPr>
        <w:t>Rio de Janeiro — 03 de julho de 2026</w:t>
      </w:r>
    </w:p>
    <w:p w14:paraId="0000100C" w14:textId="77777777">
      <w:r>
        <w:br w:type="page"/>
      </w:r>
    </w:p>
    <w:p w14:paraId="0000100D" w14:textId="77777777">
      <w:pPr>
        <w:keepNext/>
        <w:spacing w:before="240" w:after="80"/>
        <w:rPr>
          <w:b/>
          <w:bCs/>
          <w:color w:val="1F5C99"/>
          <w:sz w:val="26"/>
          <w:szCs w:val="26"/>
        </w:rPr>
      </w:pPr>
      <w:r>
        <w:rPr>
          <w:b/>
          <w:bCs/>
          <w:color w:val="1F5C99"/>
          <w:sz w:val="26"/>
          <w:szCs w:val="26"/>
        </w:rPr>
        <w:t>Sumário</w:t>
      </w:r>
    </w:p>
    <w:p w14:paraId="0000100E" w14:textId="77777777">
      <w:pPr>
        <w:tabs>
          <w:tab w:val="right" w:leader="dot" w:pos="9020"/>
        </w:tabs>
        <w:spacing w:before="60" w:after="60"/>
      </w:pPr>
      <w:r>
        <w:rPr>
          <w:b/>
          <w:bCs/>
          <w:color w:val="1F5C99"/>
        </w:rPr>
        <w:t xml:space="preserve">1.  </w:t>
      </w:r>
      <w:r>
        <w:t>Introdução</w:t>
      </w:r>
      <w:r>
        <w:tab/>
      </w:r>
      <w:r>
        <w:rPr>
          <w:color w:val="6A7585"/>
        </w:rPr>
        <w:t>3</w:t>
      </w:r>
    </w:p>
    <w:p w14:paraId="0000100F" w14:textId="77777777">
      <w:pPr>
        <w:tabs>
          <w:tab w:val="right" w:leader="dot" w:pos="9020"/>
        </w:tabs>
        <w:spacing w:before="60" w:after="60"/>
      </w:pPr>
      <w:r>
        <w:rPr>
          <w:b/>
          <w:bCs/>
          <w:color w:val="1F5C99"/>
        </w:rPr>
        <w:t xml:space="preserve">2.  </w:t>
      </w:r>
      <w:r>
        <w:t>Design Thinking aplicado a software</w:t>
      </w:r>
      <w:r>
        <w:tab/>
      </w:r>
      <w:r>
        <w:rPr>
          <w:color w:val="6A7585"/>
        </w:rPr>
        <w:t>3</w:t>
      </w:r>
    </w:p>
    <w:p w14:paraId="00001010" w14:textId="77777777">
      <w:pPr>
        <w:tabs>
          <w:tab w:val="right" w:leader="dot" w:pos="9020"/>
        </w:tabs>
        <w:spacing w:before="60" w:after="60"/>
      </w:pPr>
      <w:r>
        <w:rPr>
          <w:b/>
          <w:bCs/>
          <w:color w:val="1F5C99"/>
        </w:rPr>
        <w:t xml:space="preserve">3.  </w:t>
      </w:r>
      <w:r>
        <w:t>Lean e Agilidade</w:t>
      </w:r>
      <w:r>
        <w:tab/>
      </w:r>
      <w:r>
        <w:rPr>
          <w:color w:val="6A7585"/>
        </w:rPr>
        <w:t>3</w:t>
      </w:r>
    </w:p>
    <w:p w14:paraId="00001011" w14:textId="77777777">
      <w:pPr>
        <w:tabs>
          <w:tab w:val="right" w:leader="dot" w:pos="9020"/>
        </w:tabs>
        <w:spacing w:before="60" w:after="60"/>
      </w:pPr>
      <w:r>
        <w:rPr>
          <w:b/>
          <w:bCs/>
          <w:color w:val="1F5C99"/>
        </w:rPr>
        <w:t xml:space="preserve">4.  </w:t>
      </w:r>
      <w:r>
        <w:t>Kanban: visualizando o trabalho</w:t>
      </w:r>
      <w:r>
        <w:tab/>
      </w:r>
      <w:r>
        <w:rPr>
          <w:color w:val="6A7585"/>
        </w:rPr>
        <w:t>4</w:t>
      </w:r>
    </w:p>
    <w:p w14:paraId="00001012" w14:textId="77777777">
      <w:pPr>
        <w:tabs>
          <w:tab w:val="right" w:leader="dot" w:pos="9020"/>
        </w:tabs>
        <w:spacing w:before="60" w:after="60"/>
      </w:pPr>
      <w:r>
        <w:rPr>
          <w:b/>
          <w:bCs/>
          <w:color w:val="1F5C99"/>
        </w:rPr>
        <w:t xml:space="preserve">5.  </w:t>
      </w:r>
      <w:r>
        <w:t>Extreme Programming (XP)</w:t>
      </w:r>
      <w:r>
        <w:tab/>
      </w:r>
      <w:r>
        <w:rPr>
          <w:color w:val="6A7585"/>
        </w:rPr>
        <w:t>5</w:t>
      </w:r>
    </w:p>
    <w:p w14:paraId="00001013" w14:textId="77777777">
      <w:pPr>
        <w:tabs>
          <w:tab w:val="right" w:leader="dot" w:pos="9020"/>
        </w:tabs>
        <w:spacing w:before="60" w:after="60"/>
      </w:pPr>
      <w:r>
        <w:rPr>
          <w:b/>
          <w:bCs/>
          <w:color w:val="1F5C99"/>
        </w:rPr>
        <w:t xml:space="preserve">6.  </w:t>
      </w:r>
      <w:r>
        <w:t>DDD: entendendo o domínio do problema</w:t>
      </w:r>
      <w:r>
        <w:tab/>
      </w:r>
      <w:r>
        <w:rPr>
          <w:color w:val="6A7585"/>
        </w:rPr>
        <w:t>6</w:t>
      </w:r>
    </w:p>
    <w:p w14:paraId="00001014" w14:textId="77777777">
      <w:pPr>
        <w:tabs>
          <w:tab w:val="right" w:leader="dot" w:pos="9020"/>
        </w:tabs>
        <w:spacing w:before="60" w:after="60"/>
      </w:pPr>
      <w:r>
        <w:rPr>
          <w:b/>
          <w:bCs/>
          <w:color w:val="1F5C99"/>
        </w:rPr>
        <w:t xml:space="preserve">7.  </w:t>
      </w:r>
      <w:r>
        <w:t>Integração entre os temas</w:t>
      </w:r>
      <w:r>
        <w:tab/>
      </w:r>
      <w:r>
        <w:rPr>
          <w:color w:val="6A7585"/>
        </w:rPr>
        <w:t>7</w:t>
      </w:r>
    </w:p>
    <w:p w14:paraId="00001015" w14:textId="77777777">
      <w:pPr>
        <w:tabs>
          <w:tab w:val="right" w:leader="dot" w:pos="9020"/>
        </w:tabs>
        <w:spacing w:before="60" w:after="60"/>
      </w:pPr>
      <w:r>
        <w:rPr>
          <w:b/>
          <w:bCs/>
          <w:color w:val="1F5C99"/>
        </w:rPr>
        <w:t xml:space="preserve">8.  </w:t>
      </w:r>
      <w:r>
        <w:t>Conclusão</w:t>
      </w:r>
      <w:r>
        <w:tab/>
      </w:r>
      <w:r>
        <w:rPr>
          <w:color w:val="6A7585"/>
        </w:rPr>
        <w:t>7</w:t>
      </w:r>
    </w:p>
    <w:p w14:paraId="00001016" w14:textId="77777777">
      <w:pPr>
        <w:tabs>
          <w:tab w:val="right" w:leader="dot" w:pos="9020"/>
        </w:tabs>
        <w:spacing w:before="60" w:after="60"/>
      </w:pPr>
      <w:r>
        <w:rPr>
          <w:b/>
          <w:bCs/>
          <w:color w:val="1F5C99"/>
        </w:rPr>
        <w:t xml:space="preserve">  </w:t>
      </w:r>
      <w:r>
        <w:t>Referências</w:t>
      </w:r>
      <w:r>
        <w:tab/>
      </w:r>
      <w:r>
        <w:rPr>
          <w:color w:val="6A7585"/>
        </w:rPr>
        <w:t>7</w:t>
      </w:r>
    </w:p>
    <w:p w14:paraId="00001017" w14:textId="77777777">
      <w:r>
        <w:br w:type="page"/>
      </w:r>
    </w:p>
    <w:p w14:paraId="00001018" w14:textId="77777777">
      <w:pPr>
        <w:keepNext/>
        <w:spacing w:before="240" w:after="80"/>
        <w:rPr>
          <w:b/>
          <w:bCs/>
          <w:color w:val="1F5C99"/>
          <w:sz w:val="26"/>
          <w:szCs w:val="26"/>
        </w:rPr>
      </w:pPr>
      <w:r>
        <w:rPr>
          <w:b/>
          <w:bCs/>
          <w:color w:val="1F5C99"/>
          <w:sz w:val="26"/>
          <w:szCs w:val="26"/>
        </w:rPr>
        <w:t>1. Introdução</w:t>
      </w:r>
    </w:p>
    <w:p w14:paraId="00001019" w14:textId="77777777">
      <w:pPr>
        <w:spacing w:before="60" w:after="60"/>
        <w:jc w:val="both"/>
      </w:pPr>
      <w:r>
        <w:t>Este relatório consolida as entregas produzidas pelo grupo ao longo das oito sprints da disciplina de Gerenciamento Ágil de Projetos. O trabalho aborda cinco temas centrais do ecossistema ágil — Design Thinking, Lean e Agilidade, Kanban, Extreme Programming (XP) e Domain-Driven Design (DDD) — apresentando, para cada um, seus fundamentos, sua aplicação prática e uma análise crítica.</w:t>
      </w:r>
    </w:p>
    <w:p w14:paraId="0000101A" w14:textId="77777777">
      <w:pPr>
        <w:spacing w:before="60" w:after="60"/>
        <w:jc w:val="both"/>
      </w:pPr>
      <w:r>
        <w:t xml:space="preserve">Como fio condutor, utilizamos o projeto </w:t>
      </w:r>
      <w:r>
        <w:rPr>
          <w:b/>
          <w:bCs/>
        </w:rPr>
        <w:t>Scrunic</w:t>
      </w:r>
      <w:r>
        <w:t>, uma plataforma de gestão de tarefas com quadro Kanban desenvolvida pelo grupo com Node.js e MySQL no back-end e React com TypeScript no front-end. Os conceitos estudados foram aplicados diretamente nesse projeto, o que permitiu observar na prática como as abordagens ágeis se complementam — tema aprofundado na seção de integração.</w:t>
      </w:r>
    </w:p>
    <w:p w14:paraId="0000101B" w14:textId="77777777">
      <w:pPr>
        <w:keepNext/>
        <w:spacing w:before="240" w:after="80"/>
        <w:rPr>
          <w:b/>
          <w:bCs/>
          <w:color w:val="1F5C99"/>
          <w:sz w:val="26"/>
          <w:szCs w:val="26"/>
        </w:rPr>
      </w:pPr>
      <w:r>
        <w:rPr>
          <w:b/>
          <w:bCs/>
          <w:color w:val="1F5C99"/>
          <w:sz w:val="26"/>
          <w:szCs w:val="26"/>
        </w:rPr>
        <w:t>2. Design Thinking aplicado a software</w:t>
      </w:r>
    </w:p>
    <w:p w14:paraId="0000101C" w14:textId="77777777">
      <w:pPr>
        <w:spacing w:before="60" w:after="60"/>
        <w:jc w:val="both"/>
      </w:pPr>
      <w:r>
        <w:t>O Design Thinking é uma abordagem centrada no ser humano para a resolução de problemas. Em vez de partir da solução, parte-se do entendimento profundo de quem usará o produto e de qual dor precisa ser resolvida. No desenvolvimento de software, ele atua principalmente na fase de descoberta, reduzindo o risco de construir um sistema tecnicamente correto, porém inútil para o usuário.</w:t>
      </w:r>
    </w:p>
    <w:p w14:paraId="0000101D" w14:textId="77777777">
      <w:pPr>
        <w:keepNext/>
        <w:spacing w:before="200" w:after="6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2.1 As cinco etapas</w:t>
      </w:r>
    </w:p>
    <w:p w14:paraId="0000101E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Empatia. </w:t>
      </w:r>
      <w:r>
        <w:t>Imersão no contexto do usuário por meio de entrevistas e observação, para compreender necessidades reais e não supostas.</w:t>
      </w:r>
    </w:p>
    <w:p w14:paraId="0000101F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Definição. </w:t>
      </w:r>
      <w:r>
        <w:t>Síntese das descobertas em um enunciado claro do problema a resolver.</w:t>
      </w:r>
    </w:p>
    <w:p w14:paraId="00001020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Ideação. </w:t>
      </w:r>
      <w:r>
        <w:t>Geração ampla de ideias de solução, sem julgamento prévio, seguida de seleção das mais promissoras.</w:t>
      </w:r>
    </w:p>
    <w:p w14:paraId="00001021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Prototipação. </w:t>
      </w:r>
      <w:r>
        <w:t>Construção de versões simples e baratas da solução para materializar as ideias.</w:t>
      </w:r>
    </w:p>
    <w:p w14:paraId="00001022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Teste. </w:t>
      </w:r>
      <w:r>
        <w:t>Validação dos protótipos com usuários reais, gerando aprendizado que realimenta as etapas anteriores.</w:t>
      </w:r>
    </w:p>
    <w:p w14:paraId="00001023" w14:textId="77777777">
      <w:pPr>
        <w:keepNext/>
        <w:spacing w:before="200" w:after="6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2.2 Aplicação no projeto Scrunic</w:t>
      </w:r>
    </w:p>
    <w:p w14:paraId="00001024" w14:textId="77777777">
      <w:pPr>
        <w:spacing w:before="60" w:after="60"/>
        <w:jc w:val="both"/>
      </w:pPr>
      <w:r>
        <w:t>No Scrunic, a etapa de empatia revelou que os usuários sentiam falta, acima de tudo, de enxergar o próprio trabalho: tarefas espalhadas em anotações e mensagens dificultavam saber o que estava em andamento. A definição do problema — “falta de visibilidade do fluxo de trabalho” — direcionou a ideação para soluções visuais, e o protótipo de um quadro estilo Kanban foi o mais bem avaliado nos testes. Essa descoberta definiu a própria natureza do produto e conectou o Design Thinking aos demais temas do trabalho.</w:t>
      </w:r>
    </w:p>
    <w:tbl>
      <w:tblPr>
        <w:tblW w:w="9026" w:type="dxa"/>
        <w:tblBorders>
          <w:top w:val="single" w:sz="2" w:space="0" w:color="D7DEEA"/>
          <w:left w:val="single" w:sz="18" w:space="0" w:color="1F5C99"/>
          <w:bottom w:val="single" w:sz="2" w:space="0" w:color="D7DEEA"/>
          <w:right w:val="single" w:sz="2" w:space="0" w:color="D7DEEA"/>
        </w:tblBorders>
        <w:tblLook w:val="04A0" w:firstRow="1" w:lastRow="0" w:firstColumn="1" w:lastColumn="0" w:noHBand="0" w:noVBand="1"/>
      </w:tblPr>
      <w:tblGrid>
        <w:gridCol w:w="9026"/>
      </w:tblGrid>
      <w:tr w14:paraId="00001025" w14:textId="77777777">
        <w:tc>
          <w:tcPr>
            <w:tcW w:w="9026" w:type="dxa"/>
            <w:shd w:val="clear" w:color="auto" w:fill="EEF3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001026" w14:textId="77777777">
            <w:pPr>
              <w:spacing w:before="20" w:after="20"/>
              <w:jc w:val="both"/>
            </w:pPr>
            <w:r>
              <w:rPr>
                <w:b/>
                <w:bCs/>
              </w:rPr>
              <w:t xml:space="preserve">Síntese crítica: </w:t>
            </w:r>
            <w:r>
              <w:t>o Design Thinking garante que se construa a coisa certa antes de construí-la do jeito certo. Sua limitação é não prescrever como gerenciar a construção em si — papel dos métodos ágeis apresentados a seguir.</w:t>
            </w:r>
          </w:p>
        </w:tc>
      </w:tr>
    </w:tbl>
    <w:p w14:paraId="00001027" w14:textId="77777777">
      <w:pPr>
        <w:spacing w:before="60" w:after="60"/>
      </w:pPr>
    </w:p>
    <w:p w14:paraId="00001028" w14:textId="77777777">
      <w:pPr>
        <w:keepNext/>
        <w:spacing w:before="240" w:after="80"/>
        <w:rPr>
          <w:b/>
          <w:bCs/>
          <w:color w:val="1F5C99"/>
          <w:sz w:val="26"/>
          <w:szCs w:val="26"/>
        </w:rPr>
      </w:pPr>
      <w:r>
        <w:rPr>
          <w:b/>
          <w:bCs/>
          <w:color w:val="1F5C99"/>
          <w:sz w:val="26"/>
          <w:szCs w:val="26"/>
        </w:rPr>
        <w:t>3. Lean e Agilidade</w:t>
      </w:r>
    </w:p>
    <w:p w14:paraId="00001029" w14:textId="77777777">
      <w:pPr>
        <w:spacing w:before="60" w:after="60"/>
        <w:jc w:val="both"/>
      </w:pPr>
      <w:r>
        <w:t>O pensamento Lean nasceu no Sistema Toyota de Produção e foi adaptado ao software por Mary e Tom Poppendieck. Seu objetivo é maximizar o valor entregue ao cliente eliminando desperdícios — tudo aquilo que consome recursos sem agregar valor. A agilidade, formalizada no Manifesto Ágil (2001), materializa esses princípios no dia a dia do desenvolvimento.</w:t>
      </w:r>
    </w:p>
    <w:p w14:paraId="0000102A" w14:textId="77777777">
      <w:pPr>
        <w:keepNext/>
        <w:spacing w:before="200" w:after="6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3.1 Princípios do Lean aplicados ao software</w:t>
      </w:r>
    </w:p>
    <w:p w14:paraId="0000102B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Eliminar desperdício. </w:t>
      </w:r>
      <w:r>
        <w:t>Cortar funcionalidades supérfluas, retrabalho, esperas e burocracia que não agregam valor.</w:t>
      </w:r>
    </w:p>
    <w:p w14:paraId="0000102C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Amplificar o aprendizado. </w:t>
      </w:r>
      <w:r>
        <w:t>Trabalhar em ciclos curtos com feedback constante, tratando o desenvolvimento como processo de descoberta.</w:t>
      </w:r>
    </w:p>
    <w:p w14:paraId="0000102D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Decidir o mais tarde possível. </w:t>
      </w:r>
      <w:r>
        <w:t>Adiar decisões irreversíveis até que haja informação suficiente.</w:t>
      </w:r>
    </w:p>
    <w:p w14:paraId="0000102E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Entregar o mais rápido possível. </w:t>
      </w:r>
      <w:r>
        <w:t>Fluxo contínuo de pequenas entregas, encurtando o tempo entre pedido e valor.</w:t>
      </w:r>
    </w:p>
    <w:p w14:paraId="0000102F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Empoderar a equipe. </w:t>
      </w:r>
      <w:r>
        <w:t>Quem faz o trabalho é quem melhor sabe como fazê-lo; a gestão dá suporte, não microgerencia.</w:t>
      </w:r>
    </w:p>
    <w:p w14:paraId="00001030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Construir com qualidade. </w:t>
      </w:r>
      <w:r>
        <w:t>Qualidade embutida no processo (testes, integração), não inspecionada apenas ao final.</w:t>
      </w:r>
    </w:p>
    <w:p w14:paraId="00001031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Otimizar o todo. </w:t>
      </w:r>
      <w:r>
        <w:t>Olhar para o fluxo de valor completo, e não para a eficiência isolada de cada etapa.</w:t>
      </w:r>
    </w:p>
    <w:p w14:paraId="00001032" w14:textId="77777777">
      <w:pPr>
        <w:keepNext/>
        <w:spacing w:before="200" w:after="6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3.2 Do Lean à agilidade</w:t>
      </w:r>
    </w:p>
    <w:p w14:paraId="00001033" w14:textId="77777777">
      <w:pPr>
        <w:spacing w:before="60" w:after="60"/>
        <w:jc w:val="both"/>
      </w:pPr>
      <w:r>
        <w:t>O Manifesto Ágil traduz o espírito Lean em quatro valores: indivíduos e interações mais que processos e ferramentas; software funcionando mais que documentação abrangente; colaboração com o cliente mais que negociação de contratos; e resposta a mudanças mais que seguir um plano. No Scrunic, esses valores orientaram a decisão de entregar primeiro um produto mínimo viável — login, cadastro e quadro de tarefas — e evoluir a partir do feedback, em vez de tentar construir o sistema completo de uma só vez.</w:t>
      </w:r>
    </w:p>
    <w:tbl>
      <w:tblPr>
        <w:tblW w:w="9026" w:type="dxa"/>
        <w:tblBorders>
          <w:top w:val="single" w:sz="2" w:space="0" w:color="D7DEEA"/>
          <w:left w:val="single" w:sz="18" w:space="0" w:color="1F5C99"/>
          <w:bottom w:val="single" w:sz="2" w:space="0" w:color="D7DEEA"/>
          <w:right w:val="single" w:sz="2" w:space="0" w:color="D7DEEA"/>
        </w:tblBorders>
        <w:tblLook w:val="04A0" w:firstRow="1" w:lastRow="0" w:firstColumn="1" w:lastColumn="0" w:noHBand="0" w:noVBand="1"/>
      </w:tblPr>
      <w:tblGrid>
        <w:gridCol w:w="9026"/>
      </w:tblGrid>
      <w:tr w14:paraId="00001034" w14:textId="77777777">
        <w:tc>
          <w:tcPr>
            <w:tcW w:w="9026" w:type="dxa"/>
            <w:shd w:val="clear" w:color="auto" w:fill="EEF3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001035" w14:textId="77777777">
            <w:pPr>
              <w:spacing w:before="20" w:after="20"/>
              <w:jc w:val="both"/>
            </w:pPr>
            <w:r>
              <w:rPr>
                <w:b/>
                <w:bCs/>
              </w:rPr>
              <w:t xml:space="preserve">Síntese crítica: </w:t>
            </w:r>
            <w:r>
              <w:t>o Lean fornece a filosofia (valor e fluxo) e a agilidade fornece os valores de trabalho; ambos, porém, precisam de métodos concretos para operar — e é aí que entram o Kanban e o XP.</w:t>
            </w:r>
          </w:p>
        </w:tc>
      </w:tr>
    </w:tbl>
    <w:p w14:paraId="00001036" w14:textId="77777777">
      <w:pPr>
        <w:spacing w:before="60" w:after="60"/>
      </w:pPr>
    </w:p>
    <w:p w14:paraId="00001037" w14:textId="77777777">
      <w:pPr>
        <w:keepNext/>
        <w:spacing w:before="240" w:after="80"/>
        <w:rPr>
          <w:b/>
          <w:bCs/>
          <w:color w:val="1F5C99"/>
          <w:sz w:val="26"/>
          <w:szCs w:val="26"/>
        </w:rPr>
      </w:pPr>
      <w:r>
        <w:rPr>
          <w:b/>
          <w:bCs/>
          <w:color w:val="1F5C99"/>
          <w:sz w:val="26"/>
          <w:szCs w:val="26"/>
        </w:rPr>
        <w:t>4. Kanban: visualizando o trabalho</w:t>
      </w:r>
    </w:p>
    <w:p w14:paraId="00001038" w14:textId="77777777">
      <w:pPr>
        <w:keepNext/>
        <w:spacing w:before="200" w:after="6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4.1 Conceitos fundamentais</w:t>
      </w:r>
    </w:p>
    <w:p w14:paraId="00001039" w14:textId="77777777">
      <w:pPr>
        <w:spacing w:before="60" w:after="60"/>
        <w:jc w:val="both"/>
      </w:pPr>
      <w:r>
        <w:rPr>
          <w:b/>
          <w:bCs/>
        </w:rPr>
        <w:t xml:space="preserve">Visualização do trabalho. </w:t>
      </w:r>
      <w:r>
        <w:t>O trabalho do conhecimento muitas vezes é invisível. O Kanban resolve isso transformando cada tarefa em um cartão e o processo em colunas, permitindo que toda a equipe veja imediatamente o que está pendente, em andamento e finalizado, garantindo transparência total sobre o status do projeto.</w:t>
      </w:r>
    </w:p>
    <w:p w14:paraId="0000103A" w14:textId="77777777">
      <w:pPr>
        <w:spacing w:before="60" w:after="60"/>
        <w:jc w:val="both"/>
      </w:pPr>
      <w:r>
        <w:rPr>
          <w:b/>
          <w:bCs/>
        </w:rPr>
        <w:t xml:space="preserve">Limites de WIP (trabalho em progresso). </w:t>
      </w:r>
      <w:r>
        <w:t>É a regra de limitar a quantidade máxima de tarefas simultâneas em cada etapa. Em vez de começar várias coisas e não terminar nenhuma, a equipe foca em concluir o que já começou — o que evita sobrecarga, reduz troca de contexto e ajuda a identificar rapidamente onde o trabalho está travando.</w:t>
      </w:r>
    </w:p>
    <w:p w14:paraId="0000103B" w14:textId="77777777">
      <w:pPr>
        <w:spacing w:before="60" w:after="60"/>
        <w:jc w:val="both"/>
      </w:pPr>
      <w:r>
        <w:rPr>
          <w:b/>
          <w:bCs/>
        </w:rPr>
        <w:t xml:space="preserve">Fluxo. </w:t>
      </w:r>
      <w:r>
        <w:t>Refere-se à movimentação contínua e previsível das tarefas do pedido à entrega. O Kanban utiliza um sistema “puxado”: uma tarefa só avança quando há espaço disponível na próxima etapa, garantindo que ninguém receba mais trabalho do que consegue processar.</w:t>
      </w:r>
    </w:p>
    <w:p w14:paraId="0000103C" w14:textId="77777777">
      <w:pPr>
        <w:keepNext/>
        <w:spacing w:before="200" w:after="6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4.2 Como um quadro Kanban opera na prática</w:t>
      </w:r>
    </w:p>
    <w:p w14:paraId="0000103D" w14:textId="77777777">
      <w:pPr>
        <w:spacing w:before="60" w:after="60"/>
        <w:jc w:val="both"/>
      </w:pPr>
      <w:r>
        <w:t>Tudo começa na fila de espera, onde as demandas são ordenadas por prioridade. Com capacidade livre, a equipe puxa a tarefa mais importante para a execução, ocupando um espaço no limite de WIP daquela etapa. Se uma coluna atinge seu limite, ninguém puxa novas tarefas: o esforço é direcionado a destravar o gargalo. Concluídas as validações, a tarefa é movida para a coluna final, liberando espaço para o fluxo recomeçar. Um quadro bem-sucedido não tem muitos cartões abertos ao mesmo tempo — tem cartões que cruzam o quadro de forma fluida, controlada e sem interrupções.</w:t>
      </w:r>
    </w:p>
    <w:p w14:paraId="0000103E" w14:textId="77777777">
      <w:pPr>
        <w:keepNext/>
        <w:spacing w:before="200" w:after="6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4.3 Simulação de fluxo: sistema de agendamento médico</w:t>
      </w:r>
    </w:p>
    <w:p w14:paraId="0000103F" w14:textId="77777777">
      <w:pPr>
        <w:spacing w:before="60" w:after="60"/>
        <w:jc w:val="both"/>
      </w:pPr>
      <w:r>
        <w:t>Para exercitar o método, simulamos o desenvolvimento de um sistema de agendamento médico online com o seguinte quadro: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6"/>
      </w:tblGrid>
      <w:tr w14:paraId="00001046" w14:textId="77777777">
        <w:trPr>
          <w:tblHeader/>
        </w:trPr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40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Backlog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41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 Fazer (WIP: 5)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42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Em Desenv. (WIP: 3)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43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Revisão (WIP: 2)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44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Testes (WIP: 2)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45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Concluído</w:t>
            </w:r>
          </w:p>
        </w:tc>
      </w:tr>
      <w:tr w14:paraId="0000104D" w14:textId="77777777"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47" w14:textId="77777777">
            <w:pPr/>
            <w:r>
              <w:rPr>
                <w:sz w:val="19"/>
                <w:szCs w:val="19"/>
              </w:rPr>
              <w:t>Integração com WhatsApp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48" w14:textId="77777777">
            <w:pPr/>
            <w:r>
              <w:rPr>
                <w:sz w:val="19"/>
                <w:szCs w:val="19"/>
              </w:rPr>
              <w:t>Tela de login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49" w14:textId="77777777">
            <w:pPr/>
            <w:r>
              <w:rPr>
                <w:sz w:val="19"/>
                <w:szCs w:val="19"/>
              </w:rPr>
              <w:t>API de autenticação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4A" w14:textId="77777777">
            <w:pPr/>
            <w:r>
              <w:rPr>
                <w:sz w:val="19"/>
                <w:szCs w:val="19"/>
              </w:rPr>
              <w:t>Cadastro de consultas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4B" w14:textId="77777777">
            <w:pPr/>
            <w:r>
              <w:rPr>
                <w:sz w:val="19"/>
                <w:szCs w:val="19"/>
              </w:rPr>
              <w:t>Recuperação de senha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4C" w14:textId="77777777">
            <w:pPr/>
            <w:r>
              <w:rPr>
                <w:sz w:val="19"/>
                <w:szCs w:val="19"/>
              </w:rPr>
              <w:t>Banco de dados</w:t>
            </w:r>
          </w:p>
        </w:tc>
      </w:tr>
      <w:tr w14:paraId="00001054" w14:textId="77777777"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4E" w14:textId="77777777">
            <w:pPr/>
            <w:r>
              <w:rPr>
                <w:sz w:val="19"/>
                <w:szCs w:val="19"/>
              </w:rPr>
              <w:t>Relatórios gerenciais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4F" w14:textId="77777777">
            <w:pPr/>
            <w:r>
              <w:rPr>
                <w:sz w:val="19"/>
                <w:szCs w:val="19"/>
              </w:rPr>
              <w:t>Cadastro de pacientes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50" w14:textId="77777777">
            <w:pPr/>
            <w:r>
              <w:rPr>
                <w:sz w:val="19"/>
                <w:szCs w:val="19"/>
              </w:rPr>
              <w:t>Tela de agendamento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51" w14:textId="77777777">
            <w:pPr/>
            <w:r>
              <w:rPr>
                <w:sz w:val="19"/>
                <w:szCs w:val="19"/>
              </w:rPr>
              <w:t>Especialidades médicas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52" w14:textId="77777777">
            <w:pPr/>
            <w:r>
              <w:rPr>
                <w:sz w:val="19"/>
                <w:szCs w:val="19"/>
              </w:rPr>
              <w:t>Autenticação de usuários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53" w14:textId="77777777">
            <w:pPr/>
            <w:r>
              <w:rPr>
                <w:sz w:val="19"/>
                <w:szCs w:val="19"/>
              </w:rPr>
              <w:t>Estrutura inicial</w:t>
            </w:r>
          </w:p>
        </w:tc>
      </w:tr>
      <w:tr w14:paraId="0000105B" w14:textId="77777777"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55" w14:textId="77777777">
            <w:pPr/>
            <w:r>
              <w:rPr>
                <w:sz w:val="19"/>
                <w:szCs w:val="19"/>
              </w:rPr>
              <w:t>Notificações automáticas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56" w14:textId="77777777">
            <w:pPr/>
            <w:r>
              <w:rPr>
                <w:sz w:val="19"/>
                <w:szCs w:val="19"/>
              </w:rPr>
              <w:t>Cadastro de médicos; recuperação de senha; menu principal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57" w14:textId="77777777">
            <w:pPr/>
            <w:r>
              <w:rPr>
                <w:sz w:val="19"/>
                <w:szCs w:val="19"/>
              </w:rPr>
              <w:t>Regras de negócio de consultas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58" w14:textId="77777777">
            <w:pPr/>
            <w:r>
              <w:rPr>
                <w:sz w:val="19"/>
                <w:szCs w:val="19"/>
              </w:rPr>
              <w:t/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59" w14:textId="77777777">
            <w:pPr/>
            <w:r>
              <w:rPr>
                <w:sz w:val="19"/>
                <w:szCs w:val="19"/>
              </w:rPr>
              <w:t/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5A" w14:textId="77777777">
            <w:pPr/>
            <w:r>
              <w:rPr>
                <w:sz w:val="19"/>
                <w:szCs w:val="19"/>
              </w:rPr>
              <w:t/>
            </w:r>
          </w:p>
        </w:tc>
      </w:tr>
    </w:tbl>
    <w:p w14:paraId="0000105C" w14:textId="77777777">
      <w:pPr>
        <w:spacing w:before="60" w:after="60"/>
      </w:pPr>
    </w:p>
    <w:p w14:paraId="0000105D" w14:textId="77777777">
      <w:pPr>
        <w:keepNext/>
        <w:spacing w:before="200" w:after="6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4.4 Análise crítica</w:t>
      </w:r>
    </w:p>
    <w:p w14:paraId="0000105E" w14:textId="77777777">
      <w:pPr>
        <w:spacing w:before="60" w:after="60"/>
        <w:jc w:val="both"/>
      </w:pPr>
      <w:r>
        <w:rPr>
          <w:b/>
          <w:bCs/>
        </w:rPr>
        <w:t xml:space="preserve">Vantagens: </w:t>
      </w:r>
      <w:r>
        <w:t>transparência total do status, redução de sobrecarga pelos limites de WIP, identificação rápida de gargalos, flexibilidade (sem prazos ou papéis fixos) e melhoria contínua guiada por métricas de fluxo (lead time, cycle time e throughput).</w:t>
      </w:r>
    </w:p>
    <w:p w14:paraId="0000105F" w14:textId="77777777">
      <w:pPr>
        <w:spacing w:before="60" w:after="60"/>
        <w:jc w:val="both"/>
      </w:pPr>
      <w:r>
        <w:rPr>
          <w:b/>
          <w:bCs/>
        </w:rPr>
        <w:t xml:space="preserve">Limitações e desafios: </w:t>
      </w:r>
      <w:r>
        <w:t>a ausência de prazos fixos dificulta previsões; a liberdade do método pode virar desorganização em times iniciantes; sem priorização o backlog vira fila infinita; e todo o benefício depende da disciplina de respeitar os limites de WIP e manter o quadro atualizado.</w:t>
      </w:r>
    </w:p>
    <w:tbl>
      <w:tblPr>
        <w:tblW w:w="9026" w:type="dxa"/>
        <w:tblBorders>
          <w:top w:val="single" w:sz="2" w:space="0" w:color="D7DEEA"/>
          <w:left w:val="single" w:sz="18" w:space="0" w:color="1F5C99"/>
          <w:bottom w:val="single" w:sz="2" w:space="0" w:color="D7DEEA"/>
          <w:right w:val="single" w:sz="2" w:space="0" w:color="D7DEEA"/>
        </w:tblBorders>
        <w:tblLook w:val="04A0" w:firstRow="1" w:lastRow="0" w:firstColumn="1" w:lastColumn="0" w:noHBand="0" w:noVBand="1"/>
      </w:tblPr>
      <w:tblGrid>
        <w:gridCol w:w="9026"/>
      </w:tblGrid>
      <w:tr w14:paraId="00001060" w14:textId="77777777">
        <w:tc>
          <w:tcPr>
            <w:tcW w:w="9026" w:type="dxa"/>
            <w:shd w:val="clear" w:color="auto" w:fill="EEF3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001061" w14:textId="77777777">
            <w:pPr>
              <w:spacing w:before="20" w:after="20"/>
              <w:jc w:val="both"/>
            </w:pPr>
            <w:r>
              <w:rPr>
                <w:b/>
                <w:bCs/>
              </w:rPr>
              <w:t xml:space="preserve">Comparação com o Scrum: </w:t>
            </w:r>
            <w:r>
              <w:t>o Kanban trabalha em fluxo contínuo, sem papéis nem cerimônias obrigatórias, e aceita mudanças a qualquer momento; o Scrum trabalha em sprints de tempo fixo, com papéis definidos e escopo protegido durante a iteração. O Kanban rende mais com demanda contínua e imprevisível; o Scrum, com trabalho planejável em ciclos.</w:t>
            </w:r>
          </w:p>
        </w:tc>
      </w:tr>
    </w:tbl>
    <w:p w14:paraId="00001062" w14:textId="77777777">
      <w:pPr>
        <w:spacing w:before="60" w:after="60"/>
      </w:pPr>
    </w:p>
    <w:p w14:paraId="00001063" w14:textId="77777777">
      <w:pPr>
        <w:keepNext/>
        <w:spacing w:before="240" w:after="80"/>
        <w:rPr>
          <w:b/>
          <w:bCs/>
          <w:color w:val="1F5C99"/>
          <w:sz w:val="26"/>
          <w:szCs w:val="26"/>
        </w:rPr>
      </w:pPr>
      <w:r>
        <w:rPr>
          <w:b/>
          <w:bCs/>
          <w:color w:val="1F5C99"/>
          <w:sz w:val="26"/>
          <w:szCs w:val="26"/>
        </w:rPr>
        <w:t>5. Extreme Programming (XP)</w:t>
      </w:r>
    </w:p>
    <w:p w14:paraId="00001064" w14:textId="77777777">
      <w:pPr>
        <w:spacing w:before="60" w:after="60"/>
        <w:jc w:val="both"/>
      </w:pPr>
      <w:r>
        <w:t>O Extreme Programming é uma metodologia ágil focada em melhorar a qualidade do software e facilitar adaptações rápidas às mudanças de requisitos, por meio de valores fundamentais e práticas que incentivam colaboração, simplicidade e entregas contínuas.</w:t>
      </w:r>
    </w:p>
    <w:p w14:paraId="00001065" w14:textId="77777777">
      <w:pPr>
        <w:keepNext/>
        <w:spacing w:before="200" w:after="6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5.1 Valores do XP</w:t>
      </w:r>
    </w:p>
    <w:p w14:paraId="00001066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Comunicação. </w:t>
      </w:r>
      <w:r>
        <w:t>A comunicação constante entre desenvolvedores e clientes evita erros e garante que todos entendam os objetivos do projeto.</w:t>
      </w:r>
    </w:p>
    <w:p w14:paraId="00001067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Simplicidade. </w:t>
      </w:r>
      <w:r>
        <w:t>O desenvolvimento foca apenas no necessário no momento, evitando complexidade desnecessária.</w:t>
      </w:r>
    </w:p>
    <w:p w14:paraId="00001068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Feedback. </w:t>
      </w:r>
      <w:r>
        <w:t>O retorno rápido permite corrigir problemas e melhorar funcionalidades continuamente.</w:t>
      </w:r>
    </w:p>
    <w:p w14:paraId="00001069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Coragem. </w:t>
      </w:r>
      <w:r>
        <w:t>A equipe deve ter coragem para modificar, refatorar e melhorar o código sempre que necessário.</w:t>
      </w:r>
    </w:p>
    <w:p w14:paraId="0000106A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Respeito. </w:t>
      </w:r>
      <w:r>
        <w:t>Todos os membros respeitam as opiniões e contribuições uns dos outros.</w:t>
      </w:r>
    </w:p>
    <w:p w14:paraId="0000106B" w14:textId="77777777">
      <w:pPr>
        <w:keepNext/>
        <w:spacing w:before="200" w:after="6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5.2 Práticas do XP</w:t>
      </w:r>
    </w:p>
    <w:p w14:paraId="0000106C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TDD (Test-Driven Development). </w:t>
      </w:r>
      <w:r>
        <w:t>Os testes são criados antes da implementação do código.</w:t>
      </w:r>
    </w:p>
    <w:p w14:paraId="0000106D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Pair Programming. </w:t>
      </w:r>
      <w:r>
        <w:t>Dois desenvolvedores trabalham juntos no mesmo computador, um programando e outro revisando.</w:t>
      </w:r>
    </w:p>
    <w:p w14:paraId="0000106E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Integração Contínua. </w:t>
      </w:r>
      <w:r>
        <w:t>O código é integrado frequentemente ao projeto principal, com testes automáticos executados constantemente.</w:t>
      </w:r>
    </w:p>
    <w:p w14:paraId="0000106F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Refatoração. </w:t>
      </w:r>
      <w:r>
        <w:t>Melhorar a estrutura do código sem alterar seu funcionamento.</w:t>
      </w:r>
    </w:p>
    <w:p w14:paraId="00001070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Pequenas Releases. </w:t>
      </w:r>
      <w:r>
        <w:t>O sistema é entregue em pequenas versões frequentes para receber feedback rapidamente.</w:t>
      </w:r>
    </w:p>
    <w:p w14:paraId="00001071" w14:textId="77777777">
      <w:pPr>
        <w:keepNext/>
        <w:spacing w:before="200" w:after="6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5.3 Estudo de caso: três práticas XP no Scrunic</w:t>
      </w:r>
    </w:p>
    <w:p w14:paraId="00001072" w14:textId="77777777">
      <w:pPr>
        <w:spacing w:before="60" w:after="60"/>
        <w:jc w:val="both"/>
      </w:pPr>
      <w:r>
        <w:rPr>
          <w:b/>
          <w:bCs/>
        </w:rPr>
        <w:t xml:space="preserve">TDD. </w:t>
      </w:r>
      <w:r>
        <w:t>No módulo de Criação de Tarefas, antes de criar a rota no back-end (Node.js) ou a tabela no MySQL, o desenvolvedor escreveu o teste automatizado deveRejeitarTarefaSemTitulo(). O teste falhou (fase vermelha); escreveu-se então apenas o código de validação necessário para passá-lo (fase verde); por fim, o código foi refatorado mantendo a simplicidade sem quebrar a funcionalidade.</w:t>
      </w:r>
    </w:p>
    <w:p w14:paraId="00001073" w14:textId="77777777">
      <w:pPr>
        <w:spacing w:before="60" w:after="60"/>
        <w:jc w:val="both"/>
      </w:pPr>
      <w:r>
        <w:rPr>
          <w:b/>
          <w:bCs/>
        </w:rPr>
        <w:t xml:space="preserve">Pair Programming. </w:t>
      </w:r>
      <w:r>
        <w:t>O quadro Kanban interativo do front-end exigia lógica complexa de estados no React. Dois programadores compartilharam o mesmo computador: o “piloto” implementou a interface e o arrastar-e-soltar dos cartões, enquanto o “navegador” revisava o TypeScript em tempo real, sugeria melhorias de arquitetura e antecipava problemas — evitando refatorações futuras e acelerando a entrega.</w:t>
      </w:r>
    </w:p>
    <w:p w14:paraId="00001074" w14:textId="77777777">
      <w:pPr>
        <w:spacing w:before="60" w:after="60"/>
        <w:jc w:val="both"/>
      </w:pPr>
      <w:r>
        <w:rPr>
          <w:b/>
          <w:bCs/>
        </w:rPr>
        <w:t xml:space="preserve">Integração Contínua. </w:t>
      </w:r>
      <w:r>
        <w:t>Com vários desenvolvedores atuando nos módulos de login, cadastro e gestão de usuários, a equipe configurou automação no repositório: a cada commit, a aplicação era compilada e toda a suíte de testes do TDD executada. Se algo conflitasse com o banco MySQL ou fizesse um teste falhar, o envio era rejeitado imediatamente, permitindo corrigir o erro na hora.</w:t>
      </w:r>
    </w:p>
    <w:p w14:paraId="00001075" w14:textId="77777777">
      <w:pPr>
        <w:keepNext/>
        <w:spacing w:before="200" w:after="6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5.4 Análise crítica</w:t>
      </w:r>
    </w:p>
    <w:p w14:paraId="00001076" w14:textId="77777777">
      <w:pPr>
        <w:spacing w:before="60" w:after="60"/>
        <w:jc w:val="both"/>
      </w:pPr>
      <w:r>
        <w:rPr>
          <w:b/>
          <w:bCs/>
        </w:rPr>
        <w:t xml:space="preserve">Vantagens: </w:t>
      </w:r>
      <w:r>
        <w:t xml:space="preserve">alta qualidade de código (TDD), detecção precoce de erros (integração contínua), conhecimento compartilhado (pareamento), adaptabilidade a mudanças e feedback rápido via pequenas releases. </w:t>
      </w:r>
      <w:r>
        <w:rPr>
          <w:b/>
          <w:bCs/>
        </w:rPr>
        <w:t xml:space="preserve">Limitações: </w:t>
      </w:r>
      <w:r>
        <w:t>alta exigência de disciplina, custo inicial do pareamento, dependência da participação ativa do cliente e foco quase exclusivo na engenharia, dizendo pouco sobre gestão e priorização.</w:t>
      </w:r>
    </w:p>
    <w:tbl>
      <w:tblPr>
        <w:tblW w:w="9026" w:type="dxa"/>
        <w:tblBorders>
          <w:top w:val="single" w:sz="2" w:space="0" w:color="D7DEEA"/>
          <w:left w:val="single" w:sz="18" w:space="0" w:color="1F5C99"/>
          <w:bottom w:val="single" w:sz="2" w:space="0" w:color="D7DEEA"/>
          <w:right w:val="single" w:sz="2" w:space="0" w:color="D7DEEA"/>
        </w:tblBorders>
        <w:tblLook w:val="04A0" w:firstRow="1" w:lastRow="0" w:firstColumn="1" w:lastColumn="0" w:noHBand="0" w:noVBand="1"/>
      </w:tblPr>
      <w:tblGrid>
        <w:gridCol w:w="9026"/>
      </w:tblGrid>
      <w:tr w14:paraId="00001077" w14:textId="77777777">
        <w:tc>
          <w:tcPr>
            <w:tcW w:w="9026" w:type="dxa"/>
            <w:shd w:val="clear" w:color="auto" w:fill="EEF3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001078" w14:textId="77777777">
            <w:pPr>
              <w:spacing w:before="20" w:after="20"/>
              <w:jc w:val="both"/>
            </w:pPr>
            <w:r>
              <w:rPr>
                <w:b/>
                <w:bCs/>
              </w:rPr>
              <w:t xml:space="preserve">XP + Scrum: </w:t>
            </w:r>
            <w:r>
              <w:t>por atuarem em níveis diferentes — o Scrum na gestão (o quê e quando entregar) e o XP na engenharia (como construir com qualidade) — os dois formam um híbrido natural: o Scrum dá o ritmo com sprints e cerimônias, e o XP garante que cada incremento seja confiável e fácil de evoluir.</w:t>
            </w:r>
          </w:p>
        </w:tc>
      </w:tr>
    </w:tbl>
    <w:p w14:paraId="00001079" w14:textId="77777777">
      <w:pPr>
        <w:spacing w:before="60" w:after="60"/>
      </w:pPr>
    </w:p>
    <w:p w14:paraId="0000107A" w14:textId="77777777">
      <w:pPr>
        <w:keepNext/>
        <w:spacing w:before="240" w:after="80"/>
        <w:rPr>
          <w:b/>
          <w:bCs/>
          <w:color w:val="1F5C99"/>
          <w:sz w:val="26"/>
          <w:szCs w:val="26"/>
        </w:rPr>
      </w:pPr>
      <w:r>
        <w:rPr>
          <w:b/>
          <w:bCs/>
          <w:color w:val="1F5C99"/>
          <w:sz w:val="26"/>
          <w:szCs w:val="26"/>
        </w:rPr>
        <w:t>6. DDD: entendendo o domínio do problema</w:t>
      </w:r>
    </w:p>
    <w:p w14:paraId="0000107B" w14:textId="77777777">
      <w:pPr>
        <w:keepNext/>
        <w:spacing w:before="200" w:after="6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6.1 Conceitos estratégicos</w:t>
      </w:r>
    </w:p>
    <w:p w14:paraId="0000107C" w14:textId="77777777">
      <w:pPr>
        <w:spacing w:before="60" w:after="60"/>
        <w:jc w:val="both"/>
      </w:pPr>
      <w:r>
        <w:rPr>
          <w:b/>
          <w:bCs/>
        </w:rPr>
        <w:t xml:space="preserve">Domínio. </w:t>
      </w:r>
      <w:r>
        <w:t>É a razão de ser do software: a área de negócio, o problema real a resolver. O foco é entender como as regras funcionam no mundo real antes de escrever código. O domínio é dividido em subdomínios (principal, de suporte e genérico) para facilitar o gerenciamento do sistema.</w:t>
      </w:r>
    </w:p>
    <w:p w14:paraId="0000107D" w14:textId="77777777">
      <w:pPr>
        <w:spacing w:before="60" w:after="60"/>
        <w:jc w:val="both"/>
      </w:pPr>
      <w:r>
        <w:rPr>
          <w:b/>
          <w:bCs/>
        </w:rPr>
        <w:t xml:space="preserve">Linguagem Ubíqua. </w:t>
      </w:r>
      <w:r>
        <w:t>É o idioma comum falado por todos os envolvidos, unindo desenvolvedores e especialistas do negócio. Os mesmos termos das reuniões devem aparecer nos diagramas, nas tarefas e, principalmente, no código-fonte (nomes de classes, funções e variáveis), eliminando falhas de comunicação entre negócio e TI.</w:t>
      </w:r>
    </w:p>
    <w:p w14:paraId="0000107E" w14:textId="77777777">
      <w:pPr>
        <w:spacing w:before="60" w:after="60"/>
        <w:jc w:val="both"/>
      </w:pPr>
      <w:r>
        <w:rPr>
          <w:b/>
          <w:bCs/>
        </w:rPr>
        <w:t xml:space="preserve">Contexto Delimitado. </w:t>
      </w:r>
      <w:r>
        <w:t>É a fronteira lógica onde um modelo de domínio e sua Linguagem Ubíqua se aplicam. A palavra “Produto”, por exemplo, em Vendas tem preço, estoque e descrição; em Logística, o mesmo “Produto” vira um item com peso, dimensões e código de rastreio. Delimitar contextos evita modelos gigantescos e confusos.</w:t>
      </w:r>
    </w:p>
    <w:p w14:paraId="0000107F" w14:textId="77777777">
      <w:pPr>
        <w:keepNext/>
        <w:spacing w:before="200" w:after="6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6.2 Padrões táticos: modelando o domínio</w:t>
      </w:r>
    </w:p>
    <w:p w14:paraId="00001080" w14:textId="77777777">
      <w:pPr>
        <w:spacing w:before="60" w:after="60"/>
        <w:jc w:val="both"/>
      </w:pPr>
      <w:r>
        <w:rPr>
          <w:b/>
          <w:bCs/>
        </w:rPr>
        <w:t xml:space="preserve">Entidades. </w:t>
      </w:r>
      <w:r>
        <w:t>Possuem identidade única e ciclo de vida: nascem, são modificadas e podem ser destruídas, mas seu ID permanece. A igualdade entre entidades é determinada pelos IDs, não pelos valores; elas contêm comportamento e garantem que suas propriedades permaneçam válidas após qualquer modificação.</w:t>
      </w:r>
    </w:p>
    <w:p w14:paraId="00001081" w14:textId="77777777">
      <w:pPr>
        <w:spacing w:before="60" w:after="60"/>
        <w:jc w:val="both"/>
      </w:pPr>
      <w:r>
        <w:rPr>
          <w:b/>
          <w:bCs/>
        </w:rPr>
        <w:t xml:space="preserve">Value Objects. </w:t>
      </w:r>
      <w:r>
        <w:t>Não possuem identidade própria: descrevem, quantificam ou qualificam características de uma entidade. Dois VOs com os mesmos valores são idênticos e intercambiáveis. São imutáveis — para alterar, descarta-se o antigo e cria-se um novo — e validam a si mesmos no momento da criação.</w:t>
      </w:r>
    </w:p>
    <w:p w14:paraId="00001082" w14:textId="77777777">
      <w:pPr>
        <w:spacing w:before="60" w:after="60"/>
        <w:jc w:val="both"/>
      </w:pPr>
      <w:r>
        <w:rPr>
          <w:b/>
          <w:bCs/>
        </w:rPr>
        <w:t xml:space="preserve">Agregados e Raízes de Agregação. </w:t>
      </w:r>
      <w:r>
        <w:t>Um agregado é uma fronteira de consistência que agrupa entidades e VOs que precisam mudar juntos. O mundo externo só conversa com a Raiz do Agregado, que coordena as mudanças internas e garante que as regras de negócio (invariantes) se mantenham ao final de cada transação.</w:t>
      </w:r>
    </w:p>
    <w:p w14:paraId="00001083" w14:textId="77777777">
      <w:pPr>
        <w:spacing w:before="60" w:after="60"/>
        <w:jc w:val="both"/>
      </w:pPr>
      <w:r>
        <w:rPr>
          <w:b/>
          <w:bCs/>
        </w:rPr>
        <w:t xml:space="preserve">Repositórios. </w:t>
      </w:r>
      <w:r>
        <w:t>Apenas Raízes de Agregação possuem repositórios. O repositório funciona como uma coleção em memória daquela raiz: carrega o agregado inteiro e o persiste de forma atômica, escondendo do domínio a complexidade de tabelas SQL ou coleções NoSQL.</w:t>
      </w:r>
    </w:p>
    <w:p w14:paraId="00001084" w14:textId="77777777">
      <w:pPr>
        <w:keepNext/>
        <w:spacing w:before="200" w:after="6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6.3 Aplicação no Scrunic</w:t>
      </w:r>
    </w:p>
    <w:p w14:paraId="00001085" w14:textId="77777777">
      <w:pPr>
        <w:spacing w:before="60" w:after="60"/>
        <w:jc w:val="both"/>
      </w:pPr>
      <w:r>
        <w:t>No Scrunic, a Linguagem Ubíqua orientou a nomenclatura de classes e tabelas — Tarefa, Quadro, Coluna, Usuário — espelhando exatamente os termos do negócio. A Tarefa foi modelada como entidade (tem ID e ciclo de vida), enquanto atributos descritivos como prioridade se comportam como objetos de valor. O Quadro atua como raiz de agregação das suas colunas e cartões, com um repositório responsável por carregar e persistir o agregado de forma consistente no MySQL.</w:t>
      </w:r>
    </w:p>
    <w:tbl>
      <w:tblPr>
        <w:tblW w:w="9026" w:type="dxa"/>
        <w:tblBorders>
          <w:top w:val="single" w:sz="2" w:space="0" w:color="D7DEEA"/>
          <w:left w:val="single" w:sz="18" w:space="0" w:color="1F5C99"/>
          <w:bottom w:val="single" w:sz="2" w:space="0" w:color="D7DEEA"/>
          <w:right w:val="single" w:sz="2" w:space="0" w:color="D7DEEA"/>
        </w:tblBorders>
        <w:tblLook w:val="04A0" w:firstRow="1" w:lastRow="0" w:firstColumn="1" w:lastColumn="0" w:noHBand="0" w:noVBand="1"/>
      </w:tblPr>
      <w:tblGrid>
        <w:gridCol w:w="9026"/>
      </w:tblGrid>
      <w:tr w14:paraId="00001086" w14:textId="77777777">
        <w:tc>
          <w:tcPr>
            <w:tcW w:w="9026" w:type="dxa"/>
            <w:shd w:val="clear" w:color="auto" w:fill="EEF3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001087" w14:textId="77777777">
            <w:pPr>
              <w:spacing w:before="20" w:after="20"/>
              <w:jc w:val="both"/>
            </w:pPr>
            <w:r>
              <w:rPr>
                <w:b/>
                <w:bCs/>
              </w:rPr>
              <w:t xml:space="preserve">Síntese crítica: </w:t>
            </w:r>
            <w:r>
              <w:t>o DDD mantém o código alinhado ao negócio e brilha em domínios complexos; seu custo é a curva de aprendizado e a disciplina de modelagem, que podem ser desproporcionais em sistemas muito simples.</w:t>
            </w:r>
          </w:p>
        </w:tc>
      </w:tr>
    </w:tbl>
    <w:p w14:paraId="00001088" w14:textId="77777777">
      <w:pPr>
        <w:spacing w:before="60" w:after="60"/>
      </w:pPr>
    </w:p>
    <w:p w14:paraId="00001089" w14:textId="77777777">
      <w:pPr>
        <w:keepNext/>
        <w:spacing w:before="240" w:after="80"/>
        <w:rPr>
          <w:b/>
          <w:bCs/>
          <w:color w:val="1F5C99"/>
          <w:sz w:val="26"/>
          <w:szCs w:val="26"/>
        </w:rPr>
      </w:pPr>
      <w:r>
        <w:rPr>
          <w:b/>
          <w:bCs/>
          <w:color w:val="1F5C99"/>
          <w:sz w:val="26"/>
          <w:szCs w:val="26"/>
        </w:rPr>
        <w:t>7. Integração entre os temas</w:t>
      </w:r>
    </w:p>
    <w:p w14:paraId="0000108A" w14:textId="77777777">
      <w:pPr>
        <w:spacing w:before="60" w:after="60"/>
        <w:jc w:val="both"/>
      </w:pPr>
      <w:r>
        <w:t>Os cinco temas estudados não competem entre si: atuam em camadas complementares do ciclo de um produto de software, como resume o quadro abaixo.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300"/>
        <w:gridCol w:w="4926"/>
      </w:tblGrid>
      <w:tr w14:paraId="0000108E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8B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8C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Camada de atuação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8D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Contribuição para o produto</w:t>
            </w:r>
          </w:p>
        </w:tc>
      </w:tr>
      <w:tr w14:paraId="0000109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8F" w14:textId="77777777">
            <w:pPr/>
            <w:r>
              <w:rPr>
                <w:b/>
                <w:bCs/>
                <w:sz w:val="19"/>
                <w:szCs w:val="19"/>
              </w:rPr>
              <w:t>Design Thinking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90" w14:textId="77777777">
            <w:pPr/>
            <w:r>
              <w:rPr>
                <w:sz w:val="19"/>
                <w:szCs w:val="19"/>
              </w:rPr>
              <w:t>Descoberta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91" w14:textId="77777777">
            <w:pPr/>
            <w:r>
              <w:rPr>
                <w:sz w:val="19"/>
                <w:szCs w:val="19"/>
              </w:rPr>
              <w:t>Define o problema certo a resolver, a partir das pessoas.</w:t>
            </w:r>
          </w:p>
        </w:tc>
      </w:tr>
      <w:tr w14:paraId="0000109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93" w14:textId="77777777">
            <w:pPr/>
            <w:r>
              <w:rPr>
                <w:b/>
                <w:bCs/>
                <w:sz w:val="19"/>
                <w:szCs w:val="19"/>
              </w:rPr>
              <w:t>Lean e Agilidade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94" w14:textId="77777777">
            <w:pPr/>
            <w:r>
              <w:rPr>
                <w:sz w:val="19"/>
                <w:szCs w:val="19"/>
              </w:rPr>
              <w:t>Filosofia e valores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95" w14:textId="77777777">
            <w:pPr/>
            <w:r>
              <w:rPr>
                <w:sz w:val="19"/>
                <w:szCs w:val="19"/>
              </w:rPr>
              <w:t>Orientam a construção sem desperdício, em ciclos curtos.</w:t>
            </w:r>
          </w:p>
        </w:tc>
      </w:tr>
      <w:tr w14:paraId="0000109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97" w14:textId="77777777">
            <w:pPr/>
            <w:r>
              <w:rPr>
                <w:b/>
                <w:bCs/>
                <w:sz w:val="19"/>
                <w:szCs w:val="19"/>
              </w:rPr>
              <w:t>Kanban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98" w14:textId="77777777">
            <w:pPr/>
            <w:r>
              <w:rPr>
                <w:sz w:val="19"/>
                <w:szCs w:val="19"/>
              </w:rPr>
              <w:t>Gestão do fluxo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99" w14:textId="77777777">
            <w:pPr/>
            <w:r>
              <w:rPr>
                <w:sz w:val="19"/>
                <w:szCs w:val="19"/>
              </w:rPr>
              <w:t>Torna o trabalho visível e controlável (WIP, gargalos).</w:t>
            </w:r>
          </w:p>
        </w:tc>
      </w:tr>
      <w:tr w14:paraId="0000109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9B" w14:textId="77777777">
            <w:pPr/>
            <w:r>
              <w:rPr>
                <w:b/>
                <w:bCs/>
                <w:sz w:val="19"/>
                <w:szCs w:val="19"/>
              </w:rPr>
              <w:t>XP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9C" w14:textId="77777777">
            <w:pPr/>
            <w:r>
              <w:rPr>
                <w:sz w:val="19"/>
                <w:szCs w:val="19"/>
              </w:rPr>
              <w:t>Engenharia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9D" w14:textId="77777777">
            <w:pPr/>
            <w:r>
              <w:rPr>
                <w:sz w:val="19"/>
                <w:szCs w:val="19"/>
              </w:rPr>
              <w:t>Garante a qualidade técnica do código (TDD, par, CI).</w:t>
            </w:r>
          </w:p>
        </w:tc>
      </w:tr>
      <w:tr w14:paraId="000010A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9F" w14:textId="77777777">
            <w:pPr/>
            <w:r>
              <w:rPr>
                <w:b/>
                <w:bCs/>
                <w:sz w:val="19"/>
                <w:szCs w:val="19"/>
              </w:rPr>
              <w:t>DDD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A0" w14:textId="77777777">
            <w:pPr/>
            <w:r>
              <w:rPr>
                <w:sz w:val="19"/>
                <w:szCs w:val="19"/>
              </w:rPr>
              <w:t>Modelagem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A1" w14:textId="77777777">
            <w:pPr/>
            <w:r>
              <w:rPr>
                <w:sz w:val="19"/>
                <w:szCs w:val="19"/>
              </w:rPr>
              <w:t>Mantém o código alinhado ao domínio do negócio.</w:t>
            </w:r>
          </w:p>
        </w:tc>
      </w:tr>
    </w:tbl>
    <w:p w14:paraId="000010A3" w14:textId="77777777">
      <w:pPr>
        <w:spacing w:before="60" w:after="60"/>
      </w:pPr>
    </w:p>
    <w:p w14:paraId="000010A4" w14:textId="77777777">
      <w:pPr>
        <w:spacing w:before="60" w:after="60"/>
        <w:jc w:val="both"/>
      </w:pPr>
      <w:r>
        <w:t xml:space="preserve">Dois exemplos concretos de integração foram explorados no trabalho. O primeiro é o </w:t>
      </w:r>
      <w:r>
        <w:rPr>
          <w:b/>
          <w:bCs/>
        </w:rPr>
        <w:t>Scrumban</w:t>
      </w:r>
      <w:r>
        <w:t xml:space="preserve">, que combina o planejamento e a cadência do Scrum com os limites de WIP e o fluxo contínuo do Kanban, incluindo uma faixa expressa para urgências de produção. O segundo é o híbrido </w:t>
      </w:r>
      <w:r>
        <w:rPr>
          <w:b/>
          <w:bCs/>
        </w:rPr>
        <w:t>XP + Scrum</w:t>
      </w:r>
      <w:r>
        <w:t>, em que o Scrum organiza o trabalho (sprints, papéis, priorização) e o XP cuida da engenharia (TDD, pareamento, integração contínua e refatoração). No Scrunic, todos esses elementos atuaram juntos: o Design Thinking definiu o produto, o Lean orientou o corte de desperdícios, o Kanban organizou o fluxo, o XP garantiu a qualidade do código e o DDD manteve o modelo fiel ao negócio.</w:t>
      </w:r>
    </w:p>
    <w:p w14:paraId="000010A5" w14:textId="77777777">
      <w:pPr>
        <w:keepNext/>
        <w:spacing w:before="240" w:after="80"/>
        <w:rPr>
          <w:b/>
          <w:bCs/>
          <w:color w:val="1F5C99"/>
          <w:sz w:val="26"/>
          <w:szCs w:val="26"/>
        </w:rPr>
      </w:pPr>
      <w:r>
        <w:rPr>
          <w:b/>
          <w:bCs/>
          <w:color w:val="1F5C99"/>
          <w:sz w:val="26"/>
          <w:szCs w:val="26"/>
        </w:rPr>
        <w:t>8. Conclusão</w:t>
      </w:r>
    </w:p>
    <w:p w14:paraId="000010A6" w14:textId="77777777">
      <w:pPr>
        <w:spacing w:before="60" w:after="60"/>
        <w:jc w:val="both"/>
      </w:pPr>
      <w:r>
        <w:t>Ao longo das oito sprints, o grupo percorreu o ecossistema ágil da descoberta à engenharia. A principal lição é que a agilidade não é uma ferramenta única, e sim um conjunto de práticas complementares: Design Thinking, Lean, Kanban, XP e DDD, juntos, formam um caminho completo — do entendimento do problema à construção de um software de qualidade, alinhado ao negócio e preparado para mudanças. A aplicação prática no projeto Scrunic mostrou que essas abordagens rendem mais quando combinadas com critério, respeitando o contexto, a maturidade da equipe e a natureza do trabalho.</w:t>
      </w:r>
    </w:p>
    <w:p w14:paraId="000010A7" w14:textId="77777777">
      <w:pPr>
        <w:keepNext/>
        <w:spacing w:before="240" w:after="80"/>
        <w:rPr>
          <w:b/>
          <w:bCs/>
          <w:color w:val="1F5C99"/>
          <w:sz w:val="26"/>
          <w:szCs w:val="26"/>
        </w:rPr>
      </w:pPr>
      <w:r>
        <w:rPr>
          <w:b/>
          <w:bCs/>
          <w:color w:val="1F5C99"/>
          <w:sz w:val="26"/>
          <w:szCs w:val="26"/>
        </w:rPr>
        <w:t>Referências</w:t>
      </w:r>
    </w:p>
    <w:p w14:paraId="000010A8" w14:textId="77777777">
      <w:pPr>
        <w:spacing w:before="60" w:after="60"/>
        <w:jc w:val="both"/>
      </w:pPr>
      <w:r>
        <w:t>ANDERSON, D. J. Kanban: Mudança Evolucionária de Sucesso para seu Negócio de Tecnologia. Blue Hole Press, 2011.</w:t>
      </w:r>
    </w:p>
    <w:p w14:paraId="000010A9" w14:textId="77777777">
      <w:pPr>
        <w:spacing w:before="60" w:after="60"/>
        <w:jc w:val="both"/>
      </w:pPr>
      <w:r>
        <w:t>BECK, K. Programação Extrema (XP) Explicada: Acolha as Mudanças. 2. ed. Bookman, 2004.</w:t>
      </w:r>
    </w:p>
    <w:p w14:paraId="000010AA" w14:textId="77777777">
      <w:pPr>
        <w:spacing w:before="60" w:after="60"/>
        <w:jc w:val="both"/>
      </w:pPr>
      <w:r>
        <w:t>BECK, K. et al. Manifesto para Desenvolvimento Ágil de Software. 2001. Disponível em: https://agilemanifesto.org/iso/ptbr/manifesto.html.</w:t>
      </w:r>
    </w:p>
    <w:p w14:paraId="000010AB" w14:textId="77777777">
      <w:pPr>
        <w:spacing w:before="60" w:after="60"/>
        <w:jc w:val="both"/>
      </w:pPr>
      <w:r>
        <w:t>BROWN, T. Design Thinking: Uma Metodologia Poderosa para Decretar o Fim das Velhas Ideias. Alta Books, 2017.</w:t>
      </w:r>
    </w:p>
    <w:p w14:paraId="000010AC" w14:textId="77777777">
      <w:pPr>
        <w:spacing w:before="60" w:after="60"/>
        <w:jc w:val="both"/>
      </w:pPr>
      <w:r>
        <w:t>EVANS, E. Domain-Driven Design: Atacando as Complexidades no Coração do Software. Alta Books, 2016.</w:t>
      </w:r>
    </w:p>
    <w:p w14:paraId="000010AD" w14:textId="77777777">
      <w:pPr>
        <w:spacing w:before="60" w:after="60"/>
        <w:jc w:val="both"/>
      </w:pPr>
      <w:r>
        <w:t>POPPENDIECK, M.; POPPENDIECK, T. Lean Software Development: An Agile Toolkit. Addison-Wesley, 2003.</w:t>
      </w:r>
    </w:p>
    <w:p w14:paraId="000010AE" w14:textId="77777777">
      <w:pPr>
        <w:spacing w:before="60" w:after="60"/>
        <w:jc w:val="both"/>
      </w:pPr>
      <w:r>
        <w:t>SCHWABER, K.; SUTHERLAND, J. O Guia do Scrum. 2020. Disponível em: https://scrumguides.org.</w:t>
      </w:r>
    </w:p>
    <w:p w14:paraId="000010AF" w14:textId="77777777">
      <w:pPr>
        <w:spacing w:before="60" w:after="60"/>
        <w:jc w:val="both"/>
      </w:pPr>
      <w:r>
        <w:t>VERNON, V. Implementing Domain-Driven Design. Addison-Wesley, 2013.</w:t>
      </w:r>
    </w:p>
    <w:p w14:paraId="00000010" w14:textId="77777777" w:rsidR="00E25038" w:rsidRDefault="00E25038">
      <w:pPr>
        <w:spacing w:before="60" w:after="60"/>
      </w:pPr>
    </w:p>
    <w:p w14:paraId="00000011" w14:textId="77777777" w:rsidR="00E25038" w:rsidRDefault="00E25038">
      <w:pPr>
        <w:spacing w:before="60" w:after="60"/>
      </w:pPr>
    </w:p>
    <w:p w14:paraId="00000012" w14:textId="77777777" w:rsidR="00E25038" w:rsidRDefault="00E25038">
      <w:pPr>
        <w:spacing w:before="60" w:after="60"/>
      </w:pPr>
    </w:p>
    <w:p w14:paraId="00000013" w14:textId="77777777" w:rsidR="00E25038" w:rsidRDefault="00E25038">
      <w:pPr>
        <w:spacing w:before="60" w:after="60"/>
      </w:pPr>
    </w:p>
    <w:p w14:paraId="00000014" w14:textId="77777777" w:rsidR="00E25038" w:rsidRDefault="00E25038">
      <w:pPr>
        <w:spacing w:before="60" w:after="60"/>
      </w:pPr>
    </w:p>
    <w:p w14:paraId="00000015" w14:textId="77777777" w:rsidR="00E25038" w:rsidRDefault="00E25038">
      <w:pPr>
        <w:spacing w:before="60" w:after="60"/>
      </w:pPr>
    </w:p>
    <w:p w14:paraId="00000016" w14:textId="77777777" w:rsidR="00E25038" w:rsidRDefault="00E25038">
      <w:pPr>
        <w:spacing w:before="60" w:after="60"/>
      </w:pPr>
    </w:p>
    <w:p w14:paraId="00000017" w14:textId="77777777" w:rsidR="00E25038" w:rsidRDefault="00E25038">
      <w:pPr>
        <w:spacing w:before="60" w:after="60"/>
      </w:pPr>
    </w:p>
    <w:p w14:paraId="00000018" w14:textId="77777777" w:rsidR="00E25038" w:rsidRDefault="00E25038">
      <w:pPr>
        <w:spacing w:before="60" w:after="60"/>
      </w:pPr>
    </w:p>
    <w:p w14:paraId="00000019" w14:textId="77777777" w:rsidR="00E25038" w:rsidRDefault="00E25038">
      <w:pPr>
        <w:spacing w:before="60" w:after="60"/>
      </w:pPr>
    </w:p>
    <w:p w14:paraId="0000001A" w14:textId="77777777" w:rsidR="00E25038" w:rsidRDefault="00E25038">
      <w:pPr>
        <w:spacing w:before="60" w:after="60"/>
      </w:pPr>
    </w:p>
    <w:p w14:paraId="0000001B" w14:textId="77777777" w:rsidR="00E25038" w:rsidRDefault="00E25038">
      <w:pPr>
        <w:spacing w:before="60" w:after="60"/>
      </w:pPr>
    </w:p>
    <w:sectPr w:rsidR="00E25038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0540E" w14:textId="77777777" w:rsidR="00A02D16" w:rsidRDefault="00A02D16">
      <w:r>
        <w:separator/>
      </w:r>
    </w:p>
  </w:endnote>
  <w:endnote w:type="continuationSeparator" w:id="0">
    <w:p w14:paraId="281FBD8C" w14:textId="77777777" w:rsidR="00A02D16" w:rsidRDefault="00A02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5B614F6-D3DA-45CC-903D-BE38A1B5D4D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AEF947-0C1C-4CC9-8E9A-742F4DCE6A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41985AE-D2AF-49A1-BDA8-67D25B66E43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D" w14:textId="77777777" w:rsidR="00E25038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>ADS — Gerenciamento Ágil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FFB99" w14:textId="77777777" w:rsidR="00A02D16" w:rsidRDefault="00A02D16">
      <w:r>
        <w:separator/>
      </w:r>
    </w:p>
  </w:footnote>
  <w:footnote w:type="continuationSeparator" w:id="0">
    <w:p w14:paraId="2C96B726" w14:textId="77777777" w:rsidR="00A02D16" w:rsidRDefault="00A02D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C" w14:textId="77777777" w:rsidR="00E25038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>Gerenciamento Ágil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3468C"/>
    <w:multiLevelType w:val="multilevel"/>
    <w:tmpl w:val="7DFA8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0">
    <w:multiLevelType w:val="hybridMultilevel"/>
    <w:lvl w:ilvl="0">
      <w:start w:val="1"/>
      <w:numFmt w:val="bullet"/>
      <w:lvlText w:val=""/>
      <w:lvlJc w:val="left"/>
      <w:pPr>
        <w:ind w:left="600" w:hanging="300"/>
      </w:pPr>
      <w:rPr>
        <w:rFonts w:ascii="Symbol" w:hAnsi="Symbol" w:hint="default"/>
      </w:rPr>
    </w:lvl>
  </w:abstractNum>
  <w:num w:numId="1" w16cid:durableId="208762207">
    <w:abstractNumId w:val="0"/>
  </w:num>
  <w:num w:numId="90">
    <w:abstractNumId w:val="9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038"/>
    <w:rsid w:val="00054ADD"/>
    <w:rsid w:val="003C0DB8"/>
    <w:rsid w:val="0088286C"/>
    <w:rsid w:val="00962FCE"/>
    <w:rsid w:val="00A02D16"/>
    <w:rsid w:val="00A634A1"/>
    <w:rsid w:val="00D92332"/>
    <w:rsid w:val="00E2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8F51E4F-7086-434C-959D-A18413BF8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single" w:sz="6" w:space="1" w:color="2E75B6"/>
        <w:right w:val="nil"/>
        <w:between w:val="nil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7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0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1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7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74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28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48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59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12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31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06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22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199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090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2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830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9291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6099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790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513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95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81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98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430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88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443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905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86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1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075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8794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4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99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72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14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2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6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73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1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378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898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21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48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412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453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468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883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3269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0198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113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42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523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52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537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479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810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475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748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2501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060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6138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746</Words>
  <Characters>4033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ADS 2024.1M</cp:lastModifiedBy>
  <cp:revision>4</cp:revision>
  <dcterms:created xsi:type="dcterms:W3CDTF">2026-05-29T13:48:00Z</dcterms:created>
  <dcterms:modified xsi:type="dcterms:W3CDTF">2026-06-12T14:01:00Z</dcterms:modified>
</cp:coreProperties>
</file>