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Formal Design Proposal for the ENPH 253 Robot Competition</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BF7858">
      <w:pPr>
        <w:jc w:val="cente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Wilhelm Friedrich Gavino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Riley Harney (ID:</w:t>
      </w:r>
      <w:r w:rsidR="00F46091">
        <w:rPr>
          <w:rFonts w:ascii="Times New Roman" w:hAnsi="Times New Roman" w:cs="Times New Roman"/>
          <w:sz w:val="24"/>
          <w:szCs w:val="24"/>
        </w:rPr>
        <w:t xml:space="preserve"> </w:t>
      </w:r>
      <w:r w:rsidR="00F46091">
        <w:rPr>
          <w:rFonts w:ascii="Times New Roman" w:hAnsi="Times New Roman" w:cs="Times New Roman"/>
          <w:sz w:val="24"/>
          <w:szCs w:val="24"/>
        </w:rPr>
        <w:t>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Hardolph Wasteneys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t xml:space="preserve">The purpose of this document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competition will be held on August 13, 2015, which will give the team roughly 2 months by the time this proposal has been written to design and construct the robot. In the event of a milestone that is in danger of not being met all members of the team are to take drastic measures in order to meet this milestone, which will include, but not limited to,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 xml:space="preserve">Due to the nature of each team member’s timetable most courses will be finished around the end of June. This would mean that more time can be allocated in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Materials to be used when constructing the robot will mostly be provided by the ENPH 253 course. The only components not provided by the course that will be implemented onto the design of the robot will be compressed carbon dioxide tanks, fitted for bike tire inflation, which will be used to eject the</w:t>
      </w:r>
      <w:r w:rsidR="001C6D02">
        <w:rPr>
          <w:rFonts w:ascii="Times New Roman" w:hAnsi="Times New Roman" w:cs="Times New Roman"/>
          <w:sz w:val="24"/>
          <w:szCs w:val="24"/>
        </w:rPr>
        <w:t xml:space="preserve"> first basket (details are outlined in the Overview of Basic Strategy section). However, </w:t>
      </w:r>
      <w:r w:rsidR="00622909">
        <w:rPr>
          <w:rFonts w:ascii="Times New Roman" w:hAnsi="Times New Roman" w:cs="Times New Roman"/>
          <w:sz w:val="24"/>
          <w:szCs w:val="24"/>
        </w:rPr>
        <w:t xml:space="preserve">by the time of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id w:val="110969645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ja-JP"/>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4B0271" w:rsidRPr="004B0271" w:rsidRDefault="00D34F34">
          <w:pPr>
            <w:pStyle w:val="TOC1"/>
            <w:rPr>
              <w:rFonts w:ascii="Times New Roman" w:hAnsi="Times New Roman" w:cs="Times New Roman"/>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1448594" w:history="1">
            <w:r w:rsidR="004B0271" w:rsidRPr="004B0271">
              <w:rPr>
                <w:rStyle w:val="Hyperlink"/>
                <w:rFonts w:ascii="Times New Roman" w:hAnsi="Times New Roman" w:cs="Times New Roman"/>
                <w:noProof/>
              </w:rPr>
              <w:t>Preface</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_Toc421448594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3</w:t>
            </w:r>
            <w:r w:rsidR="004B0271"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595" w:history="1">
            <w:r w:rsidRPr="004B0271">
              <w:rPr>
                <w:rStyle w:val="Hyperlink"/>
                <w:rFonts w:ascii="Times New Roman" w:hAnsi="Times New Roman" w:cs="Times New Roman"/>
                <w:noProof/>
              </w:rPr>
              <w:t>Overview of Basic Strategy</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_Toc421448595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4</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596" w:history="1">
            <w:r w:rsidRPr="004B0271">
              <w:rPr>
                <w:rStyle w:val="Hyperlink"/>
                <w:rFonts w:ascii="Times New Roman" w:hAnsi="Times New Roman" w:cs="Times New Roman"/>
                <w:noProof/>
              </w:rPr>
              <w:t>Chassis</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_Toc421448596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5</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597" w:history="1">
            <w:r w:rsidRPr="004B0271">
              <w:rPr>
                <w:rStyle w:val="Hyperlink"/>
                <w:rFonts w:ascii="Times New Roman" w:hAnsi="Times New Roman" w:cs="Times New Roman"/>
                <w:noProof/>
              </w:rPr>
              <w:t>Drive System</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_Toc421448597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6</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598" w:history="1">
            <w:r w:rsidRPr="004B0271">
              <w:rPr>
                <w:rStyle w:val="Hyperlink"/>
                <w:rFonts w:ascii="Times New Roman" w:hAnsi="Times New Roman" w:cs="Times New Roman"/>
                <w:noProof/>
              </w:rPr>
              <w:t>Sensor System and Electrical Design</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_Toc421448598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7</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599" w:history="1">
            <w:r w:rsidRPr="004B0271">
              <w:rPr>
                <w:rStyle w:val="Hyperlink"/>
                <w:rFonts w:ascii="Times New Roman" w:hAnsi="Times New Roman" w:cs="Times New Roman"/>
                <w:noProof/>
              </w:rPr>
              <w:t>Software Code and Algorithms</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_Toc421448599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8</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600" w:history="1">
            <w:r w:rsidRPr="004B0271">
              <w:rPr>
                <w:rStyle w:val="Hyperlink"/>
                <w:rFonts w:ascii="Times New Roman" w:hAnsi="Times New Roman" w:cs="Times New Roman"/>
                <w:noProof/>
              </w:rPr>
              <w:t>Risk Assessment and Contingency Planning</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_Toc421448600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10</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601" w:history="1">
            <w:r w:rsidRPr="004B0271">
              <w:rPr>
                <w:rStyle w:val="Hyperlink"/>
                <w:rFonts w:ascii="Times New Roman" w:hAnsi="Times New Roman" w:cs="Times New Roman"/>
                <w:noProof/>
              </w:rPr>
              <w:t>Major Milestones, Task List, and Team Responsibilities</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_Toc421448601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12</w:t>
            </w:r>
            <w:r w:rsidRPr="004B0271">
              <w:rPr>
                <w:rFonts w:ascii="Times New Roman" w:hAnsi="Times New Roman" w:cs="Times New Roman"/>
                <w:noProof/>
                <w:webHidden/>
              </w:rPr>
              <w:fldChar w:fldCharType="end"/>
            </w:r>
          </w:hyperlink>
        </w:p>
        <w:p w:rsidR="004B0271" w:rsidRPr="004B0271" w:rsidRDefault="004B0271">
          <w:pPr>
            <w:pStyle w:val="TOC1"/>
            <w:rPr>
              <w:rFonts w:ascii="Times New Roman" w:hAnsi="Times New Roman" w:cs="Times New Roman"/>
              <w:noProof/>
              <w:lang w:val="en-SG"/>
            </w:rPr>
          </w:pPr>
          <w:hyperlink w:anchor="_Toc421448602" w:history="1">
            <w:r w:rsidRPr="004B0271">
              <w:rPr>
                <w:rStyle w:val="Hyperlink"/>
                <w:rFonts w:ascii="Times New Roman" w:hAnsi="Times New Roman" w:cs="Times New Roman"/>
                <w:noProof/>
              </w:rPr>
              <w:t>References and Appendices</w:t>
            </w:r>
            <w:r w:rsidRPr="004B0271">
              <w:rPr>
                <w:rFonts w:ascii="Times New Roman" w:hAnsi="Times New Roman" w:cs="Times New Roman"/>
                <w:noProof/>
                <w:webHidden/>
              </w:rPr>
              <w:tab/>
            </w:r>
            <w:r w:rsidRPr="004B0271">
              <w:rPr>
                <w:rFonts w:ascii="Times New Roman" w:hAnsi="Times New Roman" w:cs="Times New Roman"/>
                <w:noProof/>
                <w:webHidden/>
              </w:rPr>
              <w:fldChar w:fldCharType="begin"/>
            </w:r>
            <w:r w:rsidRPr="004B0271">
              <w:rPr>
                <w:rFonts w:ascii="Times New Roman" w:hAnsi="Times New Roman" w:cs="Times New Roman"/>
                <w:noProof/>
                <w:webHidden/>
              </w:rPr>
              <w:instrText xml:space="preserve"> PAGEREF _Toc421448602 \h </w:instrText>
            </w:r>
            <w:r w:rsidRPr="004B0271">
              <w:rPr>
                <w:rFonts w:ascii="Times New Roman" w:hAnsi="Times New Roman" w:cs="Times New Roman"/>
                <w:noProof/>
                <w:webHidden/>
              </w:rPr>
            </w:r>
            <w:r w:rsidRPr="004B0271">
              <w:rPr>
                <w:rFonts w:ascii="Times New Roman" w:hAnsi="Times New Roman" w:cs="Times New Roman"/>
                <w:noProof/>
                <w:webHidden/>
              </w:rPr>
              <w:fldChar w:fldCharType="separate"/>
            </w:r>
            <w:r w:rsidRPr="004B0271">
              <w:rPr>
                <w:rFonts w:ascii="Times New Roman" w:hAnsi="Times New Roman" w:cs="Times New Roman"/>
                <w:noProof/>
                <w:webHidden/>
              </w:rPr>
              <w:t>13</w:t>
            </w:r>
            <w:r w:rsidRPr="004B0271">
              <w:rPr>
                <w:rFonts w:ascii="Times New Roman" w:hAnsi="Times New Roman" w:cs="Times New Roman"/>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bookmarkStart w:id="0" w:name="_GoBack"/>
      <w:bookmarkEnd w:id="0"/>
    </w:p>
    <w:p w:rsidR="000520E8" w:rsidRPr="000520E8" w:rsidRDefault="000520E8" w:rsidP="000520E8">
      <w:pPr>
        <w:pStyle w:val="Heading1"/>
      </w:pPr>
      <w:bookmarkStart w:id="1" w:name="_Toc421448594"/>
      <w:r w:rsidRPr="000520E8">
        <w:lastRenderedPageBreak/>
        <w:t>Preface</w:t>
      </w:r>
      <w:bookmarkEnd w:id="1"/>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2" w:name="_Toc421448595"/>
      <w:r>
        <w:lastRenderedPageBreak/>
        <w:t>Overview of Basic Strategy</w:t>
      </w:r>
      <w:bookmarkEnd w:id="2"/>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will be using a tape following mechanism that utilizes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 Our robot will utilize an arm located directly above the optosensors in order to retrieve the pet. The arm is equipped with a permanent magnet, which will be used to connect to the pet’s magnet on its head. </w:t>
      </w:r>
      <w:r w:rsidR="002224BA">
        <w:rPr>
          <w:rFonts w:ascii="Times New Roman" w:hAnsi="Times New Roman" w:cs="Times New Roman"/>
          <w:sz w:val="24"/>
          <w:szCs w:val="24"/>
        </w:rPr>
        <w:t xml:space="preserve">A switch in the arm next to the magnet will tell the robot to raise the arm and </w:t>
      </w:r>
      <w:r>
        <w:rPr>
          <w:rFonts w:ascii="Times New Roman" w:hAnsi="Times New Roman" w:cs="Times New Roman"/>
          <w:sz w:val="24"/>
          <w:szCs w:val="24"/>
        </w:rPr>
        <w:t xml:space="preserve">release the pet onto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The basket itself is designed as two separate parts, essentially two baskets on top of one another. The first basket will be designed to carry the first three pets. After climbing the ramp, the robot will proceed to eject the first basket carrying the first three pets towards the start/rescue area, which is located next to the top of the ramp and a level below.</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changing</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133AF2">
        <w:rPr>
          <w:rFonts w:ascii="Times New Roman" w:hAnsi="Times New Roman" w:cs="Times New Roman"/>
          <w:sz w:val="24"/>
          <w:szCs w:val="24"/>
        </w:rPr>
        <w:t>After locating the tape marking for the fifth pet, located in the rafters, the arm will extend upwards and grab the pet using the magnet. This is similar to the first three pets to the side on the ground, the only difference in operation being that the pet is located at a higher location.</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utilize a QSD124 phototransistor in order to detect the IR rescue beacon in order to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 locate the pet in the rubble.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The robot will proceed towards the rescue beacon where the zipline is located. The second basket will be raised and will grab the zipline, separating it from the robot. The basket will travel down the zipline, 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0520E8">
      <w:pPr>
        <w:pStyle w:val="Heading1"/>
      </w:pPr>
      <w:bookmarkStart w:id="3" w:name="_Toc421448596"/>
      <w:r>
        <w:lastRenderedPageBreak/>
        <w:t>Chassis</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4" w:name="_Toc421448597"/>
      <w:r>
        <w:lastRenderedPageBreak/>
        <w:t>Drive System</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5" w:name="_Toc421448598"/>
      <w:r>
        <w:lastRenderedPageBreak/>
        <w:t>Sensor System</w:t>
      </w:r>
      <w:r w:rsidR="004B0271">
        <w:t xml:space="preserve"> and Electrical Design</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6" w:name="_Toc421448599"/>
      <w:r>
        <w:lastRenderedPageBreak/>
        <w:t>Software Code and Algorithms</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7" w:name="_Toc421448600"/>
      <w:r>
        <w:lastRenderedPageBreak/>
        <w:t>Risk Assessment and Contingency Planning</w:t>
      </w:r>
      <w:bookmarkEnd w:id="7"/>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8" w:name="_Toc421448601"/>
      <w:r>
        <w:lastRenderedPageBreak/>
        <w:t>Major Milestones, Task List, and Team Responsibilities</w:t>
      </w:r>
      <w:bookmarkEnd w:id="8"/>
    </w:p>
    <w:p w:rsidR="000C014D" w:rsidRDefault="000C014D" w:rsidP="000C014D">
      <w:pPr>
        <w:ind w:firstLine="720"/>
        <w:rPr>
          <w:rFonts w:ascii="Times New Roman" w:hAnsi="Times New Roman" w:cs="Times New Roman"/>
          <w:sz w:val="24"/>
          <w:szCs w:val="24"/>
        </w:rPr>
      </w:pPr>
      <w:r>
        <w:rPr>
          <w:rFonts w:ascii="Times New Roman" w:hAnsi="Times New Roman" w:cs="Times New Roman"/>
          <w:sz w:val="24"/>
          <w:szCs w:val="24"/>
        </w:rPr>
        <w:t xml:space="preserve">Some major milestones include, but not limited to: chassis design and construction, driver system and construction, sensor system design and construction, robotic arm design and construction, code completion and implementation, system testing, assembly, and overall quality assurance/testing and possible redesigning for improved efficiency. </w:t>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0520E8" w:rsidP="000520E8">
      <w:pPr>
        <w:pStyle w:val="Heading1"/>
      </w:pPr>
      <w:bookmarkStart w:id="9" w:name="_Toc421448602"/>
      <w:r>
        <w:lastRenderedPageBreak/>
        <w:t>References and Appendices</w:t>
      </w:r>
      <w:bookmarkEnd w:id="9"/>
    </w:p>
    <w:sectPr w:rsidR="000520E8" w:rsidRPr="000520E8" w:rsidSect="000520E8">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9A0" w:rsidRDefault="00E239A0" w:rsidP="00D34F34">
      <w:pPr>
        <w:spacing w:after="0" w:line="240" w:lineRule="auto"/>
      </w:pPr>
      <w:r>
        <w:separator/>
      </w:r>
    </w:p>
  </w:endnote>
  <w:endnote w:type="continuationSeparator" w:id="0">
    <w:p w:rsidR="00E239A0" w:rsidRDefault="00E239A0"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4B0271">
          <w:rPr>
            <w:noProof/>
          </w:rPr>
          <w:t>13</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9A0" w:rsidRDefault="00E239A0" w:rsidP="00D34F34">
      <w:pPr>
        <w:spacing w:after="0" w:line="240" w:lineRule="auto"/>
      </w:pPr>
      <w:r>
        <w:separator/>
      </w:r>
    </w:p>
  </w:footnote>
  <w:footnote w:type="continuationSeparator" w:id="0">
    <w:p w:rsidR="00E239A0" w:rsidRDefault="00E239A0" w:rsidP="00D34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520E8"/>
    <w:rsid w:val="00070932"/>
    <w:rsid w:val="000C014D"/>
    <w:rsid w:val="00133AF2"/>
    <w:rsid w:val="001654C8"/>
    <w:rsid w:val="001C6D02"/>
    <w:rsid w:val="002224BA"/>
    <w:rsid w:val="00360464"/>
    <w:rsid w:val="003B3388"/>
    <w:rsid w:val="004B0271"/>
    <w:rsid w:val="004E66E0"/>
    <w:rsid w:val="00597C0A"/>
    <w:rsid w:val="00622909"/>
    <w:rsid w:val="00813818"/>
    <w:rsid w:val="00A749DE"/>
    <w:rsid w:val="00A95F90"/>
    <w:rsid w:val="00AD3682"/>
    <w:rsid w:val="00BF7858"/>
    <w:rsid w:val="00D34F34"/>
    <w:rsid w:val="00D85120"/>
    <w:rsid w:val="00DD0B45"/>
    <w:rsid w:val="00E239A0"/>
    <w:rsid w:val="00F46091"/>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11CEB-3E28-46D2-A0DF-1B319B902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14</cp:revision>
  <dcterms:created xsi:type="dcterms:W3CDTF">2015-06-07T17:43:00Z</dcterms:created>
  <dcterms:modified xsi:type="dcterms:W3CDTF">2015-06-07T20:54:00Z</dcterms:modified>
</cp:coreProperties>
</file>