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Correction strength, not the estimator, sets the sign of the change.</w:t>
      </w:r>
    </w:p>
    <w:p>
      <w:pPr>
        <w:pStyle w:val="ListBullet"/>
      </w:pPr>
      <w:r>
        <w:t>Grasp-and-lift loses 0.108 at full strength; SEED gains 0.214; every subject agrees.</w:t>
      </w:r>
    </w:p>
    <w:p>
      <w:pPr>
        <w:pStyle w:val="ListBullet"/>
      </w:pPr>
      <w:r>
        <w:t>Excess temporal trend tracks the loss across the twelve grasp-and-lift subjects.</w:t>
      </w:r>
    </w:p>
    <w:p>
      <w:pPr>
        <w:pStyle w:val="ListBullet"/>
      </w:pPr>
      <w:r>
        <w:t>Controlled regimes separate offset, drift, steps and class-prior change.</w:t>
      </w:r>
    </w:p>
    <w:p>
      <w:pPr>
        <w:pStyle w:val="ListBullet"/>
      </w:pPr>
      <w:r>
        <w:t>No estimator in the comparison dominates across regimes.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