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Causal mean correction in cross-session EEG decoding: when it helps, when it hurts, and a gate that decides</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Removing a session mean is the first step of almost every cross-session EEG pipeline, and in deployment the mean has to be estimated from the trials that have already arrived. We compare four causal estimators of that mean and then ask whether the pipeline can decide, without target labels, how much to correct. Two gates built on amplitude fail. Matching the corrected score margins to the source session selects no correction almost everywhere; a variance ratio that measures block-to-block drift sets the weight to zero exactly where correction is worth 0.22. A third gate, built on direction, works. For each block we compute the displacement that would bring its mean back to the source mean, in the score space of the classifier, and take the mean cosine between those displacements and their own mean, κ; the weight is λ = clip((κ − 0.5)/0.5, 0, 1), so chance-level agreement means no correction and agreement means full correction. On 845 cells from five datasets the gate is positive on four and an exact tie on the fifth: +0.013, +0.036, +0.188 and +0.000 against no correction — where the plain cumulative mean loses 0.115 on grasp-and-lift — and on 90 held-out cells from SEED-IV it gives +0.178 [+0.134, +0.225] against +0.164 for the shrunk estimator and +0.189 for the transductive correction. The gate gives up between 0.01 and 0.04 of the gain on the stable sessions and removes the loss on the drifting one.</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compares the estimators a deployment can actually build from that choice, measures what the inconsistent variant costs, and reports where each estimator holds and where it fails.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2.3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study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inspected three released framework components (Section 4.11) and all three take their reference from the training fold or from a causal running mean, so none of them can exhibit the failure; we put no number on the frequency of the mistake in custom code, and the paper is written as an invariance verification rather than as a prevalence study.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The operation is in current use.</w:t>
      </w:r>
      <w:r>
        <w:rPr>
          <w:rFonts w:ascii="Times New Roman" w:hAnsi="Times New Roman" w:eastAsia="Times New Roman" w:cs="Times New Roman"/>
          <w:b w:val="0"/>
          <w:i w:val="0"/>
          <w:sz w:val="24"/>
        </w:rPr>
        <w:t xml:space="preserve"> A recent controlled benchmark makes the question concrete rather than academic: Rahimipour and Van Hulle [20] compare a tangent-space pipeline with unsupervised test-time recentering against deep sequence models on eight public motor-imagery datasets and conclude that the recentering, not the architecture, carries the cross-session advantage — the pipeline beats its recentering-free twin only across sessions, and is indistinguishable from it within a session. Their recentering is computed at test time, i.e. transductively, and it acts in the tangent space of the SPD manifold rather than on a Euclidean feature mean; the two operations share the word but not the object, and what we analyse here is the Euclidean one. That is also the operation a deployment can compute from a stream of feature vectors, which is why the causal question in Section 4.2 is worth asking of it. If the correction is the operative ingredient, then which correction it is, and whether it survives being computed online, are the questions worth answering.</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N × K matrix whose rows are the score vectors of N samples, and P = I_K − 11'/K the K × K projector that removes the class mean from a K-vector. The centred scores are therefore S P, an N × K matrix, and σ_k is the standard deviation of its k-th column.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belongs to the class of linear models whose intercept is unpenalised and whose fitting objective is invariant to a common translation of the inputs — LDA with a pooled or shrunk covariance, logistic regression with an unpenalised intercept, and a linear support-vector machine with an unpenalised intercept all qualify; a model whose intercept is penalised, or whose regulariser acts on the intercept, does not.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by the assumption on the objective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Let c ∈ R</w:t>
      </w:r>
      <w:r>
        <w:rPr>
          <w:rFonts w:ascii="Times New Roman" w:hAnsi="Times New Roman" w:eastAsia="Times New Roman" w:cs="Times New Roman"/>
          <w:b w:val="0"/>
          <w:i w:val="0"/>
          <w:sz w:val="24"/>
          <w:vertAlign w:val="superscript"/>
        </w:rPr>
        <w:t>D and let γ : R</w:t>
      </w:r>
      <w:r>
        <w:rPr>
          <w:rFonts w:ascii="Times New Roman" w:hAnsi="Times New Roman" w:eastAsia="Times New Roman" w:cs="Times New Roman"/>
          <w:b w:val="0"/>
          <w:i w:val="0"/>
          <w:sz w:val="24"/>
        </w:rPr>
        <w:t>{N×D} → R</w:t>
      </w:r>
      <w:r>
        <w:rPr>
          <w:rFonts w:ascii="Times New Roman" w:hAnsi="Times New Roman" w:eastAsia="Times New Roman" w:cs="Times New Roman"/>
          <w:b w:val="0"/>
          <w:i w:val="0"/>
          <w:sz w:val="24"/>
          <w:vertAlign w:val="superscript"/>
        </w:rPr>
        <w:t>D. A correction x ↦ x − γ(X) is equivariant, i.e. γ(X + 1c') = γ(X) + c for every c ∈ R</w:t>
      </w:r>
      <w:r>
        <w:rPr>
          <w:rFonts w:ascii="Times New Roman" w:hAnsi="Times New Roman" w:eastAsia="Times New Roman" w:cs="Times New Roman"/>
          <w:b w:val="0"/>
          <w:i w:val="0"/>
          <w:sz w:val="24"/>
        </w:rPr>
        <w:t>D, if and only if γ(X) = μ(X) + h(X − 1μ(X)') for some h : R</w:t>
      </w:r>
      <w:r>
        <w:rPr>
          <w:rFonts w:ascii="Times New Roman" w:hAnsi="Times New Roman" w:eastAsia="Times New Roman" w:cs="Times New Roman"/>
          <w:b w:val="0"/>
          <w:i w:val="0"/>
          <w:sz w:val="24"/>
          <w:vertAlign w:val="superscript"/>
        </w:rPr>
        <w:t>{N×D} → R</w:t>
      </w:r>
      <w:r>
        <w:rPr>
          <w:rFonts w:ascii="Times New Roman" w:hAnsi="Times New Roman" w:eastAsia="Times New Roman" w:cs="Times New Roman"/>
          <w:b w:val="0"/>
          <w:i w:val="0"/>
          <w:sz w:val="24"/>
        </w:rPr>
        <w:t>D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Per-class, cross-sample rankings of the raw scores and of pairwise margins are therefore unchanged, and so is a macro-averaged one-versus-rest AUC computed from those scores, since each class score is shifted by the same constant. A measure computed from softmax probabilities is not covered: the per-class constants change the normalisation even though every margin is fixed.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SD[(S P)_{:,k}]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S P,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S P both numerator and scale are invariant, because P(W + 1a') = PW and (S + 1a'x) P = S P;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of the finite target set X_B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X_B}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in X_B. The maximum is taken over the finite target set, not over R</w:t>
      </w:r>
      <w:r>
        <w:rPr>
          <w:rFonts w:ascii="Times New Roman" w:hAnsi="Times New Roman" w:eastAsia="Times New Roman" w:cs="Times New Roman"/>
          <w:b w:val="0"/>
          <w:i w:val="0"/>
          <w:sz w:val="24"/>
          <w:vertAlign w:val="superscript"/>
        </w:rPr>
        <w:t>D; over R</w:t>
      </w:r>
      <w:r>
        <w:rPr>
          <w:rFonts w:ascii="Times New Roman" w:hAnsi="Times New Roman" w:eastAsia="Times New Roman" w:cs="Times New Roman"/>
          <w:b w:val="0"/>
          <w:i w:val="0"/>
          <w:sz w:val="24"/>
        </w:rPr>
        <w:t>D it need not be bounded when the two weight vectors differ.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SEED and SEED-IV are distributed as separate cohorts; the releases we used share no subject identifiers, and we treat them as different subjects while noting that we cannot verify that no individual took part in both.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Which tests are primary.</w:t>
      </w:r>
      <w:r>
        <w:rPr>
          <w:rFonts w:ascii="Times New Roman" w:hAnsi="Times New Roman" w:eastAsia="Times New Roman" w:cs="Times New Roman"/>
          <w:b w:val="0"/>
          <w:i w:val="0"/>
          <w:sz w:val="24"/>
        </w:rPr>
        <w:t xml:space="preserve"> Five tests are confirmatory: the subject-level Wilcoxon signed-rank test of 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run separately per dataset, with Holm control across the five. After Holm the p-values are 3.05 × 10⁻⁴ (SEED), 0.016 (BCI-2a), 0.016 (BCI-2b), 0.104 (grasp-and-lift) and 0.320 (NER2015), so the gain is established on three datasets, not on five; grasp-and-lift's raw p of 0.052 becomes 0.104 and its median gain of 0.003 is not claimed as an improvement. Everything else — the classifier family comparison, the calibration differences, the unit-level correlations and the operating points — is exploratory, and we report it without a multiplicity correction and say so. Because the cells are very unevenly distributed across datasets (NER2015 and grasp-and-lift contribute 656 of 845), the pooled cell mean is dominated by those two datasets; the per-dataset numbers are the ones to read, and the equal-weight mean of the five per-dataset gains is 0.067 against the cell-weighted 0.022.</w:t>
      </w:r>
    </w:p>
    <w:p>
      <w:pPr>
        <w:spacing w:before="0" w:after="0" w:line="480" w:lineRule="auto"/>
        <w:ind w:firstLine="0" w:left="0"/>
        <w:jc w:val="left"/>
      </w:pPr>
      <w:r>
        <w:rPr>
          <w:rFonts w:ascii="Times New Roman" w:hAnsi="Times New Roman" w:eastAsia="Times New Roman" w:cs="Times New Roman"/>
          <w:b/>
          <w:i w:val="0"/>
          <w:sz w:val="24"/>
        </w:rPr>
        <w:t>Preprocessing detail.</w:t>
      </w:r>
      <w:r>
        <w:rPr>
          <w:rFonts w:ascii="Times New Roman" w:hAnsi="Times New Roman" w:eastAsia="Times New Roman" w:cs="Times New Roman"/>
          <w:b w:val="0"/>
          <w:i w:val="0"/>
          <w:sz w:val="24"/>
        </w:rPr>
        <w:t xml:space="preserve"> The 2a/2b features use a fourth-order Butterworth band-pass at 8–30 Hz applied to the continuous signal, epochs from 2.0 s to 6.0 s after cue onset, and a per-trial log-variance in each of the four bands for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uses four filters per class fitted on the training session;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maps the session covariance to the tangent space at the identity of the training session;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divides by the session covariance before the log. SEED and SEED-IV use the distributed differential-entropy features unmodified (five bands). NER2015 and grasp-and-lift use the mean and the log power over eight windows respectively. Classifiers use scikit-learn defaults except where stated: LDA with </w:t>
      </w:r>
      <w:r>
        <w:rPr>
          <w:rFonts w:ascii="Courier New" w:hAnsi="Courier New" w:eastAsia="Courier New" w:cs="Courier New"/>
          <w:b w:val="0"/>
          <w:i w:val="0"/>
          <w:sz w:val="24"/>
        </w:rPr>
        <w:t>solver='lsqr'</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shrinkage='auto'</w:t>
      </w:r>
      <w:r>
        <w:rPr>
          <w:rFonts w:ascii="Times New Roman" w:hAnsi="Times New Roman" w:eastAsia="Times New Roman" w:cs="Times New Roman"/>
          <w:b w:val="0"/>
          <w:i w:val="0"/>
          <w:sz w:val="24"/>
        </w:rPr>
        <w:t xml:space="preserve"> (the </w:t>
      </w:r>
      <w:r>
        <w:rPr>
          <w:rFonts w:ascii="Courier New" w:hAnsi="Courier New" w:eastAsia="Courier New" w:cs="Courier New"/>
          <w:b w:val="0"/>
          <w:i w:val="0"/>
          <w:sz w:val="24"/>
        </w:rPr>
        <w:t>svd</w:t>
      </w:r>
      <w:r>
        <w:rPr>
          <w:rFonts w:ascii="Times New Roman" w:hAnsi="Times New Roman" w:eastAsia="Times New Roman" w:cs="Times New Roman"/>
          <w:b w:val="0"/>
          <w:i w:val="0"/>
          <w:sz w:val="24"/>
        </w:rPr>
        <w:t xml:space="preserve"> solver does not support shrinkage), logistic regression with C = 1 and the lbfgs solver, linear SVM with C = 0.01 and </w:t>
      </w:r>
      <w:r>
        <w:rPr>
          <w:rFonts w:ascii="Courier New" w:hAnsi="Courier New" w:eastAsia="Courier New" w:cs="Courier New"/>
          <w:b w:val="0"/>
          <w:i w:val="0"/>
          <w:sz w:val="24"/>
        </w:rPr>
        <w:t>dual=False</w:t>
      </w:r>
      <w:r>
        <w:rPr>
          <w:rFonts w:ascii="Times New Roman" w:hAnsi="Times New Roman" w:eastAsia="Times New Roman" w:cs="Times New Roman"/>
          <w:b w:val="0"/>
          <w:i w:val="0"/>
          <w:sz w:val="24"/>
        </w:rPr>
        <w:t xml:space="preserve">, all with a fixed random state of 0; numpy 1.21, scipy 1.7, scikit-learn 1.0. A minimal reproduction of Table 3 from the cached features is </w:t>
      </w:r>
      <w:r>
        <w:rPr>
          <w:rFonts w:ascii="Courier New" w:hAnsi="Courier New" w:eastAsia="Courier New" w:cs="Courier New"/>
          <w:b w:val="0"/>
          <w:i w:val="0"/>
          <w:sz w:val="24"/>
        </w:rPr>
        <w:t>python src/pv8_final.py 1,2</w:t>
      </w:r>
      <w:r>
        <w:rPr>
          <w:rFonts w:ascii="Times New Roman" w:hAnsi="Times New Roman" w:eastAsia="Times New Roman" w:cs="Times New Roman"/>
          <w:b w:val="0"/>
          <w:i w:val="0"/>
          <w:sz w:val="24"/>
        </w:rPr>
        <w:t xml:space="preserve"> followed by </w:t>
      </w:r>
      <w:r>
        <w:rPr>
          <w:rFonts w:ascii="Courier New" w:hAnsi="Courier New" w:eastAsia="Courier New" w:cs="Courier New"/>
          <w:b w:val="0"/>
          <w:i w:val="0"/>
          <w:sz w:val="24"/>
        </w:rPr>
        <w:t>python src/pv8_figs.py</w:t>
      </w:r>
      <w:r>
        <w:rPr>
          <w:rFonts w:ascii="Times New Roman" w:hAnsi="Times New Roman" w:eastAsia="Times New Roman" w:cs="Times New Roman"/>
          <w:b w:val="0"/>
          <w:i w:val="0"/>
          <w:sz w:val="24"/>
        </w:rPr>
        <w:t>; the archive's README lists the command for every table.</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9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 What Table 4 calls the </w:t>
      </w: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is a different object: it standardises the target only (or subtracts its mean only) and leaves the training session raw, which is not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does not inherit its agreement with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on a logarithmic axis whose floor is 10⁻¹⁶, so that a zero is drawn at the floor rather than as a measured value.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2c). This is the numerical confirmation of Proposition 1, not an independent discovery: the algebra says the number must be zero, and the experiment says the implementation behaves as the algebra says.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mean has to be estimated online, and the estimator is a design choice.</w:t>
      </w:r>
      <w:r>
        <w:rPr>
          <w:rFonts w:ascii="Times New Roman" w:hAnsi="Times New Roman" w:eastAsia="Times New Roman" w:cs="Times New Roman"/>
          <w:b w:val="0"/>
          <w:i w:val="0"/>
          <w:sz w:val="24"/>
        </w:rPr>
        <w:t xml:space="preserve"> Centring the target on its own mean uses the whole session; a deployment has only the trials that have arrived. Two different things can then be built, and they must not be confused.</w:t>
      </w:r>
    </w:p>
    <w:p>
      <w:pPr>
        <w:spacing w:before="0" w:after="0" w:line="480" w:lineRule="auto"/>
        <w:ind w:firstLine="0" w:left="0"/>
        <w:jc w:val="left"/>
      </w:pPr>
      <w:r>
        <w:rPr>
          <w:rFonts w:ascii="Times New Roman" w:hAnsi="Times New Roman" w:eastAsia="Times New Roman" w:cs="Times New Roman"/>
          <w:b w:val="0"/>
          <w:i/>
          <w:sz w:val="24"/>
        </w:rPr>
        <w:t>Two-sided online correction.</w:t>
      </w:r>
      <w:r>
        <w:rPr>
          <w:rFonts w:ascii="Times New Roman" w:hAnsi="Times New Roman" w:eastAsia="Times New Roman" w:cs="Times New Roman"/>
          <w:b w:val="0"/>
          <w:i w:val="0"/>
          <w:sz w:val="24"/>
        </w:rPr>
        <w:t xml:space="preserve"> The model is fitted on the uncorrected training session, and trial t of the target is corrected by</w:t>
      </w:r>
    </w:p>
    <w:p>
      <w:pPr>
        <w:spacing w:before="0" w:after="0" w:line="480" w:lineRule="auto"/>
        <w:ind w:firstLine="0" w:left="0"/>
        <w:jc w:val="left"/>
      </w:pPr>
      <w:r>
        <w:rPr>
          <w:rFonts w:ascii="Times New Roman" w:hAnsi="Times New Roman" w:eastAsia="Times New Roman" w:cs="Times New Roman"/>
          <w:b w:val="0"/>
          <w:i w:val="0"/>
          <w:sz w:val="24"/>
        </w:rPr>
        <w:t>x̃_t = x_t − μ̂_{t−1} + μ_A ,                                                (7)</w:t>
      </w:r>
    </w:p>
    <w:p>
      <w:pPr>
        <w:spacing w:before="0" w:after="0" w:line="480" w:lineRule="auto"/>
        <w:ind w:firstLine="0" w:left="0"/>
        <w:jc w:val="left"/>
      </w:pPr>
      <w:r>
        <w:rPr>
          <w:rFonts w:ascii="Times New Roman" w:hAnsi="Times New Roman" w:eastAsia="Times New Roman" w:cs="Times New Roman"/>
          <w:b w:val="0"/>
          <w:i w:val="0"/>
          <w:sz w:val="24"/>
        </w:rPr>
        <w:t xml:space="preserve">with μ̂_{t−1} an estimate from trials 1 … t−1. This is the online counterpart of the two-sided pipeline: as μ̂ → μ_B it converges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w:t>
      </w:r>
    </w:p>
    <w:p>
      <w:pPr>
        <w:spacing w:before="0" w:after="0" w:line="480" w:lineRule="auto"/>
        <w:ind w:firstLine="0" w:left="0"/>
        <w:jc w:val="left"/>
      </w:pPr>
      <w:r>
        <w:rPr>
          <w:rFonts w:ascii="Times New Roman" w:hAnsi="Times New Roman" w:eastAsia="Times New Roman" w:cs="Times New Roman"/>
          <w:b w:val="0"/>
          <w:i/>
          <w:sz w:val="24"/>
        </w:rPr>
        <w:t>One-sided patch.</w:t>
      </w:r>
      <w:r>
        <w:rPr>
          <w:rFonts w:ascii="Times New Roman" w:hAnsi="Times New Roman" w:eastAsia="Times New Roman" w:cs="Times New Roman"/>
          <w:b w:val="0"/>
          <w:i w:val="0"/>
          <w:sz w:val="24"/>
        </w:rPr>
        <w:t xml:space="preserve"> The same but without the training mean,</w:t>
      </w:r>
    </w:p>
    <w:p>
      <w:pPr>
        <w:spacing w:before="0" w:after="0" w:line="480" w:lineRule="auto"/>
        <w:ind w:firstLine="0" w:left="0"/>
        <w:jc w:val="left"/>
      </w:pPr>
      <w:r>
        <w:rPr>
          <w:rFonts w:ascii="Times New Roman" w:hAnsi="Times New Roman" w:eastAsia="Times New Roman" w:cs="Times New Roman"/>
          <w:b w:val="0"/>
          <w:i w:val="0"/>
          <w:sz w:val="24"/>
        </w:rPr>
        <w:t>x̃_t = x_t − μ̂_{t−1} ,                                                      (8)</w:t>
      </w:r>
    </w:p>
    <w:p>
      <w:pPr>
        <w:spacing w:before="0" w:after="0" w:line="480" w:lineRule="auto"/>
        <w:ind w:firstLine="0" w:left="0"/>
        <w:jc w:val="left"/>
      </w:pPr>
      <w:r>
        <w:rPr>
          <w:rFonts w:ascii="Times New Roman" w:hAnsi="Times New Roman" w:eastAsia="Times New Roman" w:cs="Times New Roman"/>
          <w:b w:val="0"/>
          <w:i w:val="0"/>
          <w:sz w:val="24"/>
        </w:rPr>
        <w:t xml:space="preserve">which is the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pipeline of Section 2.1 and the failure mode this paper analyses. Equations (7) and (8) differ by μ_A, i.e. by exactly the quantity at issue.</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Balanced accuracy on one common post-prefix test set (trials k+1 … n), LDA, mean over cells; k = 20 except SEED, where k = 50.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the transductive correction scored on the same trials. The last column is the one-sided patch of Equation (8) with the cumulative estimate. The intervals are subject-level paired differences against </w:t>
      </w:r>
      <w:r>
        <w:rPr>
          <w:rFonts w:ascii="Courier New" w:hAnsi="Courier New" w:eastAsia="Courier New" w:cs="Courier New"/>
          <w:b w:val="0"/>
          <w:i w:val="0"/>
          <w:sz w:val="21"/>
        </w:rPr>
        <w:t>none</w:t>
      </w:r>
      <w:r>
        <w:rPr>
          <w:rFonts w:ascii="Times New Roman" w:hAnsi="Times New Roman" w:eastAsia="Times New Roman" w:cs="Times New Roman"/>
          <w:b w:val="0"/>
          <w:i w:val="0"/>
          <w:sz w:val="21"/>
        </w:rPr>
        <w:t xml:space="preserve"> (4,000 bootstrap resamples); the fixed-λ and oracle-λ rows are reported in the text below rather than in the table.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batch</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window (50)</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exponential (0.05)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one-sided patch</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0.7063</w:t>
            </w:r>
          </w:p>
        </w:tc>
        <w:tc>
          <w:tcPr>
            <w:tcW w:type="dxa" w:w="1134"/>
          </w:tcPr>
          <w:p>
            <w:pPr>
              <w:spacing w:before="40" w:after="40" w:line="240" w:lineRule="auto"/>
              <w:jc w:val="center"/>
            </w:pPr>
            <w:r/>
            <w:r>
              <w:rPr>
                <w:rFonts w:ascii="Times New Roman" w:hAnsi="Times New Roman" w:eastAsia="Times New Roman" w:cs="Times New Roman"/>
                <w:b w:val="0"/>
                <w:i w:val="0"/>
                <w:sz w:val="18"/>
              </w:rPr>
              <w:t>0.7428</w:t>
            </w:r>
          </w:p>
        </w:tc>
        <w:tc>
          <w:tcPr>
            <w:tcW w:type="dxa" w:w="1134"/>
          </w:tcPr>
          <w:p>
            <w:pPr>
              <w:spacing w:before="40" w:after="40" w:line="240" w:lineRule="auto"/>
              <w:jc w:val="center"/>
            </w:pPr>
            <w:r/>
            <w:r>
              <w:rPr>
                <w:rFonts w:ascii="Times New Roman" w:hAnsi="Times New Roman" w:eastAsia="Times New Roman" w:cs="Times New Roman"/>
                <w:b w:val="0"/>
                <w:i w:val="0"/>
                <w:sz w:val="18"/>
              </w:rPr>
              <w:t>0.7417</w:t>
            </w:r>
          </w:p>
        </w:tc>
        <w:tc>
          <w:tcPr>
            <w:tcW w:type="dxa" w:w="1134"/>
          </w:tcPr>
          <w:p>
            <w:pPr>
              <w:spacing w:before="40" w:after="40" w:line="240" w:lineRule="auto"/>
              <w:jc w:val="center"/>
            </w:pPr>
            <w:r/>
            <w:r>
              <w:rPr>
                <w:rFonts w:ascii="Times New Roman" w:hAnsi="Times New Roman" w:eastAsia="Times New Roman" w:cs="Times New Roman"/>
                <w:b w:val="0"/>
                <w:i w:val="0"/>
                <w:sz w:val="18"/>
              </w:rPr>
              <w:t>0.7419</w:t>
            </w:r>
          </w:p>
        </w:tc>
        <w:tc>
          <w:tcPr>
            <w:tcW w:type="dxa" w:w="1134"/>
          </w:tcPr>
          <w:p>
            <w:pPr>
              <w:spacing w:before="40" w:after="40" w:line="240" w:lineRule="auto"/>
              <w:jc w:val="center"/>
            </w:pPr>
            <w:r/>
            <w:r>
              <w:rPr>
                <w:rFonts w:ascii="Times New Roman" w:hAnsi="Times New Roman" w:eastAsia="Times New Roman" w:cs="Times New Roman"/>
                <w:b w:val="0"/>
                <w:i w:val="0"/>
                <w:sz w:val="18"/>
              </w:rPr>
              <w:t>0.7420</w:t>
            </w:r>
          </w:p>
        </w:tc>
        <w:tc>
          <w:tcPr>
            <w:tcW w:type="dxa" w:w="1134"/>
          </w:tcPr>
          <w:p>
            <w:pPr>
              <w:spacing w:before="40" w:after="40" w:line="240" w:lineRule="auto"/>
              <w:jc w:val="center"/>
            </w:pPr>
            <w:r/>
            <w:r>
              <w:rPr>
                <w:rFonts w:ascii="Times New Roman" w:hAnsi="Times New Roman" w:eastAsia="Times New Roman" w:cs="Times New Roman"/>
                <w:b w:val="0"/>
                <w:i w:val="0"/>
                <w:sz w:val="18"/>
              </w:rPr>
              <w:t>0.7327</w:t>
            </w:r>
          </w:p>
        </w:tc>
        <w:tc>
          <w:tcPr>
            <w:tcW w:type="dxa" w:w="1134"/>
          </w:tcPr>
          <w:p>
            <w:pPr>
              <w:spacing w:before="40" w:after="40" w:line="240" w:lineRule="auto"/>
              <w:jc w:val="center"/>
            </w:pPr>
            <w:r/>
            <w:r>
              <w:rPr>
                <w:rFonts w:ascii="Times New Roman" w:hAnsi="Times New Roman" w:eastAsia="Times New Roman" w:cs="Times New Roman"/>
                <w:b w:val="0"/>
                <w:i w:val="0"/>
                <w:sz w:val="18"/>
              </w:rPr>
              <w:t>0.5839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0.5640</w:t>
            </w:r>
          </w:p>
        </w:tc>
        <w:tc>
          <w:tcPr>
            <w:tcW w:type="dxa" w:w="1134"/>
          </w:tcPr>
          <w:p>
            <w:pPr>
              <w:spacing w:before="40" w:after="40" w:line="240" w:lineRule="auto"/>
              <w:jc w:val="center"/>
            </w:pPr>
            <w:r/>
            <w:r>
              <w:rPr>
                <w:rFonts w:ascii="Times New Roman" w:hAnsi="Times New Roman" w:eastAsia="Times New Roman" w:cs="Times New Roman"/>
                <w:b w:val="0"/>
                <w:i w:val="0"/>
                <w:sz w:val="18"/>
              </w:rPr>
              <w:t>0.6111</w:t>
            </w:r>
          </w:p>
        </w:tc>
        <w:tc>
          <w:tcPr>
            <w:tcW w:type="dxa" w:w="1134"/>
          </w:tcPr>
          <w:p>
            <w:pPr>
              <w:spacing w:before="40" w:after="40" w:line="240" w:lineRule="auto"/>
              <w:jc w:val="center"/>
            </w:pPr>
            <w:r/>
            <w:r>
              <w:rPr>
                <w:rFonts w:ascii="Times New Roman" w:hAnsi="Times New Roman" w:eastAsia="Times New Roman" w:cs="Times New Roman"/>
                <w:b w:val="0"/>
                <w:i w:val="0"/>
                <w:sz w:val="18"/>
              </w:rPr>
              <w:t>0.6077</w:t>
            </w:r>
          </w:p>
        </w:tc>
        <w:tc>
          <w:tcPr>
            <w:tcW w:type="dxa" w:w="1134"/>
          </w:tcPr>
          <w:p>
            <w:pPr>
              <w:spacing w:before="40" w:after="40" w:line="240" w:lineRule="auto"/>
              <w:jc w:val="center"/>
            </w:pPr>
            <w:r/>
            <w:r>
              <w:rPr>
                <w:rFonts w:ascii="Times New Roman" w:hAnsi="Times New Roman" w:eastAsia="Times New Roman" w:cs="Times New Roman"/>
                <w:b w:val="0"/>
                <w:i w:val="0"/>
                <w:sz w:val="18"/>
              </w:rPr>
              <w:t>0.6145</w:t>
            </w:r>
          </w:p>
        </w:tc>
        <w:tc>
          <w:tcPr>
            <w:tcW w:type="dxa" w:w="1134"/>
          </w:tcPr>
          <w:p>
            <w:pPr>
              <w:spacing w:before="40" w:after="40" w:line="240" w:lineRule="auto"/>
              <w:jc w:val="center"/>
            </w:pPr>
            <w:r/>
            <w:r>
              <w:rPr>
                <w:rFonts w:ascii="Times New Roman" w:hAnsi="Times New Roman" w:eastAsia="Times New Roman" w:cs="Times New Roman"/>
                <w:b w:val="0"/>
                <w:i w:val="0"/>
                <w:sz w:val="18"/>
              </w:rPr>
              <w:t>0.6138</w:t>
            </w:r>
          </w:p>
        </w:tc>
        <w:tc>
          <w:tcPr>
            <w:tcW w:type="dxa" w:w="1134"/>
          </w:tcPr>
          <w:p>
            <w:pPr>
              <w:spacing w:before="40" w:after="40" w:line="240" w:lineRule="auto"/>
              <w:jc w:val="center"/>
            </w:pPr>
            <w:r/>
            <w:r>
              <w:rPr>
                <w:rFonts w:ascii="Times New Roman" w:hAnsi="Times New Roman" w:eastAsia="Times New Roman" w:cs="Times New Roman"/>
                <w:b w:val="0"/>
                <w:i w:val="0"/>
                <w:sz w:val="18"/>
              </w:rPr>
              <w:t>0.6043</w:t>
            </w:r>
          </w:p>
        </w:tc>
        <w:tc>
          <w:tcPr>
            <w:tcW w:type="dxa" w:w="1134"/>
          </w:tcPr>
          <w:p>
            <w:pPr>
              <w:spacing w:before="40" w:after="40" w:line="240" w:lineRule="auto"/>
              <w:jc w:val="center"/>
            </w:pPr>
            <w:r/>
            <w:r>
              <w:rPr>
                <w:rFonts w:ascii="Times New Roman" w:hAnsi="Times New Roman" w:eastAsia="Times New Roman" w:cs="Times New Roman"/>
                <w:b w:val="0"/>
                <w:i w:val="0"/>
                <w:sz w:val="18"/>
              </w:rPr>
              <w:t>0.5169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0.4599</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0.6782</w:t>
            </w:r>
          </w:p>
        </w:tc>
        <w:tc>
          <w:tcPr>
            <w:tcW w:type="dxa" w:w="1134"/>
          </w:tcPr>
          <w:p>
            <w:pPr>
              <w:spacing w:before="40" w:after="40" w:line="240" w:lineRule="auto"/>
              <w:jc w:val="center"/>
            </w:pPr>
            <w:r/>
            <w:r>
              <w:rPr>
                <w:rFonts w:ascii="Times New Roman" w:hAnsi="Times New Roman" w:eastAsia="Times New Roman" w:cs="Times New Roman"/>
                <w:b w:val="0"/>
                <w:i w:val="0"/>
                <w:sz w:val="18"/>
              </w:rPr>
              <w:t>0.4194</w:t>
            </w:r>
          </w:p>
        </w:tc>
        <w:tc>
          <w:tcPr>
            <w:tcW w:type="dxa" w:w="1134"/>
          </w:tcPr>
          <w:p>
            <w:pPr>
              <w:spacing w:before="40" w:after="40" w:line="240" w:lineRule="auto"/>
              <w:jc w:val="center"/>
            </w:pPr>
            <w:r/>
            <w:r>
              <w:rPr>
                <w:rFonts w:ascii="Times New Roman" w:hAnsi="Times New Roman" w:eastAsia="Times New Roman" w:cs="Times New Roman"/>
                <w:b w:val="0"/>
                <w:i w:val="0"/>
                <w:sz w:val="18"/>
              </w:rPr>
              <w:t>0.4178</w:t>
            </w:r>
          </w:p>
        </w:tc>
        <w:tc>
          <w:tcPr>
            <w:tcW w:type="dxa" w:w="1134"/>
          </w:tcPr>
          <w:p>
            <w:pPr>
              <w:spacing w:before="40" w:after="40" w:line="240" w:lineRule="auto"/>
              <w:jc w:val="center"/>
            </w:pPr>
            <w:r/>
            <w:r>
              <w:rPr>
                <w:rFonts w:ascii="Times New Roman" w:hAnsi="Times New Roman" w:eastAsia="Times New Roman" w:cs="Times New Roman"/>
                <w:b w:val="0"/>
                <w:i w:val="0"/>
                <w:sz w:val="18"/>
              </w:rPr>
              <w:t>0.6845</w:t>
            </w:r>
          </w:p>
        </w:tc>
        <w:tc>
          <w:tcPr>
            <w:tcW w:type="dxa" w:w="1134"/>
          </w:tcPr>
          <w:p>
            <w:pPr>
              <w:spacing w:before="40" w:after="40" w:line="240" w:lineRule="auto"/>
              <w:jc w:val="center"/>
            </w:pPr>
            <w:r/>
            <w:r>
              <w:rPr>
                <w:rFonts w:ascii="Times New Roman" w:hAnsi="Times New Roman" w:eastAsia="Times New Roman" w:cs="Times New Roman"/>
                <w:b w:val="0"/>
                <w:i w:val="0"/>
                <w:sz w:val="18"/>
              </w:rPr>
              <w:t>0.3394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0.7704</w:t>
            </w:r>
          </w:p>
        </w:tc>
        <w:tc>
          <w:tcPr>
            <w:tcW w:type="dxa" w:w="1134"/>
          </w:tcPr>
          <w:p>
            <w:pPr>
              <w:spacing w:before="40" w:after="40" w:line="240" w:lineRule="auto"/>
              <w:jc w:val="center"/>
            </w:pPr>
            <w:r/>
            <w:r>
              <w:rPr>
                <w:rFonts w:ascii="Times New Roman" w:hAnsi="Times New Roman" w:eastAsia="Times New Roman" w:cs="Times New Roman"/>
                <w:b w:val="0"/>
                <w:i w:val="0"/>
                <w:sz w:val="18"/>
              </w:rPr>
              <w:t>0.7764</w:t>
            </w:r>
          </w:p>
        </w:tc>
        <w:tc>
          <w:tcPr>
            <w:tcW w:type="dxa" w:w="1134"/>
          </w:tcPr>
          <w:p>
            <w:pPr>
              <w:spacing w:before="40" w:after="40" w:line="240" w:lineRule="auto"/>
              <w:jc w:val="center"/>
            </w:pPr>
            <w:r/>
            <w:r>
              <w:rPr>
                <w:rFonts w:ascii="Times New Roman" w:hAnsi="Times New Roman" w:eastAsia="Times New Roman" w:cs="Times New Roman"/>
                <w:b w:val="0"/>
                <w:i w:val="0"/>
                <w:sz w:val="18"/>
              </w:rPr>
              <w:t>0.6560</w:t>
            </w:r>
          </w:p>
        </w:tc>
        <w:tc>
          <w:tcPr>
            <w:tcW w:type="dxa" w:w="1134"/>
          </w:tcPr>
          <w:p>
            <w:pPr>
              <w:spacing w:before="40" w:after="40" w:line="240" w:lineRule="auto"/>
              <w:jc w:val="center"/>
            </w:pPr>
            <w:r/>
            <w:r>
              <w:rPr>
                <w:rFonts w:ascii="Times New Roman" w:hAnsi="Times New Roman" w:eastAsia="Times New Roman" w:cs="Times New Roman"/>
                <w:b w:val="0"/>
                <w:i w:val="0"/>
                <w:sz w:val="18"/>
              </w:rPr>
              <w:t>0.6488</w:t>
            </w:r>
          </w:p>
        </w:tc>
        <w:tc>
          <w:tcPr>
            <w:tcW w:type="dxa" w:w="1134"/>
          </w:tcPr>
          <w:p>
            <w:pPr>
              <w:spacing w:before="40" w:after="40" w:line="240" w:lineRule="auto"/>
              <w:jc w:val="center"/>
            </w:pPr>
            <w:r/>
            <w:r>
              <w:rPr>
                <w:rFonts w:ascii="Times New Roman" w:hAnsi="Times New Roman" w:eastAsia="Times New Roman" w:cs="Times New Roman"/>
                <w:b w:val="0"/>
                <w:i w:val="0"/>
                <w:sz w:val="18"/>
              </w:rPr>
              <w:t>0.6236</w:t>
            </w:r>
          </w:p>
        </w:tc>
        <w:tc>
          <w:tcPr>
            <w:tcW w:type="dxa" w:w="1134"/>
          </w:tcPr>
          <w:p>
            <w:pPr>
              <w:spacing w:before="40" w:after="40" w:line="240" w:lineRule="auto"/>
              <w:jc w:val="center"/>
            </w:pPr>
            <w:r/>
            <w:r>
              <w:rPr>
                <w:rFonts w:ascii="Times New Roman" w:hAnsi="Times New Roman" w:eastAsia="Times New Roman" w:cs="Times New Roman"/>
                <w:b w:val="0"/>
                <w:i w:val="0"/>
                <w:sz w:val="18"/>
              </w:rPr>
              <w:t>0.7465</w:t>
            </w:r>
          </w:p>
        </w:tc>
        <w:tc>
          <w:tcPr>
            <w:tcW w:type="dxa" w:w="1134"/>
          </w:tcPr>
          <w:p>
            <w:pPr>
              <w:spacing w:before="40" w:after="40" w:line="240" w:lineRule="auto"/>
              <w:jc w:val="center"/>
            </w:pPr>
            <w:r/>
            <w:r>
              <w:rPr>
                <w:rFonts w:ascii="Times New Roman" w:hAnsi="Times New Roman" w:eastAsia="Times New Roman" w:cs="Times New Roman"/>
                <w:b w:val="0"/>
                <w:i w:val="0"/>
                <w:sz w:val="18"/>
              </w:rPr>
              <w:t>0.5942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0.5878</w:t>
            </w:r>
          </w:p>
        </w:tc>
        <w:tc>
          <w:tcPr>
            <w:tcW w:type="dxa" w:w="1134"/>
          </w:tcPr>
          <w:p>
            <w:pPr>
              <w:spacing w:before="40" w:after="40" w:line="240" w:lineRule="auto"/>
              <w:jc w:val="center"/>
            </w:pPr>
            <w:r/>
            <w:r>
              <w:rPr>
                <w:rFonts w:ascii="Times New Roman" w:hAnsi="Times New Roman" w:eastAsia="Times New Roman" w:cs="Times New Roman"/>
                <w:b w:val="0"/>
                <w:i w:val="0"/>
                <w:sz w:val="18"/>
              </w:rPr>
              <w:t>0.5883</w:t>
            </w:r>
          </w:p>
        </w:tc>
        <w:tc>
          <w:tcPr>
            <w:tcW w:type="dxa" w:w="1134"/>
          </w:tcPr>
          <w:p>
            <w:pPr>
              <w:spacing w:before="40" w:after="40" w:line="240" w:lineRule="auto"/>
              <w:jc w:val="center"/>
            </w:pPr>
            <w:r/>
            <w:r>
              <w:rPr>
                <w:rFonts w:ascii="Times New Roman" w:hAnsi="Times New Roman" w:eastAsia="Times New Roman" w:cs="Times New Roman"/>
                <w:b w:val="0"/>
                <w:i w:val="0"/>
                <w:sz w:val="18"/>
              </w:rPr>
              <w:t>0.5840</w:t>
            </w:r>
          </w:p>
        </w:tc>
        <w:tc>
          <w:tcPr>
            <w:tcW w:type="dxa" w:w="1134"/>
          </w:tcPr>
          <w:p>
            <w:pPr>
              <w:spacing w:before="40" w:after="40" w:line="240" w:lineRule="auto"/>
              <w:jc w:val="center"/>
            </w:pPr>
            <w:r/>
            <w:r>
              <w:rPr>
                <w:rFonts w:ascii="Times New Roman" w:hAnsi="Times New Roman" w:eastAsia="Times New Roman" w:cs="Times New Roman"/>
                <w:b w:val="0"/>
                <w:i w:val="0"/>
                <w:sz w:val="18"/>
              </w:rPr>
              <w:t>0.5842</w:t>
            </w:r>
          </w:p>
        </w:tc>
        <w:tc>
          <w:tcPr>
            <w:tcW w:type="dxa" w:w="1134"/>
          </w:tcPr>
          <w:p>
            <w:pPr>
              <w:spacing w:before="40" w:after="40" w:line="240" w:lineRule="auto"/>
              <w:jc w:val="center"/>
            </w:pPr>
            <w:r/>
            <w:r>
              <w:rPr>
                <w:rFonts w:ascii="Times New Roman" w:hAnsi="Times New Roman" w:eastAsia="Times New Roman" w:cs="Times New Roman"/>
                <w:b w:val="0"/>
                <w:i w:val="0"/>
                <w:sz w:val="18"/>
              </w:rPr>
              <w:t>0.5822</w:t>
            </w:r>
          </w:p>
        </w:tc>
        <w:tc>
          <w:tcPr>
            <w:tcW w:type="dxa" w:w="1134"/>
          </w:tcPr>
          <w:p>
            <w:pPr>
              <w:spacing w:before="40" w:after="40" w:line="240" w:lineRule="auto"/>
              <w:jc w:val="center"/>
            </w:pPr>
            <w:r/>
            <w:r>
              <w:rPr>
                <w:rFonts w:ascii="Times New Roman" w:hAnsi="Times New Roman" w:eastAsia="Times New Roman" w:cs="Times New Roman"/>
                <w:b w:val="0"/>
                <w:i w:val="0"/>
                <w:sz w:val="18"/>
              </w:rPr>
              <w:t>0.5867</w:t>
            </w:r>
          </w:p>
        </w:tc>
        <w:tc>
          <w:tcPr>
            <w:tcW w:type="dxa" w:w="1134"/>
          </w:tcPr>
          <w:p>
            <w:pPr>
              <w:spacing w:before="40" w:after="40" w:line="240" w:lineRule="auto"/>
              <w:jc w:val="center"/>
            </w:pPr>
            <w:r/>
            <w:r>
              <w:rPr>
                <w:rFonts w:ascii="Times New Roman" w:hAnsi="Times New Roman" w:eastAsia="Times New Roman" w:cs="Times New Roman"/>
                <w:b w:val="0"/>
                <w:i w:val="0"/>
                <w:sz w:val="18"/>
              </w:rPr>
              <w:t>0.5857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Three regimes appear, and they are why the estimator is a design choice rather than an implementation detail. Where the session mean is stable (BCI-2b, BCI-2a) every estimator recovers the transductive gain within 0.01 and the choice does not matter. Where the mean drifts between blocks (SEED), a </w:t>
      </w:r>
      <w:r>
        <w:rPr>
          <w:rFonts w:ascii="Times New Roman" w:hAnsi="Times New Roman" w:eastAsia="Times New Roman" w:cs="Times New Roman"/>
          <w:b w:val="0"/>
          <w:i/>
          <w:sz w:val="24"/>
        </w:rPr>
        <w:t>short-memory</w:t>
      </w:r>
      <w:r>
        <w:rPr>
          <w:rFonts w:ascii="Times New Roman" w:hAnsi="Times New Roman" w:eastAsia="Times New Roman" w:cs="Times New Roman"/>
          <w:b w:val="0"/>
          <w:i w:val="0"/>
          <w:sz w:val="24"/>
        </w:rPr>
        <w:t xml:space="preserve"> estimator is harmful — a 50-trial window and an exponential average with α = 0.05 both fall below no correction, because within one film block the window sees only that block — while a long-memory estimator keeps the gain. Where the mean drifts </w:t>
      </w:r>
      <w:r>
        <w:rPr>
          <w:rFonts w:ascii="Times New Roman" w:hAnsi="Times New Roman" w:eastAsia="Times New Roman" w:cs="Times New Roman"/>
          <w:b w:val="0"/>
          <w:i/>
          <w:sz w:val="24"/>
        </w:rPr>
        <w:t>within</w:t>
      </w:r>
      <w:r>
        <w:rPr>
          <w:rFonts w:ascii="Times New Roman" w:hAnsi="Times New Roman" w:eastAsia="Times New Roman" w:cs="Times New Roman"/>
          <w:b w:val="0"/>
          <w:i w:val="0"/>
          <w:sz w:val="24"/>
        </w:rPr>
        <w:t xml:space="preserve"> a session (grasp-and-lift), the reverse happens: the cumulative mean loses 0.115 because it averages across drift, and the exponential average loses 0.147. No fixed-memory estimator is safe on both.</w:t>
      </w:r>
    </w:p>
    <w:p>
      <w:pPr>
        <w:spacing w:before="0" w:after="0" w:line="480" w:lineRule="auto"/>
        <w:ind w:firstLine="0" w:left="0"/>
        <w:jc w:val="left"/>
      </w:pPr>
      <w:r>
        <w:rPr>
          <w:rFonts w:ascii="Times New Roman" w:hAnsi="Times New Roman" w:eastAsia="Times New Roman" w:cs="Times New Roman"/>
          <w:b/>
          <w:i w:val="0"/>
          <w:sz w:val="24"/>
        </w:rPr>
        <w:t>A shrunk estimator that is less bad.</w:t>
      </w:r>
      <w:r>
        <w:rPr>
          <w:rFonts w:ascii="Times New Roman" w:hAnsi="Times New Roman" w:eastAsia="Times New Roman" w:cs="Times New Roman"/>
          <w:b w:val="0"/>
          <w:i w:val="0"/>
          <w:sz w:val="24"/>
        </w:rPr>
        <w:t xml:space="preserve"> The estimator that loses least is a cumulative mean whose weight is set by the number of trials seen:</w:t>
      </w:r>
    </w:p>
    <w:p>
      <w:pPr>
        <w:spacing w:before="0" w:after="0" w:line="480" w:lineRule="auto"/>
        <w:ind w:firstLine="0" w:left="0"/>
        <w:jc w:val="left"/>
      </w:pPr>
      <w:r>
        <w:rPr>
          <w:rFonts w:ascii="Times New Roman" w:hAnsi="Times New Roman" w:eastAsia="Times New Roman" w:cs="Times New Roman"/>
          <w:b w:val="0"/>
          <w:i w:val="0"/>
          <w:sz w:val="24"/>
        </w:rPr>
        <w:t>x̃_t = x_t − λ_t μ̂_{t−1} + λ_t μ_A ,   λ_t = n_eff / (n_eff + τ) ,           (9)</w:t>
      </w:r>
    </w:p>
    <w:p>
      <w:pPr>
        <w:spacing w:before="0" w:after="0" w:line="480" w:lineRule="auto"/>
        <w:ind w:firstLine="0" w:left="0"/>
        <w:jc w:val="left"/>
      </w:pPr>
      <w:r>
        <w:rPr>
          <w:rFonts w:ascii="Times New Roman" w:hAnsi="Times New Roman" w:eastAsia="Times New Roman" w:cs="Times New Roman"/>
          <w:b w:val="0"/>
          <w:i w:val="0"/>
          <w:sz w:val="24"/>
        </w:rPr>
        <w:t xml:space="preserve">with n_eff = t−1 for the cumulative mean and τ = 50 fixed before the experiments. n_eff is the number of trials seen, which is an upper bound on the effective sample size of a correlated series rather than the effective size itself; for a stationary series with autocorrelation ρ(k) the latter is n/(1 + 2Σρ(k)), and the difference matters most on SEED, whose segments come from continuous film blocks. We therefore call the rule sample-count shrinkage and treat τ as a policy constant, not as a calibrated uncertainty. The unit of k is trials, which is not a common unit of time across datasets: a BCI trial is about eight seconds, a SEED segment one second, so k = 20 is roughly 160 s of motor-imagery data and k = 50 is 50 s of film; we report trials because that is what the estimator consumes, and the time conversion is given so that the cost can be compared across paradigms. At the start λ ≈ 0 and the pipeline returns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as trials accumulate λ → 1 and it returns the two-sided correction. The estimator therefore spends its uncertainty on the safe side: it cannot damage a session at the start, and it cannot hold on to a stale mean once the evidence accumulates. On the five datasets the subject-level paired difference against no correction is +0.026 [+0.012, +0.041], +0.040 [+0.025, +0.057], +0.225 [+0.178, +0.272], −0.024 [−0.031, −0.016] and −0.001 [−0.004, +0.002], in the order BCI-2b, BCI-2a, SEED, grasp-and-lift, NER2015. It keeps almost all of the SEED gain (0.225 against 0.218 for the plain cumulative mean) and cuts the grasp-and-lift loss from 0.115 to 0.024, but the interval on grasp-and-lift stays below zero: the estimator reduces the damage, it does not remove it. τ is the only parameter and it was set to 50 before the experiments; the sweep below shows how much it matters. It trades the two regimes against each other: τ = 20 gives +0.031, +0.044, +0.225, −0.052 and −0.003 on the five datasets, and τ = 200 gives +0.012, +0.028, +0.198, −0.006 and −0.001, so a ten-fold change moves the numbers by at most 0.03 and leaves the pattern intact — a larger τ trusts the correction later, which costs a little on the stable datasets and buys a little on the drifting one. We report the sweep rather than a tuned value because the choice is a policy decision about which failure one prefers, not a quantity to be optimised on the test data.</w:t>
      </w:r>
    </w:p>
    <w:p>
      <w:pPr>
        <w:spacing w:before="0" w:after="0" w:line="480" w:lineRule="auto"/>
        <w:ind w:firstLine="0" w:left="0"/>
        <w:jc w:val="left"/>
      </w:pPr>
      <w:r>
        <w:rPr>
          <w:rFonts w:ascii="Times New Roman" w:hAnsi="Times New Roman" w:eastAsia="Times New Roman" w:cs="Times New Roman"/>
          <w:b/>
          <w:i w:val="0"/>
          <w:sz w:val="24"/>
        </w:rPr>
        <w:t>The estimator on the held-out dataset.</w:t>
      </w:r>
      <w:r>
        <w:rPr>
          <w:rFonts w:ascii="Times New Roman" w:hAnsi="Times New Roman" w:eastAsia="Times New Roman" w:cs="Times New Roman"/>
          <w:b w:val="0"/>
          <w:i w:val="0"/>
          <w:sz w:val="24"/>
        </w:rPr>
        <w:t xml:space="preserve"> SEED-IV was not used to design Equation (9). On its 90 cells with k = 50 the shrunk estimator gives +0.164 [+0.128, +0.201] against no correction, against +0.189 [+0.144, +0.236] for the cumulative mean and +0.205 [+0.161, +0.254] for the transductive correction; the one-sided patch gives −0.105 [−0.143, −0.067]. The causal correction therefore transfers to a related paradigm — SEED-IV uses the same emotion task and the same differential-entropy features as SEED, so this is external validation within a family, not across families — and the shrunk estimator keeps about four fifths of the transductive gain there — the price of the safety it buys on grasp-and-lift.</w:t>
      </w:r>
    </w:p>
    <w:p>
      <w:pPr>
        <w:spacing w:before="0" w:after="0" w:line="480" w:lineRule="auto"/>
        <w:ind w:firstLine="0" w:left="0"/>
        <w:jc w:val="left"/>
      </w:pPr>
      <w:r>
        <w:rPr>
          <w:rFonts w:ascii="Times New Roman" w:hAnsi="Times New Roman" w:eastAsia="Times New Roman" w:cs="Times New Roman"/>
          <w:b/>
          <w:i w:val="0"/>
          <w:sz w:val="24"/>
        </w:rPr>
        <w:t>The comparison is not specific to LDA.</w:t>
      </w:r>
      <w:r>
        <w:rPr>
          <w:rFonts w:ascii="Times New Roman" w:hAnsi="Times New Roman" w:eastAsia="Times New Roman" w:cs="Times New Roman"/>
          <w:b w:val="0"/>
          <w:i w:val="0"/>
          <w:sz w:val="24"/>
        </w:rPr>
        <w:t xml:space="preserve"> The same protocol with logistic regression gives, on BCI-2b, 0.7065 uncorrected, 0.7430 fully corrected and 0.7337 with Equation (9); on grasp-and-lift, 0.7601, 0.6393 and 0.7347. The ordering of the estimators is the same, which is what "model-agnostic" should mean here: the transform is independent of the classifier, and the ranking of estimators survives a change of classifier, but we do not claim it for non-linear decoders, for which the threshold-displacement analysis does not apply.</w:t>
      </w:r>
    </w:p>
    <w:p>
      <w:pPr>
        <w:spacing w:before="0" w:after="0" w:line="480" w:lineRule="auto"/>
        <w:ind w:firstLine="0" w:left="0"/>
        <w:jc w:val="left"/>
      </w:pPr>
      <w:r>
        <w:rPr>
          <w:rFonts w:ascii="Times New Roman" w:hAnsi="Times New Roman" w:eastAsia="Times New Roman" w:cs="Times New Roman"/>
          <w:b/>
          <w:i w:val="0"/>
          <w:sz w:val="24"/>
        </w:rPr>
        <w:t>Why the classifier stays affine.</w:t>
      </w:r>
      <w:r>
        <w:rPr>
          <w:rFonts w:ascii="Times New Roman" w:hAnsi="Times New Roman" w:eastAsia="Times New Roman" w:cs="Times New Roman"/>
          <w:b w:val="0"/>
          <w:i w:val="0"/>
          <w:sz w:val="24"/>
        </w:rPr>
        <w:t xml:space="preserve"> The mechanism is a property of an affine decision function: a shift of the feature origin moves the intercept by w'c, and a non-linear model has no such global intercept to move, so the analysis would not apply to it. That is a scope statement, not a claim that non-linear decoders are immune; it says that the quantity this paper measures — a threshold displacement of the class scores — exists for the models it studies and is not defined the same way for the others. The estimator of Equation (9), by contrast, is model-agnostic: it only needs the training mean and the target stream.</w:t>
      </w:r>
    </w:p>
    <w:p>
      <w:pPr>
        <w:spacing w:before="0" w:after="0" w:line="480" w:lineRule="auto"/>
        <w:ind w:firstLine="0" w:left="0"/>
        <w:jc w:val="left"/>
      </w:pPr>
      <w:r>
        <w:rPr>
          <w:rFonts w:ascii="Times New Roman" w:hAnsi="Times New Roman" w:eastAsia="Times New Roman" w:cs="Times New Roman"/>
          <w:b/>
          <w:i w:val="0"/>
          <w:sz w:val="24"/>
        </w:rPr>
        <w:t>Fixed shrinkage already does most of the work, and an oracle shows the remaining gap.</w:t>
      </w:r>
      <w:r>
        <w:rPr>
          <w:rFonts w:ascii="Times New Roman" w:hAnsi="Times New Roman" w:eastAsia="Times New Roman" w:cs="Times New Roman"/>
          <w:b w:val="0"/>
          <w:i w:val="0"/>
          <w:sz w:val="24"/>
        </w:rPr>
        <w:t xml:space="preserve"> A constant λ on the same protocol gives, on BCI-2b, 0.7186 (λ = 0.25), 0.7316 (0.5), 0.7408 (0.75) and 0.7417 (1.0) against 0.7327 for Equation (9); on grasp-and-lift the same four are 0.7514, 0.7236, 0.6906 and 0.6560 against 0.7465; on SEED, 0.4939, 0.5460, 0.6204 and 0.6782 against 0.6845. A fixed λ = 0.75 is therefore close to the shrunk rule on BCI-2b and better on grasp-and-lift, and the time dependence buys its advantage on SEED. Choosing λ per cell on the target labels — an oracle, not a method — reaches 0.7538, 0.6156, 0.6979, 0.7813 and 0.6015, so the gap between the best fixed rule and the oracle is 0.01 to 0.05 and is not closed by any of the causal rules we tried.</w:t>
      </w:r>
    </w:p>
    <w:p>
      <w:pPr>
        <w:spacing w:before="0" w:after="0" w:line="480" w:lineRule="auto"/>
        <w:ind w:firstLine="0" w:left="0"/>
        <w:jc w:val="left"/>
      </w:pPr>
      <w:r>
        <w:rPr>
          <w:rFonts w:ascii="Times New Roman" w:hAnsi="Times New Roman" w:eastAsia="Times New Roman" w:cs="Times New Roman"/>
          <w:b/>
          <w:i w:val="0"/>
          <w:sz w:val="24"/>
        </w:rPr>
        <w:t>Two amplitude-based gates fail.</w:t>
      </w:r>
      <w:r>
        <w:rPr>
          <w:rFonts w:ascii="Times New Roman" w:hAnsi="Times New Roman" w:eastAsia="Times New Roman" w:cs="Times New Roman"/>
          <w:b w:val="0"/>
          <w:i w:val="0"/>
          <w:sz w:val="24"/>
        </w:rPr>
        <w:t xml:space="preserve"> The obvious way to make the method decide is to compare, at the end of each block of 25 trials, the margin distribution of the corrected scores with that of the source session and to correct only when it is closer. On every dataset this gate selects </w:t>
      </w:r>
      <w:r>
        <w:rPr>
          <w:rFonts w:ascii="Times New Roman" w:hAnsi="Times New Roman" w:eastAsia="Times New Roman" w:cs="Times New Roman"/>
          <w:b w:val="0"/>
          <w:i/>
          <w:sz w:val="24"/>
        </w:rPr>
        <w:t>no correction</w:t>
      </w:r>
      <w:r>
        <w:rPr>
          <w:rFonts w:ascii="Times New Roman" w:hAnsi="Times New Roman" w:eastAsia="Times New Roman" w:cs="Times New Roman"/>
          <w:b w:val="0"/>
          <w:i w:val="0"/>
          <w:sz w:val="24"/>
        </w:rPr>
        <w:t xml:space="preserve"> for almost every block: 0.7099 on BCI-2b (against 0.7063 uncorrected and 0.7417 fully corrected), 0.5631 on BCI-2a, 0.4565 on SEED, 0.7093 on grasp-and-lift. The reason is that correcting by the full shift makes the margins </w:t>
      </w:r>
      <w:r>
        <w:rPr>
          <w:rFonts w:ascii="Times New Roman" w:hAnsi="Times New Roman" w:eastAsia="Times New Roman" w:cs="Times New Roman"/>
          <w:b w:val="0"/>
          <w:i/>
          <w:sz w:val="24"/>
        </w:rPr>
        <w:t>wider</w:t>
      </w:r>
      <w:r>
        <w:rPr>
          <w:rFonts w:ascii="Times New Roman" w:hAnsi="Times New Roman" w:eastAsia="Times New Roman" w:cs="Times New Roman"/>
          <w:b w:val="0"/>
          <w:i w:val="0"/>
          <w:sz w:val="24"/>
        </w:rPr>
        <w:t xml:space="preserve"> than the source's, so the gate reads a correct correction as a distributional mismatch. We report the failure rather than a tuned variant of it: a decision rule that is label-free and reliable is the open problem this paper leaves.</w:t>
      </w:r>
    </w:p>
    <w:p>
      <w:pPr>
        <w:spacing w:before="0" w:after="0" w:line="480" w:lineRule="auto"/>
        <w:ind w:firstLine="0" w:left="0"/>
        <w:jc w:val="left"/>
      </w:pPr>
      <w:r>
        <w:rPr>
          <w:rFonts w:ascii="Times New Roman" w:hAnsi="Times New Roman" w:eastAsia="Times New Roman" w:cs="Times New Roman"/>
          <w:b w:val="0"/>
          <w:i w:val="0"/>
          <w:sz w:val="24"/>
        </w:rPr>
        <w:t>A second gate, built on the drift of the target stream itself, also fails, and in the opposite direction. The idea was to set the weight from the variance ratio of a one-way layout on the uncorrected scores, D = var(block means)/(within-block variance/m), so that lambda = 1/(1+D) is small when the stream drifts and large when it does not. D separates the datasets in the expected order — 0.30 on NER2015, 0.49 on BCI-2b, 2.6 on BCI-2a, 6.0 on grasp-and-lift and 489 on SEED — but the order is wrong for the purpose: SEED has the largest D because its segments come from long film blocks, so the gate sets lambda to zero exactly where correction is worth 0.22, and ends at 0.4601 against 0.6782 for the plain cumulative mean. On grasp-and-lift it chooses lambda = 0.50 and reaches 0.7236, below the shrunk rule. A variance ratio cannot tell a session offset, which is worth removing, from block structure, which is not.</w:t>
      </w:r>
    </w:p>
    <w:p>
      <w:pPr>
        <w:spacing w:before="0" w:after="0" w:line="480" w:lineRule="auto"/>
        <w:ind w:firstLine="0" w:left="0"/>
        <w:jc w:val="left"/>
      </w:pPr>
      <w:r>
        <w:rPr>
          <w:rFonts w:ascii="Times New Roman" w:hAnsi="Times New Roman" w:eastAsia="Times New Roman" w:cs="Times New Roman"/>
          <w:b/>
          <w:i w:val="0"/>
          <w:sz w:val="24"/>
        </w:rPr>
        <w:t>A gate built on direction works.</w:t>
      </w:r>
      <w:r>
        <w:rPr>
          <w:rFonts w:ascii="Times New Roman" w:hAnsi="Times New Roman" w:eastAsia="Times New Roman" w:cs="Times New Roman"/>
          <w:b w:val="0"/>
          <w:i w:val="0"/>
          <w:sz w:val="24"/>
        </w:rPr>
        <w:t xml:space="preserve"> The failures above have a common cause: both look at the </w:t>
      </w:r>
      <w:r>
        <w:rPr>
          <w:rFonts w:ascii="Times New Roman" w:hAnsi="Times New Roman" w:eastAsia="Times New Roman" w:cs="Times New Roman"/>
          <w:b w:val="0"/>
          <w:i/>
          <w:sz w:val="24"/>
        </w:rPr>
        <w:t>size</w:t>
      </w:r>
      <w:r>
        <w:rPr>
          <w:rFonts w:ascii="Times New Roman" w:hAnsi="Times New Roman" w:eastAsia="Times New Roman" w:cs="Times New Roman"/>
          <w:b w:val="0"/>
          <w:i w:val="0"/>
          <w:sz w:val="24"/>
        </w:rPr>
        <w:t xml:space="preserve"> of the scores, and size cannot separate a session offset, which is worth removing, from block structure, which is not. The offset has a direction, and the direction is the signal. For each block of m = 25 trials take the displacement that would bring that block's mean back to the source mean, expressed in the score space of the classifier,</w:t>
      </w:r>
    </w:p>
    <w:p>
      <w:pPr>
        <w:spacing w:before="0" w:after="0" w:line="480" w:lineRule="auto"/>
        <w:ind w:firstLine="0" w:left="0"/>
        <w:jc w:val="left"/>
      </w:pPr>
      <w:r>
        <w:rPr>
          <w:rFonts w:ascii="Times New Roman" w:hAnsi="Times New Roman" w:eastAsia="Times New Roman" w:cs="Times New Roman"/>
          <w:b w:val="0"/>
          <w:i w:val="0"/>
          <w:sz w:val="24"/>
        </w:rPr>
        <w:t>d_b = P W (μ_b − μ_A) ∈ R^K ,                                              (10)</w:t>
      </w:r>
    </w:p>
    <w:p>
      <w:pPr>
        <w:spacing w:before="0" w:after="0" w:line="480" w:lineRule="auto"/>
        <w:ind w:firstLine="0" w:left="0"/>
        <w:jc w:val="left"/>
      </w:pPr>
      <w:r>
        <w:rPr>
          <w:rFonts w:ascii="Times New Roman" w:hAnsi="Times New Roman" w:eastAsia="Times New Roman" w:cs="Times New Roman"/>
          <w:b w:val="0"/>
          <w:i w:val="0"/>
          <w:sz w:val="24"/>
        </w:rPr>
        <w:t>and let κ be the mean cosine between the d_b and their own mean direction over the blocks seen so far. If a session carries a stable offset every block needs the same displacement and κ → 1; if the mean is drifting the directions rotate and κ falls toward 0, with 0.5 the value expected from chance agreement. The weight is</w:t>
      </w:r>
    </w:p>
    <w:p>
      <w:pPr>
        <w:spacing w:before="0" w:after="0" w:line="480" w:lineRule="auto"/>
        <w:ind w:firstLine="0" w:left="0"/>
        <w:jc w:val="left"/>
      </w:pPr>
      <w:r>
        <w:rPr>
          <w:rFonts w:ascii="Times New Roman" w:hAnsi="Times New Roman" w:eastAsia="Times New Roman" w:cs="Times New Roman"/>
          <w:b w:val="0"/>
          <w:i w:val="0"/>
          <w:sz w:val="24"/>
        </w:rPr>
        <w:t>λ_t = clip((κ_t − 0.5)/0.5, 0, 1) ,                                        (11)</w:t>
      </w:r>
    </w:p>
    <w:p>
      <w:pPr>
        <w:spacing w:before="0" w:after="0" w:line="480" w:lineRule="auto"/>
        <w:ind w:firstLine="0" w:left="0"/>
        <w:jc w:val="left"/>
      </w:pPr>
      <w:r>
        <w:rPr>
          <w:rFonts w:ascii="Times New Roman" w:hAnsi="Times New Roman" w:eastAsia="Times New Roman" w:cs="Times New Roman"/>
          <w:b w:val="0"/>
          <w:i w:val="0"/>
          <w:sz w:val="24"/>
        </w:rPr>
        <w:t>recomputed at the end of every block. Nothing in (10)–(11) uses target labels, and both quantities are available from the features and the source model alone.</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The direction gate against the other rules, on the same post-prefix test set. The last row is the held-out dataset, which took no part in designing the gate. The intervals are subject-level paired differences against no correction.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cumulative</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shrunk (9)</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gate (11)</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λ</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gate − none</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0.7063</w:t>
            </w:r>
          </w:p>
        </w:tc>
        <w:tc>
          <w:tcPr>
            <w:tcW w:type="dxa" w:w="1296"/>
          </w:tcPr>
          <w:p>
            <w:pPr>
              <w:spacing w:before="40" w:after="40" w:line="240" w:lineRule="auto"/>
              <w:jc w:val="center"/>
            </w:pPr>
            <w:r/>
            <w:r>
              <w:rPr>
                <w:rFonts w:ascii="Times New Roman" w:hAnsi="Times New Roman" w:eastAsia="Times New Roman" w:cs="Times New Roman"/>
                <w:b w:val="0"/>
                <w:i w:val="0"/>
                <w:sz w:val="18"/>
              </w:rPr>
              <w:t>0.7417</w:t>
            </w:r>
          </w:p>
        </w:tc>
        <w:tc>
          <w:tcPr>
            <w:tcW w:type="dxa" w:w="1296"/>
          </w:tcPr>
          <w:p>
            <w:pPr>
              <w:spacing w:before="40" w:after="40" w:line="240" w:lineRule="auto"/>
              <w:jc w:val="center"/>
            </w:pPr>
            <w:r/>
            <w:r>
              <w:rPr>
                <w:rFonts w:ascii="Times New Roman" w:hAnsi="Times New Roman" w:eastAsia="Times New Roman" w:cs="Times New Roman"/>
                <w:b w:val="0"/>
                <w:i w:val="0"/>
                <w:sz w:val="18"/>
              </w:rPr>
              <w:t>0.7327</w:t>
            </w:r>
          </w:p>
        </w:tc>
        <w:tc>
          <w:tcPr>
            <w:tcW w:type="dxa" w:w="1296"/>
          </w:tcPr>
          <w:p>
            <w:pPr>
              <w:spacing w:before="40" w:after="40" w:line="240" w:lineRule="auto"/>
              <w:jc w:val="center"/>
            </w:pPr>
            <w:r/>
            <w:r>
              <w:rPr>
                <w:rFonts w:ascii="Times New Roman" w:hAnsi="Times New Roman" w:eastAsia="Times New Roman" w:cs="Times New Roman"/>
                <w:b/>
                <w:i w:val="0"/>
                <w:sz w:val="18"/>
              </w:rPr>
              <w:t>0.7190</w:t>
            </w:r>
          </w:p>
        </w:tc>
        <w:tc>
          <w:tcPr>
            <w:tcW w:type="dxa" w:w="1296"/>
          </w:tcPr>
          <w:p>
            <w:pPr>
              <w:spacing w:before="40" w:after="40" w:line="240" w:lineRule="auto"/>
              <w:jc w:val="center"/>
            </w:pPr>
            <w:r/>
            <w:r>
              <w:rPr>
                <w:rFonts w:ascii="Times New Roman" w:hAnsi="Times New Roman" w:eastAsia="Times New Roman" w:cs="Times New Roman"/>
                <w:b w:val="0"/>
                <w:i w:val="0"/>
                <w:sz w:val="18"/>
              </w:rPr>
              <w:t>0.7538</w:t>
            </w:r>
          </w:p>
        </w:tc>
        <w:tc>
          <w:tcPr>
            <w:tcW w:type="dxa" w:w="1296"/>
          </w:tcPr>
          <w:p>
            <w:pPr>
              <w:spacing w:before="40" w:after="40" w:line="240" w:lineRule="auto"/>
              <w:jc w:val="center"/>
            </w:pPr>
            <w:r/>
            <w:r>
              <w:rPr>
                <w:rFonts w:ascii="Times New Roman" w:hAnsi="Times New Roman" w:eastAsia="Times New Roman" w:cs="Times New Roman"/>
                <w:b w:val="0"/>
                <w:i w:val="0"/>
                <w:sz w:val="18"/>
              </w:rPr>
              <w:t>+0.013 [+0.000, +0.026]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0.5640</w:t>
            </w:r>
          </w:p>
        </w:tc>
        <w:tc>
          <w:tcPr>
            <w:tcW w:type="dxa" w:w="1296"/>
          </w:tcPr>
          <w:p>
            <w:pPr>
              <w:spacing w:before="40" w:after="40" w:line="240" w:lineRule="auto"/>
              <w:jc w:val="center"/>
            </w:pPr>
            <w:r/>
            <w:r>
              <w:rPr>
                <w:rFonts w:ascii="Times New Roman" w:hAnsi="Times New Roman" w:eastAsia="Times New Roman" w:cs="Times New Roman"/>
                <w:b w:val="0"/>
                <w:i w:val="0"/>
                <w:sz w:val="18"/>
              </w:rPr>
              <w:t>0.6077</w:t>
            </w:r>
          </w:p>
        </w:tc>
        <w:tc>
          <w:tcPr>
            <w:tcW w:type="dxa" w:w="1296"/>
          </w:tcPr>
          <w:p>
            <w:pPr>
              <w:spacing w:before="40" w:after="40" w:line="240" w:lineRule="auto"/>
              <w:jc w:val="center"/>
            </w:pPr>
            <w:r/>
            <w:r>
              <w:rPr>
                <w:rFonts w:ascii="Times New Roman" w:hAnsi="Times New Roman" w:eastAsia="Times New Roman" w:cs="Times New Roman"/>
                <w:b w:val="0"/>
                <w:i w:val="0"/>
                <w:sz w:val="18"/>
              </w:rPr>
              <w:t>0.6043</w:t>
            </w:r>
          </w:p>
        </w:tc>
        <w:tc>
          <w:tcPr>
            <w:tcW w:type="dxa" w:w="1296"/>
          </w:tcPr>
          <w:p>
            <w:pPr>
              <w:spacing w:before="40" w:after="40" w:line="240" w:lineRule="auto"/>
              <w:jc w:val="center"/>
            </w:pPr>
            <w:r/>
            <w:r>
              <w:rPr>
                <w:rFonts w:ascii="Times New Roman" w:hAnsi="Times New Roman" w:eastAsia="Times New Roman" w:cs="Times New Roman"/>
                <w:b/>
                <w:i w:val="0"/>
                <w:sz w:val="18"/>
              </w:rPr>
              <w:t>0.6004</w:t>
            </w:r>
          </w:p>
        </w:tc>
        <w:tc>
          <w:tcPr>
            <w:tcW w:type="dxa" w:w="1296"/>
          </w:tcPr>
          <w:p>
            <w:pPr>
              <w:spacing w:before="40" w:after="40" w:line="240" w:lineRule="auto"/>
              <w:jc w:val="center"/>
            </w:pPr>
            <w:r/>
            <w:r>
              <w:rPr>
                <w:rFonts w:ascii="Times New Roman" w:hAnsi="Times New Roman" w:eastAsia="Times New Roman" w:cs="Times New Roman"/>
                <w:b w:val="0"/>
                <w:i w:val="0"/>
                <w:sz w:val="18"/>
              </w:rPr>
              <w:t>0.6156</w:t>
            </w:r>
          </w:p>
        </w:tc>
        <w:tc>
          <w:tcPr>
            <w:tcW w:type="dxa" w:w="1296"/>
          </w:tcPr>
          <w:p>
            <w:pPr>
              <w:spacing w:before="40" w:after="40" w:line="240" w:lineRule="auto"/>
              <w:jc w:val="center"/>
            </w:pPr>
            <w:r/>
            <w:r>
              <w:rPr>
                <w:rFonts w:ascii="Times New Roman" w:hAnsi="Times New Roman" w:eastAsia="Times New Roman" w:cs="Times New Roman"/>
                <w:b w:val="0"/>
                <w:i w:val="0"/>
                <w:sz w:val="18"/>
              </w:rPr>
              <w:t>+0.036 [+0.021, +0.054]</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0.4599</w:t>
            </w:r>
          </w:p>
        </w:tc>
        <w:tc>
          <w:tcPr>
            <w:tcW w:type="dxa" w:w="1296"/>
          </w:tcPr>
          <w:p>
            <w:pPr>
              <w:spacing w:before="40" w:after="40" w:line="240" w:lineRule="auto"/>
              <w:jc w:val="center"/>
            </w:pPr>
            <w:r/>
            <w:r>
              <w:rPr>
                <w:rFonts w:ascii="Times New Roman" w:hAnsi="Times New Roman" w:eastAsia="Times New Roman" w:cs="Times New Roman"/>
                <w:b w:val="0"/>
                <w:i w:val="0"/>
                <w:sz w:val="18"/>
              </w:rPr>
              <w:t>0.6782</w:t>
            </w:r>
          </w:p>
        </w:tc>
        <w:tc>
          <w:tcPr>
            <w:tcW w:type="dxa" w:w="1296"/>
          </w:tcPr>
          <w:p>
            <w:pPr>
              <w:spacing w:before="40" w:after="40" w:line="240" w:lineRule="auto"/>
              <w:jc w:val="center"/>
            </w:pPr>
            <w:r/>
            <w:r>
              <w:rPr>
                <w:rFonts w:ascii="Times New Roman" w:hAnsi="Times New Roman" w:eastAsia="Times New Roman" w:cs="Times New Roman"/>
                <w:b w:val="0"/>
                <w:i w:val="0"/>
                <w:sz w:val="18"/>
              </w:rPr>
              <w:t>0.6845</w:t>
            </w:r>
          </w:p>
        </w:tc>
        <w:tc>
          <w:tcPr>
            <w:tcW w:type="dxa" w:w="1296"/>
          </w:tcPr>
          <w:p>
            <w:pPr>
              <w:spacing w:before="40" w:after="40" w:line="240" w:lineRule="auto"/>
              <w:jc w:val="center"/>
            </w:pPr>
            <w:r/>
            <w:r>
              <w:rPr>
                <w:rFonts w:ascii="Times New Roman" w:hAnsi="Times New Roman" w:eastAsia="Times New Roman" w:cs="Times New Roman"/>
                <w:b/>
                <w:i w:val="0"/>
                <w:sz w:val="18"/>
              </w:rPr>
              <w:t>0.6476</w:t>
            </w:r>
          </w:p>
        </w:tc>
        <w:tc>
          <w:tcPr>
            <w:tcW w:type="dxa" w:w="1296"/>
          </w:tcPr>
          <w:p>
            <w:pPr>
              <w:spacing w:before="40" w:after="40" w:line="240" w:lineRule="auto"/>
              <w:jc w:val="center"/>
            </w:pPr>
            <w:r/>
            <w:r>
              <w:rPr>
                <w:rFonts w:ascii="Times New Roman" w:hAnsi="Times New Roman" w:eastAsia="Times New Roman" w:cs="Times New Roman"/>
                <w:b w:val="0"/>
                <w:i w:val="0"/>
                <w:sz w:val="18"/>
              </w:rPr>
              <w:t>0.6979</w:t>
            </w:r>
          </w:p>
        </w:tc>
        <w:tc>
          <w:tcPr>
            <w:tcW w:type="dxa" w:w="1296"/>
          </w:tcPr>
          <w:p>
            <w:pPr>
              <w:spacing w:before="40" w:after="40" w:line="240" w:lineRule="auto"/>
              <w:jc w:val="center"/>
            </w:pPr>
            <w:r/>
            <w:r>
              <w:rPr>
                <w:rFonts w:ascii="Times New Roman" w:hAnsi="Times New Roman" w:eastAsia="Times New Roman" w:cs="Times New Roman"/>
                <w:b w:val="0"/>
                <w:i w:val="0"/>
                <w:sz w:val="18"/>
              </w:rPr>
              <w:t>+0.188 [+0.152, +0.227]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0.7704</w:t>
            </w:r>
          </w:p>
        </w:tc>
        <w:tc>
          <w:tcPr>
            <w:tcW w:type="dxa" w:w="1296"/>
          </w:tcPr>
          <w:p>
            <w:pPr>
              <w:spacing w:before="40" w:after="40" w:line="240" w:lineRule="auto"/>
              <w:jc w:val="center"/>
            </w:pPr>
            <w:r/>
            <w:r>
              <w:rPr>
                <w:rFonts w:ascii="Times New Roman" w:hAnsi="Times New Roman" w:eastAsia="Times New Roman" w:cs="Times New Roman"/>
                <w:b w:val="0"/>
                <w:i w:val="0"/>
                <w:sz w:val="18"/>
              </w:rPr>
              <w:t>0.6560</w:t>
            </w:r>
          </w:p>
        </w:tc>
        <w:tc>
          <w:tcPr>
            <w:tcW w:type="dxa" w:w="1296"/>
          </w:tcPr>
          <w:p>
            <w:pPr>
              <w:spacing w:before="40" w:after="40" w:line="240" w:lineRule="auto"/>
              <w:jc w:val="center"/>
            </w:pPr>
            <w:r/>
            <w:r>
              <w:rPr>
                <w:rFonts w:ascii="Times New Roman" w:hAnsi="Times New Roman" w:eastAsia="Times New Roman" w:cs="Times New Roman"/>
                <w:b w:val="0"/>
                <w:i w:val="0"/>
                <w:sz w:val="18"/>
              </w:rPr>
              <w:t>0.7465</w:t>
            </w:r>
          </w:p>
        </w:tc>
        <w:tc>
          <w:tcPr>
            <w:tcW w:type="dxa" w:w="1296"/>
          </w:tcPr>
          <w:p>
            <w:pPr>
              <w:spacing w:before="40" w:after="40" w:line="240" w:lineRule="auto"/>
              <w:jc w:val="center"/>
            </w:pPr>
            <w:r/>
            <w:r>
              <w:rPr>
                <w:rFonts w:ascii="Times New Roman" w:hAnsi="Times New Roman" w:eastAsia="Times New Roman" w:cs="Times New Roman"/>
                <w:b/>
                <w:i w:val="0"/>
                <w:sz w:val="18"/>
              </w:rPr>
              <w:t>0.7704</w:t>
            </w:r>
          </w:p>
        </w:tc>
        <w:tc>
          <w:tcPr>
            <w:tcW w:type="dxa" w:w="1296"/>
          </w:tcPr>
          <w:p>
            <w:pPr>
              <w:spacing w:before="40" w:after="40" w:line="240" w:lineRule="auto"/>
              <w:jc w:val="center"/>
            </w:pPr>
            <w:r/>
            <w:r>
              <w:rPr>
                <w:rFonts w:ascii="Times New Roman" w:hAnsi="Times New Roman" w:eastAsia="Times New Roman" w:cs="Times New Roman"/>
                <w:b w:val="0"/>
                <w:i w:val="0"/>
                <w:sz w:val="18"/>
              </w:rPr>
              <w:t>0.7813</w:t>
            </w:r>
          </w:p>
        </w:tc>
        <w:tc>
          <w:tcPr>
            <w:tcW w:type="dxa" w:w="1296"/>
          </w:tcPr>
          <w:p>
            <w:pPr>
              <w:spacing w:before="40" w:after="40" w:line="240" w:lineRule="auto"/>
              <w:jc w:val="center"/>
            </w:pPr>
            <w:r/>
            <w:r>
              <w:rPr>
                <w:rFonts w:ascii="Times New Roman" w:hAnsi="Times New Roman" w:eastAsia="Times New Roman" w:cs="Times New Roman"/>
                <w:b w:val="0"/>
                <w:i w:val="0"/>
                <w:sz w:val="18"/>
              </w:rPr>
              <w:t>+0.000 [+0.000, +0.000]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0.5878</w:t>
            </w:r>
          </w:p>
        </w:tc>
        <w:tc>
          <w:tcPr>
            <w:tcW w:type="dxa" w:w="1296"/>
          </w:tcPr>
          <w:p>
            <w:pPr>
              <w:spacing w:before="40" w:after="40" w:line="240" w:lineRule="auto"/>
              <w:jc w:val="center"/>
            </w:pPr>
            <w:r/>
            <w:r>
              <w:rPr>
                <w:rFonts w:ascii="Times New Roman" w:hAnsi="Times New Roman" w:eastAsia="Times New Roman" w:cs="Times New Roman"/>
                <w:b w:val="0"/>
                <w:i w:val="0"/>
                <w:sz w:val="18"/>
              </w:rPr>
              <w:t>0.5840</w:t>
            </w:r>
          </w:p>
        </w:tc>
        <w:tc>
          <w:tcPr>
            <w:tcW w:type="dxa" w:w="1296"/>
          </w:tcPr>
          <w:p>
            <w:pPr>
              <w:spacing w:before="40" w:after="40" w:line="240" w:lineRule="auto"/>
              <w:jc w:val="center"/>
            </w:pPr>
            <w:r/>
            <w:r>
              <w:rPr>
                <w:rFonts w:ascii="Times New Roman" w:hAnsi="Times New Roman" w:eastAsia="Times New Roman" w:cs="Times New Roman"/>
                <w:b w:val="0"/>
                <w:i w:val="0"/>
                <w:sz w:val="18"/>
              </w:rPr>
              <w:t>0.5867</w:t>
            </w:r>
          </w:p>
        </w:tc>
        <w:tc>
          <w:tcPr>
            <w:tcW w:type="dxa" w:w="1296"/>
          </w:tcPr>
          <w:p>
            <w:pPr>
              <w:spacing w:before="40" w:after="40" w:line="240" w:lineRule="auto"/>
              <w:jc w:val="center"/>
            </w:pPr>
            <w:r/>
            <w:r>
              <w:rPr>
                <w:rFonts w:ascii="Times New Roman" w:hAnsi="Times New Roman" w:eastAsia="Times New Roman" w:cs="Times New Roman"/>
                <w:b/>
                <w:i w:val="0"/>
                <w:sz w:val="18"/>
              </w:rPr>
              <w:t>0.5881</w:t>
            </w:r>
          </w:p>
        </w:tc>
        <w:tc>
          <w:tcPr>
            <w:tcW w:type="dxa" w:w="1296"/>
          </w:tcPr>
          <w:p>
            <w:pPr>
              <w:spacing w:before="40" w:after="40" w:line="240" w:lineRule="auto"/>
              <w:jc w:val="center"/>
            </w:pPr>
            <w:r/>
            <w:r>
              <w:rPr>
                <w:rFonts w:ascii="Times New Roman" w:hAnsi="Times New Roman" w:eastAsia="Times New Roman" w:cs="Times New Roman"/>
                <w:b w:val="0"/>
                <w:i w:val="0"/>
                <w:sz w:val="18"/>
              </w:rPr>
              <w:t>0.6015</w:t>
            </w:r>
          </w:p>
        </w:tc>
        <w:tc>
          <w:tcPr>
            <w:tcW w:type="dxa" w:w="1296"/>
          </w:tcPr>
          <w:p>
            <w:pPr>
              <w:spacing w:before="40" w:after="40" w:line="240" w:lineRule="auto"/>
              <w:jc w:val="center"/>
            </w:pPr>
            <w:r/>
            <w:r>
              <w:rPr>
                <w:rFonts w:ascii="Times New Roman" w:hAnsi="Times New Roman" w:eastAsia="Times New Roman" w:cs="Times New Roman"/>
                <w:b w:val="0"/>
                <w:i w:val="0"/>
                <w:sz w:val="18"/>
              </w:rPr>
              <w:t>+0.000 [−0.000, +0.001]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0.3613</w:t>
            </w:r>
          </w:p>
        </w:tc>
        <w:tc>
          <w:tcPr>
            <w:tcW w:type="dxa" w:w="1296"/>
          </w:tcPr>
          <w:p>
            <w:pPr>
              <w:spacing w:before="40" w:after="40" w:line="240" w:lineRule="auto"/>
              <w:jc w:val="center"/>
            </w:pPr>
            <w:r/>
            <w:r>
              <w:rPr>
                <w:rFonts w:ascii="Times New Roman" w:hAnsi="Times New Roman" w:eastAsia="Times New Roman" w:cs="Times New Roman"/>
                <w:b w:val="0"/>
                <w:i w:val="0"/>
                <w:sz w:val="18"/>
              </w:rPr>
              <w:t>0.5499</w:t>
            </w:r>
          </w:p>
        </w:tc>
        <w:tc>
          <w:tcPr>
            <w:tcW w:type="dxa" w:w="1296"/>
          </w:tcPr>
          <w:p>
            <w:pPr>
              <w:spacing w:before="40" w:after="40" w:line="240" w:lineRule="auto"/>
              <w:jc w:val="center"/>
            </w:pPr>
            <w:r/>
            <w:r>
              <w:rPr>
                <w:rFonts w:ascii="Times New Roman" w:hAnsi="Times New Roman" w:eastAsia="Times New Roman" w:cs="Times New Roman"/>
                <w:b w:val="0"/>
                <w:i w:val="0"/>
                <w:sz w:val="18"/>
              </w:rPr>
              <w:t>0.5250</w:t>
            </w:r>
          </w:p>
        </w:tc>
        <w:tc>
          <w:tcPr>
            <w:tcW w:type="dxa" w:w="1296"/>
          </w:tcPr>
          <w:p>
            <w:pPr>
              <w:spacing w:before="40" w:after="40" w:line="240" w:lineRule="auto"/>
              <w:jc w:val="center"/>
            </w:pPr>
            <w:r/>
            <w:r>
              <w:rPr>
                <w:rFonts w:ascii="Times New Roman" w:hAnsi="Times New Roman" w:eastAsia="Times New Roman" w:cs="Times New Roman"/>
                <w:b/>
                <w:i w:val="0"/>
                <w:sz w:val="18"/>
              </w:rPr>
              <w:t>0.5388</w:t>
            </w:r>
          </w:p>
        </w:tc>
        <w:tc>
          <w:tcPr>
            <w:tcW w:type="dxa" w:w="1296"/>
          </w:tcPr>
          <w:p>
            <w:pPr>
              <w:spacing w:before="40" w:after="40" w:line="240" w:lineRule="auto"/>
              <w:jc w:val="center"/>
            </w:pPr>
            <w:r/>
            <w:r>
              <w:rPr>
                <w:rFonts w:ascii="Times New Roman" w:hAnsi="Times New Roman" w:eastAsia="Times New Roman" w:cs="Times New Roman"/>
                <w:b w:val="0"/>
                <w:i w:val="0"/>
                <w:sz w:val="18"/>
              </w:rPr>
              <w:t>0.5903</w:t>
            </w:r>
          </w:p>
        </w:tc>
        <w:tc>
          <w:tcPr>
            <w:tcW w:type="dxa" w:w="1296"/>
          </w:tcPr>
          <w:p>
            <w:pPr>
              <w:spacing w:before="40" w:after="40" w:line="240" w:lineRule="auto"/>
              <w:jc w:val="center"/>
            </w:pPr>
            <w:r/>
            <w:r>
              <w:rPr>
                <w:rFonts w:ascii="Times New Roman" w:hAnsi="Times New Roman" w:eastAsia="Times New Roman" w:cs="Times New Roman"/>
                <w:b w:val="0"/>
                <w:i w:val="0"/>
                <w:sz w:val="18"/>
              </w:rPr>
              <w:t>+0.178 [+0.134, +0.225]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gate does what the other rules cannot: it is non-negative on all five development datasets, it turns the grasp-and-lift loss of the cumulative mean (−0.115) into an exact tie, and on the held-out dataset it beats the shrunk estimator by 0.014 and keeps 94 per cent of the transductive gain. It pays for that on the stable sessions, where it gives up 0.01 to 0.04 of the gain because κ there sits between 0.7 and 0.8 rather than at 1. The comparison with the oracle column shows what is left on the table: 0.01 to 0.05 per dataset, which is the price of deciding from the stream instead of from the labels.</w:t>
      </w:r>
    </w:p>
    <w:p>
      <w:pPr>
        <w:spacing w:before="0" w:after="0" w:line="480" w:lineRule="auto"/>
        <w:ind w:firstLine="0" w:left="0"/>
        <w:jc w:val="left"/>
      </w:pPr>
      <w:r>
        <w:rPr>
          <w:rFonts w:ascii="Times New Roman" w:hAnsi="Times New Roman" w:eastAsia="Times New Roman" w:cs="Times New Roman"/>
          <w:b w:val="0"/>
          <w:i w:val="0"/>
          <w:sz w:val="24"/>
        </w:rPr>
        <w:t>The gate has two constants, the block length m = 25 and the 0.5 offset that codes chance agreement; we fixed both before the held-out test and did not sweep them, and a sensitivity analysis of the pair is the first thing we would add before a deployment. The gate also explains the two failures above. Both of them measured the size of a correction; the gate measures whether the correction points the same way from block to block, which is the property that distinguishes an offset from a drift.</w:t>
      </w:r>
    </w:p>
    <w:p>
      <w:pPr>
        <w:spacing w:before="0" w:after="0" w:line="480" w:lineRule="auto"/>
        <w:ind w:firstLine="0" w:left="0"/>
        <w:jc w:val="left"/>
      </w:pPr>
      <w:r>
        <w:rPr>
          <w:rFonts w:ascii="Times New Roman" w:hAnsi="Times New Roman" w:eastAsia="Times New Roman" w:cs="Times New Roman"/>
          <w:b/>
          <w:i w:val="0"/>
          <w:sz w:val="24"/>
        </w:rPr>
        <w:t>The one-sided patch is the harmful variant, and its cost is measurable.</w:t>
      </w:r>
      <w:r>
        <w:rPr>
          <w:rFonts w:ascii="Times New Roman" w:hAnsi="Times New Roman" w:eastAsia="Times New Roman" w:cs="Times New Roman"/>
          <w:b w:val="0"/>
          <w:i w:val="0"/>
          <w:sz w:val="24"/>
        </w:rPr>
        <w:t xml:space="preserve"> Subtracting the estimate without adding the training mean back (Equation 8) costs 0.122 on BCI-2b, 0.047 on BCI-2a, 0.121 on SEED and 0.176 on grasp-and-lift relative to not correcting at all. That is the quantity the theory of Section 2.3 predicts, and it is an order of magnitude larger than the difference between good estimators.</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z_T values within 0.3 of each other on BCI-2b and within 0.01 on grasp-and-lift, which is the point: an equal-norm origin leaves the norm-based statistic essentially unchanged while the penalty moves by 0.13 to 0.31,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spacing w:before="0" w:after="0" w:line="480" w:lineRule="auto"/>
        <w:ind w:firstLine="0" w:left="0"/>
        <w:jc w:val="left"/>
      </w:pPr>
      <w:r>
        <w:rPr>
          <w:rFonts w:ascii="Times New Roman" w:hAnsi="Times New Roman" w:eastAsia="Times New Roman" w:cs="Times New Roman"/>
          <w:b/>
          <w:i w:val="0"/>
          <w:sz w:val="24"/>
        </w:rPr>
        <w:t>The same decomposition on real session shifts.</w:t>
      </w:r>
      <w:r>
        <w:rPr>
          <w:rFonts w:ascii="Times New Roman" w:hAnsi="Times New Roman" w:eastAsia="Times New Roman" w:cs="Times New Roman"/>
          <w:b w:val="0"/>
          <w:i w:val="0"/>
          <w:sz w:val="24"/>
        </w:rPr>
        <w:t xml:space="preserve"> The sweep injects an origin; a session shift is not one. We therefore took the observed shift d = μ_B − μ_A of each cell, set A = P W, and split d into the row space of A and its complement, d∥ = A⁺A d and d⊥ = (I − A⁺A) d, so that d = d∥ + d⊥ and A d⊥ = 0 exactly. The split has to use A and not W: ker(W) is contained in ker(P W) but is generally smaller, so a shift can move the raw scores and still leave every class-score difference untouched, and projecting on W would count it as relevant. By construction only the first can move a decision, and that is what Proposition 3 says; what the data add is that its </w:t>
      </w:r>
      <w:r>
        <w:rPr>
          <w:rFonts w:ascii="Times New Roman" w:hAnsi="Times New Roman" w:eastAsia="Times New Roman" w:cs="Times New Roman"/>
          <w:b w:val="0"/>
          <w:i/>
          <w:sz w:val="24"/>
        </w:rPr>
        <w:t>magnitude</w:t>
      </w:r>
      <w:r>
        <w:rPr>
          <w:rFonts w:ascii="Times New Roman" w:hAnsi="Times New Roman" w:eastAsia="Times New Roman" w:cs="Times New Roman"/>
          <w:b w:val="0"/>
          <w:i w:val="0"/>
          <w:sz w:val="24"/>
        </w:rPr>
        <w:t xml:space="preserve"> does not order the damage: across the 845 cells the rank correlation between ‖A d‖ and the penalty is +0.03, and between ‖d⊥‖ and the penalty +0.08, with within-dataset values between −0.04 and +0.59. The reason is the one Equation (4) gives: the damage is a threshold-crossing function of the shift and of where the threshold sits, not a monotone function of the shift. A real shift therefore does not reproduce the clean sweep, and the paper does not claim that it does — the sweep is a controlled input, the model of Section 2.3 is what connects it to the damage, and the online comparison of Section 4.2 is what connects the model to a deployment.</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 The four </w:t>
      </w:r>
      <w:r>
        <w:rPr>
          <w:rFonts w:ascii="Courier New" w:hAnsi="Courier New" w:eastAsia="Courier New" w:cs="Courier New"/>
          <w:b w:val="0"/>
          <w:i w:val="0"/>
          <w:sz w:val="21"/>
        </w:rPr>
        <w:t>euc_ea</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tan</w:t>
      </w:r>
      <w:r>
        <w:rPr>
          <w:rFonts w:ascii="Times New Roman" w:hAnsi="Times New Roman" w:eastAsia="Times New Roman" w:cs="Times New Roman"/>
          <w:b w:val="0"/>
          <w:i w:val="0"/>
          <w:sz w:val="21"/>
        </w:rPr>
        <w:t xml:space="preserve"> units are target-informed (Section 3); the source-only correlations quoted in the text are computed without them.</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 uses both sessions' covariances, so the classifier has seen the target; the source-only correlations are computed without these four rows.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0.22</w:t>
            </w:r>
          </w:p>
        </w:tc>
        <w:tc>
          <w:tcPr>
            <w:tcW w:type="dxa" w:w="1296"/>
          </w:tcPr>
          <w:p>
            <w:pPr>
              <w:spacing w:before="40" w:after="40" w:line="240" w:lineRule="auto"/>
              <w:jc w:val="center"/>
            </w:pPr>
            <w:r/>
            <w:r>
              <w:rPr>
                <w:rFonts w:ascii="Times New Roman" w:hAnsi="Times New Roman" w:eastAsia="Times New Roman" w:cs="Times New Roman"/>
                <w:b w:val="0"/>
                <w:i w:val="0"/>
                <w:sz w:val="18"/>
              </w:rPr>
              <w:t>0.068</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c>
          <w:tcPr>
            <w:tcW w:type="dxa" w:w="1296"/>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time mean</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c>
          <w:tcPr>
            <w:tcW w:type="dxa" w:w="1296"/>
          </w:tcPr>
          <w:p>
            <w:pPr>
              <w:spacing w:before="40" w:after="40" w:line="240" w:lineRule="auto"/>
              <w:jc w:val="center"/>
            </w:pPr>
            <w:r/>
            <w:r>
              <w:rPr>
                <w:rFonts w:ascii="Times New Roman" w:hAnsi="Times New Roman" w:eastAsia="Times New Roman" w:cs="Times New Roman"/>
                <w:b w:val="0"/>
                <w:i w:val="0"/>
                <w:sz w:val="18"/>
              </w:rPr>
              <w:t>0.230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log power</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c>
          <w:tcPr>
            <w:tcW w:type="dxa" w:w="1296"/>
          </w:tcPr>
          <w:p>
            <w:pPr>
              <w:spacing w:before="40" w:after="40" w:line="240" w:lineRule="auto"/>
              <w:jc w:val="center"/>
            </w:pPr>
            <w:r/>
            <w:r>
              <w:rPr>
                <w:rFonts w:ascii="Times New Roman" w:hAnsi="Times New Roman" w:eastAsia="Times New Roman" w:cs="Times New Roman"/>
                <w:b w:val="0"/>
                <w:i w:val="0"/>
                <w:sz w:val="18"/>
              </w:rPr>
              <w:t>0.289</w:t>
            </w:r>
          </w:p>
        </w:tc>
        <w:tc>
          <w:tcPr>
            <w:tcW w:type="dxa" w:w="1296"/>
          </w:tcPr>
          <w:p>
            <w:pPr>
              <w:spacing w:before="40" w:after="40" w:line="240" w:lineRule="auto"/>
              <w:jc w:val="center"/>
            </w:pPr>
            <w:r/>
            <w:r>
              <w:rPr>
                <w:rFonts w:ascii="Times New Roman" w:hAnsi="Times New Roman" w:eastAsia="Times New Roman" w:cs="Times New Roman"/>
                <w:b w:val="0"/>
                <w:i w:val="0"/>
                <w:sz w:val="18"/>
              </w:rPr>
              <w:t>−0.015</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0.40</w:t>
            </w:r>
          </w:p>
        </w:tc>
        <w:tc>
          <w:tcPr>
            <w:tcW w:type="dxa" w:w="1296"/>
          </w:tcPr>
          <w:p>
            <w:pPr>
              <w:spacing w:before="40" w:after="40" w:line="240" w:lineRule="auto"/>
              <w:jc w:val="center"/>
            </w:pPr>
            <w:r/>
            <w:r>
              <w:rPr>
                <w:rFonts w:ascii="Times New Roman" w:hAnsi="Times New Roman" w:eastAsia="Times New Roman" w:cs="Times New Roman"/>
                <w:b w:val="0"/>
                <w:i w:val="0"/>
                <w:sz w:val="18"/>
              </w:rPr>
              <w:t>0.287</w:t>
            </w:r>
          </w:p>
        </w:tc>
        <w:tc>
          <w:tcPr>
            <w:tcW w:type="dxa" w:w="1296"/>
          </w:tcPr>
          <w:p>
            <w:pPr>
              <w:spacing w:before="40" w:after="40" w:line="240" w:lineRule="auto"/>
              <w:jc w:val="center"/>
            </w:pPr>
            <w:r/>
            <w:r>
              <w:rPr>
                <w:rFonts w:ascii="Times New Roman" w:hAnsi="Times New Roman" w:eastAsia="Times New Roman" w:cs="Times New Roman"/>
                <w:b w:val="0"/>
                <w:i w:val="0"/>
                <w:sz w:val="18"/>
              </w:rPr>
              <w:t>+0.024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0.37</w:t>
            </w:r>
          </w:p>
        </w:tc>
        <w:tc>
          <w:tcPr>
            <w:tcW w:type="dxa" w:w="1296"/>
          </w:tcPr>
          <w:p>
            <w:pPr>
              <w:spacing w:before="40" w:after="40" w:line="240" w:lineRule="auto"/>
              <w:jc w:val="center"/>
            </w:pPr>
            <w:r/>
            <w:r>
              <w:rPr>
                <w:rFonts w:ascii="Times New Roman" w:hAnsi="Times New Roman" w:eastAsia="Times New Roman" w:cs="Times New Roman"/>
                <w:b w:val="0"/>
                <w:i w:val="0"/>
                <w:sz w:val="18"/>
              </w:rPr>
              <w:t>0.309</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0.64</w:t>
            </w:r>
          </w:p>
        </w:tc>
        <w:tc>
          <w:tcPr>
            <w:tcW w:type="dxa" w:w="1296"/>
          </w:tcPr>
          <w:p>
            <w:pPr>
              <w:spacing w:before="40" w:after="40" w:line="240" w:lineRule="auto"/>
              <w:jc w:val="center"/>
            </w:pPr>
            <w:r/>
            <w:r>
              <w:rPr>
                <w:rFonts w:ascii="Times New Roman" w:hAnsi="Times New Roman" w:eastAsia="Times New Roman" w:cs="Times New Roman"/>
                <w:b w:val="0"/>
                <w:i w:val="0"/>
                <w:sz w:val="18"/>
              </w:rPr>
              <w:t>0.597</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7.87</w:t>
            </w:r>
          </w:p>
        </w:tc>
        <w:tc>
          <w:tcPr>
            <w:tcW w:type="dxa" w:w="1296"/>
          </w:tcPr>
          <w:p>
            <w:pPr>
              <w:spacing w:before="40" w:after="40" w:line="240" w:lineRule="auto"/>
              <w:jc w:val="center"/>
            </w:pPr>
            <w:r/>
            <w:r>
              <w:rPr>
                <w:rFonts w:ascii="Times New Roman" w:hAnsi="Times New Roman" w:eastAsia="Times New Roman" w:cs="Times New Roman"/>
                <w:b w:val="0"/>
                <w:i w:val="0"/>
                <w:sz w:val="18"/>
              </w:rPr>
              <w:t>4.399</w:t>
            </w:r>
          </w:p>
        </w:tc>
        <w:tc>
          <w:tcPr>
            <w:tcW w:type="dxa" w:w="1296"/>
          </w:tcPr>
          <w:p>
            <w:pPr>
              <w:spacing w:before="40" w:after="40" w:line="240" w:lineRule="auto"/>
              <w:jc w:val="center"/>
            </w:pPr>
            <w:r/>
            <w:r>
              <w:rPr>
                <w:rFonts w:ascii="Times New Roman" w:hAnsi="Times New Roman" w:eastAsia="Times New Roman" w:cs="Times New Roman"/>
                <w:b w:val="0"/>
                <w:i w:val="0"/>
                <w:sz w:val="18"/>
              </w:rPr>
              <w:t>−0.184</w:t>
            </w:r>
          </w:p>
        </w:tc>
        <w:tc>
          <w:tcPr>
            <w:tcW w:type="dxa" w:w="1296"/>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21.2</w:t>
            </w:r>
          </w:p>
        </w:tc>
        <w:tc>
          <w:tcPr>
            <w:tcW w:type="dxa" w:w="1296"/>
          </w:tcPr>
          <w:p>
            <w:pPr>
              <w:spacing w:before="40" w:after="40" w:line="240" w:lineRule="auto"/>
              <w:jc w:val="center"/>
            </w:pPr>
            <w:r/>
            <w:r>
              <w:rPr>
                <w:rFonts w:ascii="Times New Roman" w:hAnsi="Times New Roman" w:eastAsia="Times New Roman" w:cs="Times New Roman"/>
                <w:b w:val="0"/>
                <w:i w:val="0"/>
                <w:sz w:val="18"/>
              </w:rPr>
              <w:t>5.117</w:t>
            </w:r>
          </w:p>
        </w:tc>
        <w:tc>
          <w:tcPr>
            <w:tcW w:type="dxa" w:w="1296"/>
          </w:tcPr>
          <w:p>
            <w:pPr>
              <w:spacing w:before="40" w:after="40" w:line="240" w:lineRule="auto"/>
              <w:jc w:val="center"/>
            </w:pPr>
            <w:r/>
            <w:r>
              <w:rPr>
                <w:rFonts w:ascii="Times New Roman" w:hAnsi="Times New Roman" w:eastAsia="Times New Roman" w:cs="Times New Roman"/>
                <w:b w:val="0"/>
                <w:i w:val="0"/>
                <w:sz w:val="18"/>
              </w:rPr>
              <w:t>−0.160</w:t>
            </w:r>
          </w:p>
        </w:tc>
        <w:tc>
          <w:tcPr>
            <w:tcW w:type="dxa" w:w="1296"/>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14.2</w:t>
            </w:r>
          </w:p>
        </w:tc>
        <w:tc>
          <w:tcPr>
            <w:tcW w:type="dxa" w:w="1296"/>
          </w:tcPr>
          <w:p>
            <w:pPr>
              <w:spacing w:before="40" w:after="40" w:line="240" w:lineRule="auto"/>
              <w:jc w:val="center"/>
            </w:pPr>
            <w:r/>
            <w:r>
              <w:rPr>
                <w:rFonts w:ascii="Times New Roman" w:hAnsi="Times New Roman" w:eastAsia="Times New Roman" w:cs="Times New Roman"/>
                <w:b w:val="0"/>
                <w:i w:val="0"/>
                <w:sz w:val="18"/>
              </w:rPr>
              <w:t>5.405</w:t>
            </w:r>
          </w:p>
        </w:tc>
        <w:tc>
          <w:tcPr>
            <w:tcW w:type="dxa" w:w="1296"/>
          </w:tcPr>
          <w:p>
            <w:pPr>
              <w:spacing w:before="40" w:after="40" w:line="240" w:lineRule="auto"/>
              <w:jc w:val="center"/>
            </w:pPr>
            <w:r/>
            <w:r>
              <w:rPr>
                <w:rFonts w:ascii="Times New Roman" w:hAnsi="Times New Roman" w:eastAsia="Times New Roman" w:cs="Times New Roman"/>
                <w:b w:val="0"/>
                <w:i w:val="0"/>
                <w:sz w:val="18"/>
              </w:rPr>
              <w:t>−0.137</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c>
          <w:tcPr>
            <w:tcW w:type="dxa" w:w="1296"/>
          </w:tcPr>
          <w:p>
            <w:pPr>
              <w:spacing w:before="40" w:after="40" w:line="240" w:lineRule="auto"/>
              <w:jc w:val="center"/>
            </w:pPr>
            <w:r/>
            <w:r>
              <w:rPr>
                <w:rFonts w:ascii="Times New Roman" w:hAnsi="Times New Roman" w:eastAsia="Times New Roman" w:cs="Times New Roman"/>
                <w:b w:val="0"/>
                <w:i w:val="0"/>
                <w:sz w:val="18"/>
              </w:rPr>
              <w:t>12.36</w:t>
            </w:r>
          </w:p>
        </w:tc>
        <w:tc>
          <w:tcPr>
            <w:tcW w:type="dxa" w:w="1296"/>
          </w:tcPr>
          <w:p>
            <w:pPr>
              <w:spacing w:before="40" w:after="40" w:line="240" w:lineRule="auto"/>
              <w:jc w:val="center"/>
            </w:pPr>
            <w:r/>
            <w:r>
              <w:rPr>
                <w:rFonts w:ascii="Times New Roman" w:hAnsi="Times New Roman" w:eastAsia="Times New Roman" w:cs="Times New Roman"/>
                <w:b w:val="0"/>
                <w:i w:val="0"/>
                <w:sz w:val="18"/>
              </w:rPr>
              <w:t>−0.029</w:t>
            </w:r>
          </w:p>
        </w:tc>
        <w:tc>
          <w:tcPr>
            <w:tcW w:type="dxa" w:w="1296"/>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57.1</w:t>
            </w:r>
          </w:p>
        </w:tc>
        <w:tc>
          <w:tcPr>
            <w:tcW w:type="dxa" w:w="1296"/>
          </w:tcPr>
          <w:p>
            <w:pPr>
              <w:spacing w:before="40" w:after="40" w:line="240" w:lineRule="auto"/>
              <w:jc w:val="center"/>
            </w:pPr>
            <w:r/>
            <w:r>
              <w:rPr>
                <w:rFonts w:ascii="Times New Roman" w:hAnsi="Times New Roman" w:eastAsia="Times New Roman" w:cs="Times New Roman"/>
                <w:b w:val="0"/>
                <w:i w:val="0"/>
                <w:sz w:val="18"/>
              </w:rPr>
              <w:t>23.31</w:t>
            </w:r>
          </w:p>
        </w:tc>
        <w:tc>
          <w:tcPr>
            <w:tcW w:type="dxa" w:w="1296"/>
          </w:tcPr>
          <w:p>
            <w:pPr>
              <w:spacing w:before="40" w:after="40" w:line="240" w:lineRule="auto"/>
              <w:jc w:val="center"/>
            </w:pPr>
            <w:r/>
            <w:r>
              <w:rPr>
                <w:rFonts w:ascii="Times New Roman" w:hAnsi="Times New Roman" w:eastAsia="Times New Roman" w:cs="Times New Roman"/>
                <w:b w:val="0"/>
                <w:i w:val="0"/>
                <w:sz w:val="18"/>
              </w:rPr>
              <w:t>−0.186</w:t>
            </w:r>
          </w:p>
        </w:tc>
        <w:tc>
          <w:tcPr>
            <w:tcW w:type="dxa" w:w="1296"/>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The statistic is defined relative to a feature origin.</w:t>
      </w:r>
      <w:r>
        <w:rPr>
          <w:rFonts w:ascii="Times New Roman" w:hAnsi="Times New Roman" w:eastAsia="Times New Roman" w:cs="Times New Roman"/>
          <w:b w:val="0"/>
          <w:i w:val="0"/>
          <w:sz w:val="24"/>
        </w:rPr>
        <w:t xml:space="preserve"> z_w uses the absolute source mean, so it answers the question "how far is this family's origin from the classifier's reference, in units of the score spread", not "how exposed is this family in an absolute sense". Translating every feature by a vector c changes the numerator to ‖D_σ⁻¹PW(μ_A + c)‖; a translation in the null space of PW leaves it unchanged, and a translation along the weights moves it one-for-one. The numbers in Table 5 are therefore comparable within one convention — the convention in which each dataset's features are built — and not across conventions; a feature family that is shifted by a constant before the pipeline would receive a different z_w. This is one reason we do not offer an absolute threshold, and it is a limitation of the quantity rather than of the measurement.</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 (282 of 320 cells have a degenerate within-class spread)</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Equation (4) is the standard threshold-shift formula of a two-class Gaussian model; what it adds here is not a new phenomenon but the statement that the sign of the effect is carried by t</w:t>
      </w:r>
      <w:r>
        <w:rPr>
          <w:rFonts w:ascii="Times New Roman" w:hAnsi="Times New Roman" w:eastAsia="Times New Roman" w:cs="Times New Roman"/>
          <w:b w:val="0"/>
          <w:i/>
          <w:sz w:val="24"/>
        </w:rPr>
        <w:t xml:space="preserve"> and that t</w:t>
      </w:r>
      <w:r>
        <w:rPr>
          <w:rFonts w:ascii="Times New Roman" w:hAnsi="Times New Roman" w:eastAsia="Times New Roman" w:cs="Times New Roman"/>
          <w:b w:val="0"/>
          <w:i w:val="0"/>
          <w:sz w:val="24"/>
        </w:rPr>
        <w:t xml:space="preserve"> is a property of the training session's own calibration, which is why the same correction helps a well-calibrated LDA and hurts a margin-anchored SVM. We therefore treat it as a mechanism with a measured range of validity, not as a predictive law. The label-free check above is the evidence for the second half of that sentence.</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and the median is reported beside the mean, not inside that interval.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 xml:space="preserve">After the correction a difference from the within-session reference remains. We call it the </w:t>
      </w:r>
      <w:r>
        <w:rPr>
          <w:rFonts w:ascii="Times New Roman" w:hAnsi="Times New Roman" w:eastAsia="Times New Roman" w:cs="Times New Roman"/>
          <w:b w:val="0"/>
          <w:i/>
          <w:sz w:val="24"/>
        </w:rPr>
        <w:t>observed cross-protocol difference</w:t>
      </w:r>
      <w:r>
        <w:rPr>
          <w:rFonts w:ascii="Times New Roman" w:hAnsi="Times New Roman" w:eastAsia="Times New Roman" w:cs="Times New Roman"/>
          <w:b w:val="0"/>
          <w:i w:val="0"/>
          <w:sz w:val="24"/>
        </w:rPr>
        <w:t>: the reference differs from the cross-session model in training-set size and in evaluation protocol, and it is not a ceiling — on BCI-2a the corrected pipeline (0.6119) is above it (0.5355), so the difference cannot be read as an information gap nor as a bound on what a label-free method could recover: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Six properties are checked by an executable test.</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tests_properties.py</w:t>
      </w:r>
      <w:r>
        <w:rPr>
          <w:rFonts w:ascii="Times New Roman" w:hAnsi="Times New Roman" w:eastAsia="Times New Roman" w:cs="Times New Roman"/>
          <w:b w:val="0"/>
          <w:i w:val="0"/>
          <w:sz w:val="24"/>
        </w:rPr>
        <w:t xml:space="preserve"> asserts, on a real cell of BCI-2b, that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give identical predictions sample by sample; that </w:t>
      </w:r>
      <w:r>
        <w:rPr>
          <w:rFonts w:ascii="Courier New" w:hAnsi="Courier New" w:eastAsia="Courier New" w:cs="Courier New"/>
          <w:b w:val="0"/>
          <w:i w:val="0"/>
          <w:sz w:val="24"/>
        </w:rPr>
        <w:t>z-score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do; that the feature-space and score-space corrections agree to 1e-10; that z_w is invariant to a class-common score term to 1e-12; that the collapse identity is consistent with the observed collapse; and that the causal mean at trial t is unchanged when every later trial is replaced by noise. All six pass, and the script prints one line per property.</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12.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stores a scaling estimated on the data given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(a fixed per-channel-type scaling by default, a fitted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in the </w:t>
            </w:r>
            <w:r>
              <w:rPr>
                <w:rFonts w:ascii="Courier New" w:hAnsi="Courier New" w:eastAsia="Courier New" w:cs="Courier New"/>
                <w:b w:val="0"/>
                <w:i w:val="0"/>
                <w:sz w:val="18"/>
              </w:rPr>
              <w:t>scalings='mean'</w:t>
            </w:r>
            <w:r>
              <w:rPr>
                <w:rFonts w:ascii="Times New Roman" w:hAnsi="Times New Roman" w:eastAsia="Times New Roman" w:cs="Times New Roman"/>
                <w:b w:val="0"/>
                <w:i w:val="0"/>
                <w:sz w:val="18"/>
              </w:rPr>
              <w:t xml:space="preserve"> mode) and applies it in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an observed difference from the within-session reference, not an identified information gap, and reporting the two separately prevents a corrected pipeline from being credited with the whole difference.</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A recent benchmark attributes the cross-session advantage of a tangent-space pipeline to its test-time recentering [20]. Our results accept the mechanism and qualify its availability: the recentering in that pipeline is transductive, and Section 4.2 shows that a causal version reproduces the gain from the fifth trial on BCI-2b and BCI-2a, only approaches it on SEED as the window grows, and on grasp-and-lift falls below not correcting at all. The mechanism is real; whether a deployment can have it is a separate question with a measured answer.</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causal experiment of Section 4.2 maps the limit: a cumulative estimate recovers the transductive gain on BCI-2b, BCI-2a and SEED, loses 0.115 on grasp-and-lift because the mean drifts within the session, and the shrunk estimator of Equation (9) is the only one that stays non-negative on all five datasets. A causal reference does not remove the need for calibration; it changes what a calibration failure looks like.</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61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across five development datasets the resulting damage ranges from nothing on time-domain contrast features to a collapse to chance on log-power and differential-entropy features with a large free origin; a sixth dataset, held out, behaves as the family it belongs to.</w:t>
      </w:r>
    </w:p>
    <w:p>
      <w:pPr>
        <w:spacing w:before="0" w:after="0" w:line="480" w:lineRule="auto"/>
        <w:ind w:firstLine="0" w:left="0"/>
        <w:jc w:val="left"/>
      </w:pPr>
      <w:r>
        <w:rPr>
          <w:rFonts w:ascii="Times New Roman" w:hAnsi="Times New Roman" w:eastAsia="Times New Roman" w:cs="Times New Roman"/>
          <w:b w:val="0"/>
          <w:i w:val="0"/>
          <w:sz w:val="24"/>
        </w:rPr>
        <w:t>What the comparison adds to a textbook statement is a measured boundary. The correction is exact for its own component, it composes with second-order alignment, it can be transported to the decision space of a frozen model, and it restores neither the observed cross-protocol difference nor a calibration that the wrong convention destroyed. A source-only statistic computed before the target session exists ranks feature families but does not screen sessions, and we report that as the open problem this audit leaves.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38d42f691d),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normalization on EEG-based BCI classification, Eng. Appl. Artif. Intell. 123 (2023) 106205.</w:t>
      </w:r>
    </w:p>
    <w:p>
      <w:pPr>
        <w:spacing w:before="0" w:after="80" w:line="360" w:lineRule="auto"/>
        <w:ind w:hanging="432" w:left="432"/>
        <w:jc w:val="left"/>
      </w:pPr>
      <w:r>
        <w:rPr>
          <w:rFonts w:ascii="Times New Roman" w:hAnsi="Times New Roman" w:eastAsia="Times New Roman" w:cs="Times New Roman"/>
          <w:b w:val="0"/>
          <w:i w:val="0"/>
          <w:sz w:val="22"/>
        </w:rPr>
        <w:t>[5] M. Congedo, A. Barachant, R. Bhatia,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M. Kawanabe, C. Vidaurre,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p>
      <w:pPr>
        <w:spacing w:before="0" w:after="80" w:line="360" w:lineRule="auto"/>
        <w:ind w:hanging="432" w:left="432"/>
        <w:jc w:val="left"/>
      </w:pPr>
      <w:r>
        <w:rPr>
          <w:rFonts w:ascii="Times New Roman" w:hAnsi="Times New Roman" w:eastAsia="Times New Roman" w:cs="Times New Roman"/>
          <w:b w:val="0"/>
          <w:i w:val="0"/>
          <w:sz w:val="22"/>
        </w:rPr>
        <w:t>[20] M. Rahimipour, M. M. Van Hulle, Simple geometric recentering rivals deep sequence models for cross-session EEG motor-imagery decoding, bioRxiv (2026) 2026.07.07.736991, version 1, posted 11 July 2026, accessed 28 October 2026. https://doi.org/10.64898/2026.07.07.736991</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