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The equivariant family of mean corrections is stated; uniqueness is not claimed.</w:t>
      </w:r>
    </w:p>
    <w:p>
      <w:pPr>
        <w:pStyle w:val="ListBullet"/>
      </w:pPr>
      <w:r>
        <w:t>Score-difference equivalence follows from the centred classifier weights.</w:t>
      </w:r>
    </w:p>
    <w:p>
      <w:pPr>
        <w:pStyle w:val="ListBullet"/>
      </w:pPr>
      <w:r>
        <w:t>Only the origin's projection on the weights damages the decoder, not its norm.</w:t>
      </w:r>
    </w:p>
    <w:p>
      <w:pPr>
        <w:pStyle w:val="ListBullet"/>
      </w:pPr>
      <w:r>
        <w:t>A causal running mean matches the batch correction; a frozen prefix fails.</w:t>
      </w:r>
    </w:p>
    <w:p>
      <w:pPr>
        <w:pStyle w:val="ListBullet"/>
      </w:pPr>
      <w:r>
        <w:t>A badly estimated mean can cost more than not correcting at all.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