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76" w:lineRule="auto"/>
        <w:ind w:firstLine="0" w:left="0"/>
        <w:jc w:val="left"/>
      </w:pPr>
      <w:r>
        <w:rPr>
          <w:rFonts w:ascii="Times New Roman" w:hAnsi="Times New Roman" w:eastAsia="Times New Roman" w:cs="Times New Roman"/>
          <w:b/>
          <w:i w:val="0"/>
          <w:sz w:val="32"/>
        </w:rPr>
        <w:t>An audit of mean correction in cross-session EEG decoding: equivariance, failure mechanism, and boundaries</w:t>
      </w:r>
    </w:p>
    <w:p>
      <w:pPr>
        <w:spacing w:after="160" w:line="276" w:lineRule="auto"/>
      </w:pPr>
      <w:r>
        <w:rPr>
          <w:rFonts w:ascii="Times New Roman" w:hAnsi="Times New Roman" w:eastAsia="Times New Roman" w:cs="Times New Roman"/>
          <w:b w:val="0"/>
          <w:i w:val="0"/>
          <w:sz w:val="24"/>
        </w:rPr>
        <w:t xml:space="preserve">Zihao Gong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Jiran Li </w:t>
      </w:r>
      <w:r>
        <w:rPr>
          <w:rFonts w:ascii="Times New Roman" w:hAnsi="Times New Roman" w:eastAsia="Times New Roman" w:cs="Times New Roman"/>
          <w:b w:val="0"/>
          <w:i w:val="0"/>
          <w:sz w:val="24"/>
          <w:vertAlign w:val="superscript"/>
        </w:rPr>
        <w:t>b,†</w:t>
      </w:r>
      <w:r>
        <w:rPr>
          <w:rFonts w:ascii="Times New Roman" w:hAnsi="Times New Roman" w:eastAsia="Times New Roman" w:cs="Times New Roman"/>
          <w:b w:val="0"/>
          <w:i w:val="0"/>
          <w:sz w:val="24"/>
        </w:rPr>
        <w:t xml:space="preserve">, Ke Huo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Yubin Han </w:t>
      </w:r>
      <w:r>
        <w:rPr>
          <w:rFonts w:ascii="Times New Roman" w:hAnsi="Times New Roman" w:eastAsia="Times New Roman" w:cs="Times New Roman"/>
          <w:b w:val="0"/>
          <w:i w:val="0"/>
          <w:sz w:val="24"/>
          <w:vertAlign w:val="superscript"/>
        </w:rPr>
        <w:t>c</w:t>
      </w:r>
      <w:r>
        <w:rPr>
          <w:rFonts w:ascii="Times New Roman" w:hAnsi="Times New Roman" w:eastAsia="Times New Roman" w:cs="Times New Roman"/>
          <w:b w:val="0"/>
          <w:i w:val="0"/>
          <w:sz w:val="24"/>
        </w:rPr>
        <w:t xml:space="preserve">, Guangyu Shi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Yongqiang Xie </w:t>
      </w:r>
      <w:r>
        <w:rPr>
          <w:rFonts w:ascii="Times New Roman" w:hAnsi="Times New Roman" w:eastAsia="Times New Roman" w:cs="Times New Roman"/>
          <w:b w:val="0"/>
          <w:i w:val="0"/>
          <w:sz w:val="24"/>
          <w:vertAlign w:val="superscript"/>
        </w:rPr>
        <w:t>a,*</w:t>
      </w:r>
    </w:p>
    <w:p>
      <w:pPr>
        <w:spacing w:after="40" w:line="276" w:lineRule="auto"/>
      </w:pPr>
      <w:r>
        <w:rPr>
          <w:rFonts w:ascii="Times New Roman" w:hAnsi="Times New Roman" w:eastAsia="Times New Roman" w:cs="Times New Roman"/>
          <w:b w:val="0"/>
          <w:i w:val="0"/>
          <w:sz w:val="22"/>
          <w:vertAlign w:val="superscript"/>
        </w:rPr>
        <w:t>a</w:t>
      </w:r>
      <w:r>
        <w:rPr>
          <w:rFonts w:ascii="Times New Roman" w:hAnsi="Times New Roman" w:eastAsia="Times New Roman" w:cs="Times New Roman"/>
          <w:b w:val="0"/>
          <w:i/>
          <w:sz w:val="22"/>
        </w:rPr>
        <w:t xml:space="preserve"> School of Mechano-Electronic Engineering, Xidian University, Xi'an 710071, China</w:t>
      </w:r>
    </w:p>
    <w:p>
      <w:pPr>
        <w:spacing w:after="40" w:line="276" w:lineRule="auto"/>
      </w:pPr>
      <w:r>
        <w:rPr>
          <w:rFonts w:ascii="Times New Roman" w:hAnsi="Times New Roman" w:eastAsia="Times New Roman" w:cs="Times New Roman"/>
          <w:b w:val="0"/>
          <w:i w:val="0"/>
          <w:sz w:val="22"/>
          <w:vertAlign w:val="superscript"/>
        </w:rPr>
        <w:t>b</w:t>
      </w:r>
      <w:r>
        <w:rPr>
          <w:rFonts w:ascii="Times New Roman" w:hAnsi="Times New Roman" w:eastAsia="Times New Roman" w:cs="Times New Roman"/>
          <w:b w:val="0"/>
          <w:i/>
          <w:sz w:val="22"/>
        </w:rPr>
        <w:t xml:space="preserve"> School of Humanities and Social Sciences, Beijing Forestry University, Beijing 100083, China</w:t>
      </w:r>
    </w:p>
    <w:p>
      <w:pPr>
        <w:spacing w:after="40" w:line="276" w:lineRule="auto"/>
      </w:pPr>
      <w:r>
        <w:rPr>
          <w:rFonts w:ascii="Times New Roman" w:hAnsi="Times New Roman" w:eastAsia="Times New Roman" w:cs="Times New Roman"/>
          <w:b w:val="0"/>
          <w:i w:val="0"/>
          <w:sz w:val="22"/>
          <w:vertAlign w:val="superscript"/>
        </w:rPr>
        <w:t>c</w:t>
      </w:r>
      <w:r>
        <w:rPr>
          <w:rFonts w:ascii="Times New Roman" w:hAnsi="Times New Roman" w:eastAsia="Times New Roman" w:cs="Times New Roman"/>
          <w:b w:val="0"/>
          <w:i/>
          <w:sz w:val="22"/>
        </w:rPr>
        <w:t xml:space="preserve"> School of Life Science and Technology, Xidian University, Xi'an 710071, China</w:t>
      </w:r>
    </w:p>
    <w:p>
      <w:pPr>
        <w:spacing w:before="200" w:after="40" w:line="276" w:lineRule="auto"/>
      </w:pPr>
      <w:r>
        <w:rPr>
          <w:rFonts w:ascii="Times New Roman" w:hAnsi="Times New Roman" w:eastAsia="Times New Roman" w:cs="Times New Roman"/>
          <w:b w:val="0"/>
          <w:i w:val="0"/>
          <w:sz w:val="22"/>
          <w:vertAlign w:val="superscript"/>
        </w:rPr>
        <w:t xml:space="preserve">† </w:t>
      </w:r>
      <w:r>
        <w:rPr>
          <w:rFonts w:ascii="Times New Roman" w:hAnsi="Times New Roman" w:eastAsia="Times New Roman" w:cs="Times New Roman"/>
          <w:b w:val="0"/>
          <w:i w:val="0"/>
          <w:sz w:val="22"/>
        </w:rPr>
        <w:t>These authors contributed equally to this work.</w:t>
      </w:r>
    </w:p>
    <w:p>
      <w:pPr>
        <w:spacing w:after="120" w:line="276" w:lineRule="auto"/>
      </w:pPr>
      <w:r>
        <w:rPr>
          <w:rFonts w:ascii="Times New Roman" w:hAnsi="Times New Roman" w:eastAsia="Times New Roman" w:cs="Times New Roman"/>
          <w:b w:val="0"/>
          <w:i w:val="0"/>
          <w:sz w:val="22"/>
        </w:rPr>
        <w:t>E-mail addresses: andy.zihao.gong@gmail.com (Z. Gong), dsx54188dsx@163.com (J. Li), huoke@stu.xidian.edu.cn (K. Huo), 2044037857@qq.com (Y. Han), 2793218576@qq.com (G. Shi), yqxie@xidian.edu.cn (Y. Xie, corresponding author).</w:t>
      </w:r>
    </w:p>
    <w:p>
      <w:pPr>
        <w:keepNext/>
        <w:spacing w:before="360" w:after="120" w:line="240" w:lineRule="auto"/>
      </w:pPr>
      <w:r>
        <w:rPr>
          <w:rFonts w:ascii="Times New Roman" w:hAnsi="Times New Roman" w:eastAsia="Times New Roman" w:cs="Times New Roman"/>
          <w:b/>
          <w:i w:val="0"/>
          <w:sz w:val="24"/>
        </w:rPr>
        <w:t>Abstract</w:t>
      </w:r>
    </w:p>
    <w:p>
      <w:pPr>
        <w:spacing w:after="200" w:line="480" w:lineRule="auto"/>
        <w:jc w:val="both"/>
      </w:pPr>
      <w:r>
        <w:rPr>
          <w:rFonts w:ascii="Times New Roman" w:hAnsi="Times New Roman" w:eastAsia="Times New Roman" w:cs="Times New Roman"/>
          <w:b w:val="0"/>
          <w:i w:val="0"/>
          <w:sz w:val="24"/>
        </w:rPr>
        <w:t>A mean correction is the first step of almost every cross-session EEG pipeline, and two operations circulate under that name: centring both sessions, or centring one. We audit the choice. Equivariance: a correction is invariant to a change of the coordinate origin exactly when it translates by a translation-equivariant estimate of the target mean; that family is larger than the sample mean. Score-difference equivalence: two corrections leave every class-score difference unchanged exactly when their references differ by a vector whose projection onto the centred classifier weights vanishes. Performance: its failure is a threshold displacement whose sign is set by the threshold error the training session already carries. The audit covers 845 cells from five datasets plus 90 from SEED-IV, used once as a held-out test. A controlled origin sweep leaves the equivariant pipelines unchanged by 0.000 in balanced accuracy and drives the one-sided form to exact chance; an equal-norm direction control shows that only the component of the origin along the classifier weights matters. A Gaussian model of the displacement explains the sign of the change for mean-calibrated linear classifiers when it is parameterised the way the model requires, and we report both the parameterisation that fits better and the one the model implies. A source-only statistic, defined so that it is invariant to decision-equivalent score representations, ranks feature families (AUC 0.84) but its cross-dataset association is rho = −0.77 (p = 0.10) and its held-out operating point has zero specificity. We report it as an open question, not as a screening tool.</w:t>
      </w:r>
    </w:p>
    <w:p>
      <w:pPr>
        <w:keepNext/>
        <w:spacing w:before="360" w:after="120" w:line="240" w:lineRule="auto"/>
      </w:pPr>
      <w:r>
        <w:rPr>
          <w:rFonts w:ascii="Times New Roman" w:hAnsi="Times New Roman" w:eastAsia="Times New Roman" w:cs="Times New Roman"/>
          <w:b/>
          <w:i w:val="0"/>
          <w:sz w:val="24"/>
        </w:rPr>
        <w:t>Keywords</w:t>
      </w:r>
    </w:p>
    <w:p>
      <w:pPr>
        <w:spacing w:after="280" w:line="480" w:lineRule="auto"/>
      </w:pPr>
      <w:r>
        <w:rPr>
          <w:rFonts w:ascii="Times New Roman" w:hAnsi="Times New Roman" w:eastAsia="Times New Roman" w:cs="Times New Roman"/>
          <w:b w:val="0"/>
          <w:i w:val="0"/>
          <w:sz w:val="24"/>
        </w:rPr>
        <w:t>cross-session EEG decoding; mean correction; origin equivariance; preprocessing audit; calibration; reproducibility</w:t>
      </w:r>
    </w:p>
    <w:p>
      <w:pPr>
        <w:keepNext/>
        <w:spacing w:before="360" w:after="120" w:line="240" w:lineRule="auto"/>
      </w:pPr>
      <w:r>
        <w:rPr>
          <w:rFonts w:ascii="Times New Roman" w:hAnsi="Times New Roman" w:eastAsia="Times New Roman" w:cs="Times New Roman"/>
          <w:b/>
          <w:i w:val="0"/>
          <w:sz w:val="24"/>
        </w:rPr>
        <w:t>1. Introduction</w:t>
      </w:r>
    </w:p>
    <w:p>
      <w:pPr>
        <w:spacing w:before="0" w:after="0" w:line="480" w:lineRule="auto"/>
        <w:ind w:firstLine="0" w:left="0"/>
        <w:jc w:val="left"/>
      </w:pPr>
      <w:r>
        <w:rPr>
          <w:rFonts w:ascii="Times New Roman" w:hAnsi="Times New Roman" w:eastAsia="Times New Roman" w:cs="Times New Roman"/>
          <w:b w:val="0"/>
          <w:i w:val="0"/>
          <w:sz w:val="24"/>
        </w:rPr>
        <w:t>A classifier trained on one recording session and applied to another usually loses accuracy, and the first step of almost every cross-session pipeline is to remove a mean. The step appears under several names — re-centring, mean removal, per-session normalisation, baseline correction — and it appears in pipelines that are otherwise unlike each other and inside calibration protocols [1-3]. It is also the step that is most often described ambiguously, because two different operations are called by the same name.</w:t>
      </w:r>
    </w:p>
    <w:p>
      <w:pPr>
        <w:spacing w:before="0" w:after="0" w:line="480" w:lineRule="auto"/>
        <w:ind w:firstLine="0" w:left="0"/>
        <w:jc w:val="left"/>
      </w:pPr>
      <w:r>
        <w:rPr>
          <w:rFonts w:ascii="Times New Roman" w:hAnsi="Times New Roman" w:eastAsia="Times New Roman" w:cs="Times New Roman"/>
          <w:b w:val="0"/>
          <w:i/>
          <w:sz w:val="24"/>
        </w:rPr>
        <w:t>Two-sided centring.</w:t>
      </w:r>
      <w:r>
        <w:rPr>
          <w:rFonts w:ascii="Times New Roman" w:hAnsi="Times New Roman" w:eastAsia="Times New Roman" w:cs="Times New Roman"/>
          <w:b w:val="0"/>
          <w:i w:val="0"/>
          <w:sz w:val="24"/>
        </w:rPr>
        <w:t xml:space="preserve"> Centre the training session on its own mean, fit the classifier on the centred data, and centre the target session on its own mean before predicting.</w:t>
      </w:r>
    </w:p>
    <w:p>
      <w:pPr>
        <w:spacing w:before="0" w:after="0" w:line="480" w:lineRule="auto"/>
        <w:ind w:firstLine="0" w:left="0"/>
        <w:jc w:val="left"/>
      </w:pPr>
      <w:r>
        <w:rPr>
          <w:rFonts w:ascii="Times New Roman" w:hAnsi="Times New Roman" w:eastAsia="Times New Roman" w:cs="Times New Roman"/>
          <w:b w:val="0"/>
          <w:i/>
          <w:sz w:val="24"/>
        </w:rPr>
        <w:t>One-sided centring.</w:t>
      </w:r>
      <w:r>
        <w:rPr>
          <w:rFonts w:ascii="Times New Roman" w:hAnsi="Times New Roman" w:eastAsia="Times New Roman" w:cs="Times New Roman"/>
          <w:b w:val="0"/>
          <w:i w:val="0"/>
          <w:sz w:val="24"/>
        </w:rPr>
        <w:t xml:space="preserve"> Centre one session and not the other. There are two forms, centring only the target or only the training session, and they shift the decision function in opposite directions.</w:t>
      </w:r>
    </w:p>
    <w:p>
      <w:pPr>
        <w:spacing w:before="0" w:after="0" w:line="480" w:lineRule="auto"/>
        <w:ind w:firstLine="0" w:left="0"/>
        <w:jc w:val="left"/>
      </w:pPr>
      <w:r>
        <w:rPr>
          <w:rFonts w:ascii="Times New Roman" w:hAnsi="Times New Roman" w:eastAsia="Times New Roman" w:cs="Times New Roman"/>
          <w:b w:val="0"/>
          <w:i w:val="0"/>
          <w:sz w:val="24"/>
        </w:rPr>
        <w:t>This paper is an audit of that choice rather than a proposal for a new decoder. It asks three questions and answers each with the weakest statement the evidence supports.</w:t>
      </w:r>
    </w:p>
    <w:p>
      <w:pPr>
        <w:spacing w:before="0" w:after="0" w:line="480" w:lineRule="auto"/>
        <w:ind w:firstLine="0" w:left="0"/>
        <w:jc w:val="left"/>
      </w:pPr>
      <w:r>
        <w:rPr>
          <w:rFonts w:ascii="Times New Roman" w:hAnsi="Times New Roman" w:eastAsia="Times New Roman" w:cs="Times New Roman"/>
          <w:b/>
          <w:i w:val="0"/>
          <w:sz w:val="24"/>
        </w:rPr>
        <w:t>Equivariance.</w:t>
      </w:r>
      <w:r>
        <w:rPr>
          <w:rFonts w:ascii="Times New Roman" w:hAnsi="Times New Roman" w:eastAsia="Times New Roman" w:cs="Times New Roman"/>
          <w:b w:val="0"/>
          <w:i w:val="0"/>
          <w:sz w:val="24"/>
        </w:rPr>
        <w:t xml:space="preserve"> Which corrections are invariant to a translation of the feature origin, and does the invariance single one out? Section 2.2 shows that the two-sided form is invariant and that the invariant family is larger than the sample mean, so the invariance cannot be used as a uniqueness argument. What it does establish is a requirement: a pipeline whose output depends on the unreported zero of the feature scale has a convention in it, and the convention is invisible.</w:t>
      </w:r>
    </w:p>
    <w:p>
      <w:pPr>
        <w:spacing w:before="0" w:after="0" w:line="480" w:lineRule="auto"/>
        <w:ind w:firstLine="0" w:left="0"/>
        <w:jc w:val="left"/>
      </w:pPr>
      <w:r>
        <w:rPr>
          <w:rFonts w:ascii="Times New Roman" w:hAnsi="Times New Roman" w:eastAsia="Times New Roman" w:cs="Times New Roman"/>
          <w:b/>
          <w:i w:val="0"/>
          <w:sz w:val="24"/>
        </w:rPr>
        <w:t>Equivalence.</w:t>
      </w:r>
      <w:r>
        <w:rPr>
          <w:rFonts w:ascii="Times New Roman" w:hAnsi="Times New Roman" w:eastAsia="Times New Roman" w:cs="Times New Roman"/>
          <w:b w:val="0"/>
          <w:i w:val="0"/>
          <w:sz w:val="24"/>
        </w:rPr>
        <w:t xml:space="preserve"> When do two corrections give the same predictions? Section 2.3 gives the exact condition in terms of the centred classifier weights, and separates it from the finite-sample question of whether any particular set of trials crosses the boundary that moves.</w:t>
      </w:r>
    </w:p>
    <w:p>
      <w:pPr>
        <w:spacing w:before="0" w:after="0" w:line="480" w:lineRule="auto"/>
        <w:ind w:firstLine="0" w:left="0"/>
        <w:jc w:val="left"/>
      </w:pPr>
      <w:r>
        <w:rPr>
          <w:rFonts w:ascii="Times New Roman" w:hAnsi="Times New Roman" w:eastAsia="Times New Roman" w:cs="Times New Roman"/>
          <w:b/>
          <w:i w:val="0"/>
          <w:sz w:val="24"/>
        </w:rPr>
        <w:t>Performance.</w:t>
      </w:r>
      <w:r>
        <w:rPr>
          <w:rFonts w:ascii="Times New Roman" w:hAnsi="Times New Roman" w:eastAsia="Times New Roman" w:cs="Times New Roman"/>
          <w:b w:val="0"/>
          <w:i w:val="0"/>
          <w:sz w:val="24"/>
        </w:rPr>
        <w:t xml:space="preserve"> Does the correction improve accuracy, and can the change be predicted? Sometimes it cannot, and the sign of the change is not governed by the size of the displacement: it is governed by where the training threshold already sits relative to the target optimum. Section 2.4 gives a Gaussian model of that mechanism, Section 4.5 tests it cell by cell under two parameterisations, and Section 6 states the boundaries.</w:t>
      </w:r>
    </w:p>
    <w:p>
      <w:pPr>
        <w:spacing w:before="0" w:after="0" w:line="480" w:lineRule="auto"/>
        <w:ind w:firstLine="0" w:left="0"/>
        <w:jc w:val="left"/>
      </w:pPr>
      <w:r>
        <w:rPr>
          <w:rFonts w:ascii="Times New Roman" w:hAnsi="Times New Roman" w:eastAsia="Times New Roman" w:cs="Times New Roman"/>
          <w:b/>
          <w:i w:val="0"/>
          <w:sz w:val="24"/>
        </w:rPr>
        <w:t>What the audit covers.</w:t>
      </w:r>
      <w:r>
        <w:rPr>
          <w:rFonts w:ascii="Times New Roman" w:hAnsi="Times New Roman" w:eastAsia="Times New Roman" w:cs="Times New Roman"/>
          <w:b w:val="0"/>
          <w:i w:val="0"/>
          <w:sz w:val="24"/>
        </w:rPr>
        <w:t xml:space="preserve"> Five public datasets, eleven dataset-by-representation units and 845 cells, chosen to span motor imagery, emotion, error-related potentials and movement, four feature families and three linear classifier families; a sixth dataset, SEED-IV, contributes 90 further cells and is used only as a held-out test of the one source-level statistic the paper defines. The measured quantities are not invented for the occasion: the origin distance of a feature family, the displacement it induces in the decision function, the sign of the resulting change, and the calibration of the resulting probabilities.</w:t>
      </w:r>
    </w:p>
    <w:p>
      <w:pPr>
        <w:spacing w:before="0" w:after="0" w:line="480" w:lineRule="auto"/>
        <w:ind w:firstLine="0" w:left="0"/>
        <w:jc w:val="left"/>
      </w:pPr>
      <w:r>
        <w:rPr>
          <w:rFonts w:ascii="Times New Roman" w:hAnsi="Times New Roman" w:eastAsia="Times New Roman" w:cs="Times New Roman"/>
          <w:b/>
          <w:i w:val="0"/>
          <w:sz w:val="24"/>
        </w:rPr>
        <w:t>What this paper does not claim.</w:t>
      </w:r>
      <w:r>
        <w:rPr>
          <w:rFonts w:ascii="Times New Roman" w:hAnsi="Times New Roman" w:eastAsia="Times New Roman" w:cs="Times New Roman"/>
          <w:b w:val="0"/>
          <w:i w:val="0"/>
          <w:sz w:val="24"/>
        </w:rPr>
        <w:t xml:space="preserve"> We do not claim that one-sided centring is frequent; we audited one published cross-session example and found it correct by construction (Section 6.4), and we put no number on the frequency of the mistake. We do not claim that two-sided centring is optimal; Section 4.5 exhibits the settings in which it is not. We do not claim that the source-only statistic is a screening instrument; its held-out operating point has zero specificity and we say so in the abstract. We do not claim that the Gaussian model is a quantitative law; it is a mechanism with a measured range of validity.</w:t>
      </w:r>
    </w:p>
    <w:p>
      <w:pPr>
        <w:spacing w:before="0" w:after="0" w:line="480" w:lineRule="auto"/>
        <w:ind w:firstLine="0" w:left="0"/>
        <w:jc w:val="left"/>
      </w:pPr>
      <w:r>
        <w:rPr>
          <w:rFonts w:ascii="Times New Roman" w:hAnsi="Times New Roman" w:eastAsia="Times New Roman" w:cs="Times New Roman"/>
          <w:b/>
          <w:i w:val="0"/>
          <w:sz w:val="24"/>
        </w:rPr>
        <w:t>Relation to prior work.</w:t>
      </w:r>
      <w:r>
        <w:rPr>
          <w:rFonts w:ascii="Times New Roman" w:hAnsi="Times New Roman" w:eastAsia="Times New Roman" w:cs="Times New Roman"/>
          <w:b w:val="0"/>
          <w:i w:val="0"/>
          <w:sz w:val="24"/>
        </w:rPr>
        <w:t xml:space="preserve"> Apicella et al. [4] compared normalisation schemes with domain-adaptation methods on three EEG datasets and found that an appropriate normalisation often outperforms the adaptation algorithm; our results are compatible and add a criterion, the invariance of the output to the coordinate origin. The nearest formal relatives are the Euclidean and Riemannian alignment families [5-8], which act on second-order structure; an alignment matrix that is a multiple of the identity performs no alignment, so the first-order correction audited here is not a special case of the second-order one, although the two compose (Section 4.6). Methods that remove session-specific directions [9,10] estimate a subspace in which the sessions agree rather than relocating a boundary by a constant. Calibrating a classifier to a new session by re-estimating an intercept from a few labelled trials [1,2] is the procedure onto which our analysis of label use maps; on four of five datasets it changes nothing relative to the label-free form, and on the fifth it gains 0.013 (Section 4.6).</w:t>
      </w:r>
    </w:p>
    <w:p>
      <w:pPr>
        <w:keepNext/>
        <w:spacing w:before="360" w:after="120" w:line="240" w:lineRule="auto"/>
      </w:pPr>
      <w:r>
        <w:rPr>
          <w:rFonts w:ascii="Times New Roman" w:hAnsi="Times New Roman" w:eastAsia="Times New Roman" w:cs="Times New Roman"/>
          <w:b/>
          <w:i w:val="0"/>
          <w:sz w:val="24"/>
        </w:rPr>
        <w:t>2. Theory</w:t>
      </w:r>
    </w:p>
    <w:p>
      <w:pPr>
        <w:keepNext/>
        <w:spacing w:before="240" w:after="120" w:line="240" w:lineRule="auto"/>
      </w:pPr>
      <w:r>
        <w:rPr>
          <w:rFonts w:ascii="Times New Roman" w:hAnsi="Times New Roman" w:eastAsia="Times New Roman" w:cs="Times New Roman"/>
          <w:b/>
          <w:i/>
          <w:sz w:val="24"/>
        </w:rPr>
        <w:t>2.1. Notation and the pipelines</w:t>
      </w:r>
    </w:p>
    <w:p>
      <w:pPr>
        <w:spacing w:before="0" w:after="0" w:line="480" w:lineRule="auto"/>
        <w:ind w:firstLine="0" w:left="0"/>
        <w:jc w:val="left"/>
      </w:pPr>
      <w:r>
        <w:rPr>
          <w:rFonts w:ascii="Times New Roman" w:hAnsi="Times New Roman" w:eastAsia="Times New Roman" w:cs="Times New Roman"/>
          <w:b w:val="0"/>
          <w:i w:val="0"/>
          <w:sz w:val="24"/>
        </w:rPr>
        <w:t>Let A denote the training session with features X_A and labels y_A, and B the target session with features X_B and labels y_B, the latter used only for evaluation. Write μA = mean(X_A), μB = mean(X_B), and s_A for the elementwise standard deviation of X_A. A linear classifier fitted on A gives scores</w:t>
      </w:r>
    </w:p>
    <w:p>
      <w:pPr>
        <w:spacing w:before="0" w:after="0" w:line="480" w:lineRule="auto"/>
        <w:ind w:firstLine="0" w:left="0"/>
        <w:jc w:val="left"/>
      </w:pPr>
      <w:r>
        <w:rPr>
          <w:rFonts w:ascii="Times New Roman" w:hAnsi="Times New Roman" w:eastAsia="Times New Roman" w:cs="Times New Roman"/>
          <w:b w:val="0"/>
          <w:i w:val="0"/>
          <w:sz w:val="24"/>
        </w:rPr>
        <w:t>s_k(x) = w_k'x + b_k ,   k = 1 ... K ,                                   (1)</w:t>
      </w:r>
    </w:p>
    <w:p>
      <w:pPr>
        <w:spacing w:before="0" w:after="0" w:line="480" w:lineRule="auto"/>
        <w:ind w:firstLine="0" w:left="0"/>
        <w:jc w:val="left"/>
      </w:pPr>
      <w:r>
        <w:rPr>
          <w:rFonts w:ascii="Times New Roman" w:hAnsi="Times New Roman" w:eastAsia="Times New Roman" w:cs="Times New Roman"/>
          <w:b w:val="0"/>
          <w:i w:val="0"/>
          <w:sz w:val="24"/>
        </w:rPr>
        <w:t>with prediction argmax_k s_k(x). Let W be the K × D matrix whose rows are w_k, S the K-column matrix of scores on a sample, and P = I_K − 11'/K the projector that removes the class mean from a K-vector. Linear discriminant analysis with Ledoit-Wolf shrinkage [11] is the primary classifier; Section 4.5 also uses logistic regression and a linear support-vector machine [17].</w:t>
      </w:r>
    </w:p>
    <w:p>
      <w:pPr>
        <w:keepNext/>
        <w:spacing w:before="240" w:after="80" w:line="240" w:lineRule="auto"/>
      </w:pPr>
      <w:r>
        <w:rPr>
          <w:rFonts w:ascii="Times New Roman" w:hAnsi="Times New Roman" w:eastAsia="Times New Roman" w:cs="Times New Roman"/>
          <w:b/>
          <w:i w:val="0"/>
          <w:sz w:val="21"/>
        </w:rPr>
        <w:t xml:space="preserve">Table 1. </w:t>
      </w:r>
      <w:r>
        <w:rPr>
          <w:rFonts w:ascii="Times New Roman" w:hAnsi="Times New Roman" w:eastAsia="Times New Roman" w:cs="Times New Roman"/>
          <w:b w:val="0"/>
          <w:i w:val="0"/>
          <w:sz w:val="21"/>
        </w:rPr>
        <w:t>The pipelines compared in this paper.</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2268"/>
        <w:gridCol w:w="2268"/>
        <w:gridCol w:w="2268"/>
        <w:gridCol w:w="2268"/>
      </w:tblGrid>
      <w:tr>
        <w:trPr>
          <w:tblHeader/>
        </w:trPr>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name</w:t>
            </w:r>
          </w:p>
        </w:tc>
        <w:tc>
          <w:tcPr>
            <w:tcW w:type="dxa" w:w="226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fitted on</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applied to</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origin-equivariant</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none</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zero</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mean</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 + μA</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dbl (refit)</w:t>
            </w:r>
          </w:p>
        </w:tc>
        <w:tc>
          <w:tcPr>
            <w:tcW w:type="dxa" w:w="2268"/>
          </w:tcPr>
          <w:p>
            <w:pPr>
              <w:spacing w:before="40" w:after="40" w:line="240" w:lineRule="auto"/>
              <w:jc w:val="left"/>
            </w:pPr>
            <w:r/>
            <w:r>
              <w:rPr>
                <w:rFonts w:ascii="Times New Roman" w:hAnsi="Times New Roman" w:eastAsia="Times New Roman" w:cs="Times New Roman"/>
                <w:b w:val="0"/>
                <w:i w:val="0"/>
                <w:sz w:val="18"/>
              </w:rPr>
              <w:t>X_A − μA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train-only</w:t>
            </w:r>
          </w:p>
        </w:tc>
        <w:tc>
          <w:tcPr>
            <w:tcW w:type="dxa" w:w="2268"/>
          </w:tcPr>
          <w:p>
            <w:pPr>
              <w:spacing w:before="40" w:after="40" w:line="240" w:lineRule="auto"/>
              <w:jc w:val="left"/>
            </w:pPr>
            <w:r/>
            <w:r>
              <w:rPr>
                <w:rFonts w:ascii="Times New Roman" w:hAnsi="Times New Roman" w:eastAsia="Times New Roman" w:cs="Times New Roman"/>
                <w:b w:val="0"/>
                <w:i w:val="0"/>
                <w:sz w:val="18"/>
              </w:rPr>
              <w:t>X_A − μA</w:t>
            </w:r>
          </w:p>
        </w:tc>
        <w:tc>
          <w:tcPr>
            <w:tcW w:type="dxa" w:w="2268"/>
          </w:tcPr>
          <w:p>
            <w:pPr>
              <w:spacing w:before="40" w:after="40" w:line="240" w:lineRule="auto"/>
              <w:jc w:val="center"/>
            </w:pPr>
            <w:r/>
            <w:r>
              <w:rPr>
                <w:rFonts w:ascii="Times New Roman" w:hAnsi="Times New Roman" w:eastAsia="Times New Roman" w:cs="Times New Roman"/>
                <w:b w:val="0"/>
                <w:i w:val="0"/>
                <w:sz w:val="18"/>
              </w:rPr>
              <w:t>X_B</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z-score</w:t>
            </w:r>
          </w:p>
        </w:tc>
        <w:tc>
          <w:tcPr>
            <w:tcW w:type="dxa" w:w="2268"/>
          </w:tcPr>
          <w:p>
            <w:pPr>
              <w:spacing w:before="40" w:after="40" w:line="240" w:lineRule="auto"/>
              <w:jc w:val="left"/>
            </w:pPr>
            <w:r/>
            <w:r>
              <w:rPr>
                <w:rFonts w:ascii="Times New Roman" w:hAnsi="Times New Roman" w:eastAsia="Times New Roman" w:cs="Times New Roman"/>
                <w:b w:val="0"/>
                <w:i w:val="0"/>
                <w:sz w:val="18"/>
              </w:rPr>
              <w:t>(X_A − μA)/s_A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μA)/s_A</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bl>
    <w:p>
      <w:pPr>
        <w:spacing w:before="0" w:after="200" w:line="240" w:lineRule="auto"/>
        <w:ind w:firstLine="0" w:left="0"/>
        <w:jc w:val="left"/>
      </w:pPr>
    </w:p>
    <w:p>
      <w:pPr>
        <w:keepNext/>
        <w:spacing w:before="240" w:after="120" w:line="240" w:lineRule="auto"/>
      </w:pPr>
      <w:r>
        <w:rPr>
          <w:rFonts w:ascii="Times New Roman" w:hAnsi="Times New Roman" w:eastAsia="Times New Roman" w:cs="Times New Roman"/>
          <w:b/>
          <w:i/>
          <w:sz w:val="24"/>
        </w:rPr>
        <w:t>2.2. Equivariance, and what it does not determine</w:t>
      </w:r>
    </w:p>
    <w:p>
      <w:pPr>
        <w:spacing w:before="0" w:after="0" w:line="480" w:lineRule="auto"/>
        <w:ind w:firstLine="0" w:left="0"/>
        <w:jc w:val="left"/>
      </w:pPr>
      <w:r>
        <w:rPr>
          <w:rFonts w:ascii="Times New Roman" w:hAnsi="Times New Roman" w:eastAsia="Times New Roman" w:cs="Times New Roman"/>
          <w:b/>
          <w:i w:val="0"/>
          <w:sz w:val="24"/>
        </w:rPr>
        <w:t>Proposition 1 (equivariance).</w:t>
      </w:r>
      <w:r>
        <w:rPr>
          <w:rFonts w:ascii="Times New Roman" w:hAnsi="Times New Roman" w:eastAsia="Times New Roman" w:cs="Times New Roman"/>
          <w:b w:val="0"/>
          <w:i w:val="0"/>
          <w:sz w:val="24"/>
        </w:rPr>
        <w:t xml:space="preserve"> Under the translation T_c : x ↦ x + c applied to all data with the classifier refitted, the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pipelines return predictions identical to those they returned before the translation, for every c, provided the fit has an unpenalised intercept.</w:t>
      </w:r>
    </w:p>
    <w:p>
      <w:pPr>
        <w:spacing w:before="0" w:after="0" w:line="480" w:lineRule="auto"/>
        <w:ind w:firstLine="0" w:left="0"/>
        <w:jc w:val="left"/>
      </w:pPr>
      <w:r>
        <w:rPr>
          <w:rFonts w:ascii="Times New Roman" w:hAnsi="Times New Roman" w:eastAsia="Times New Roman" w:cs="Times New Roman"/>
          <w:b w:val="0"/>
          <w:i/>
          <w:sz w:val="24"/>
        </w:rPr>
        <w:t>Proof for `mean`.</w:t>
      </w:r>
      <w:r>
        <w:rPr>
          <w:rFonts w:ascii="Times New Roman" w:hAnsi="Times New Roman" w:eastAsia="Times New Roman" w:cs="Times New Roman"/>
          <w:b w:val="0"/>
          <w:i w:val="0"/>
          <w:sz w:val="24"/>
        </w:rPr>
        <w:t xml:space="preserve"> The fit receives X_A + c; with an unpenalised intercept the weights are unchanged and the intercepts become b_k − w_k'c. The candidate features become (x + c) − (μB + c) + (μA + c) = (x − μB + μA) + c, whose scores are w_k'[(x − μB + μA) + c] + b_k − w_k'c, the scores the candidates received before the translation. The argmax is unchanged. For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both the training and the candidate features are unchanged, so no assumption on the fit is needed. For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the same cancellation occurs on both sides. QED</w:t>
      </w:r>
    </w:p>
    <w:p>
      <w:pPr>
        <w:spacing w:before="0" w:after="0" w:line="480" w:lineRule="auto"/>
        <w:ind w:firstLine="0" w:left="0"/>
        <w:jc w:val="left"/>
      </w:pPr>
      <w:r>
        <w:rPr>
          <w:rFonts w:ascii="Times New Roman" w:hAnsi="Times New Roman" w:eastAsia="Times New Roman" w:cs="Times New Roman"/>
          <w:b/>
          <w:i w:val="0"/>
          <w:sz w:val="24"/>
        </w:rPr>
        <w:t>Proposition 2 (the equivariant family).</w:t>
      </w:r>
      <w:r>
        <w:rPr>
          <w:rFonts w:ascii="Times New Roman" w:hAnsi="Times New Roman" w:eastAsia="Times New Roman" w:cs="Times New Roman"/>
          <w:b w:val="0"/>
          <w:i w:val="0"/>
          <w:sz w:val="24"/>
        </w:rPr>
        <w:t xml:space="preserve"> A correction x ↦ x − γ(X) is equivariant, i.e. γ(X + c1) = γ(X) + c1 for every c, if and only if γ(X) = μ(X) + h(X − μ(X)) for some h that is translation-invariant. The family therefore contains more than the sample mean.</w:t>
      </w:r>
    </w:p>
    <w:p>
      <w:pPr>
        <w:spacing w:before="0" w:after="0" w:line="480" w:lineRule="auto"/>
        <w:ind w:firstLine="0" w:left="0"/>
        <w:jc w:val="left"/>
      </w:pPr>
      <w:r>
        <w:rPr>
          <w:rFonts w:ascii="Times New Roman" w:hAnsi="Times New Roman" w:eastAsia="Times New Roman" w:cs="Times New Roman"/>
          <w:b w:val="0"/>
          <w:i/>
          <w:sz w:val="24"/>
        </w:rPr>
        <w:t>Proof.</w:t>
      </w:r>
      <w:r>
        <w:rPr>
          <w:rFonts w:ascii="Times New Roman" w:hAnsi="Times New Roman" w:eastAsia="Times New Roman" w:cs="Times New Roman"/>
          <w:b w:val="0"/>
          <w:i w:val="0"/>
          <w:sz w:val="24"/>
        </w:rPr>
        <w:t xml:space="preserve"> Write γ(X) = μ(X) + [γ(X) − μ(X)] and note that μ(X + c1) = μ(X) + c. Equivariance holds iff the bracket is unchanged by translation, i.e. iff it is a function of the centred sample only. QED</w:t>
      </w:r>
    </w:p>
    <w:p>
      <w:pPr>
        <w:spacing w:before="0" w:after="0" w:line="480" w:lineRule="auto"/>
        <w:ind w:firstLine="0" w:left="0"/>
        <w:jc w:val="left"/>
      </w:pPr>
      <w:r>
        <w:rPr>
          <w:rFonts w:ascii="Times New Roman" w:hAnsi="Times New Roman" w:eastAsia="Times New Roman" w:cs="Times New Roman"/>
          <w:b w:val="0"/>
          <w:i w:val="0"/>
          <w:sz w:val="24"/>
        </w:rPr>
        <w:t>Two remarks. A reference of the form μ + a with a fixed vector a is equivariant and is not the sample-mean correction; the two differ by a in score space, and unless Wa is class-constant they give different predictions. Equivariance therefore does not single out the sample mean, and no uniqueness is claimed. What can be said is that h = 0 is the member of the family that adds no offset at all beyond the sample mean; any other h must be justified by something other than invariance.</w:t>
      </w:r>
    </w:p>
    <w:p>
      <w:pPr>
        <w:spacing w:before="0" w:after="0" w:line="480" w:lineRule="auto"/>
        <w:ind w:firstLine="0" w:left="0"/>
        <w:jc w:val="left"/>
      </w:pPr>
      <w:r>
        <w:rPr>
          <w:rFonts w:ascii="Times New Roman" w:hAnsi="Times New Roman" w:eastAsia="Times New Roman" w:cs="Times New Roman"/>
          <w:b/>
          <w:i w:val="0"/>
          <w:sz w:val="24"/>
        </w:rPr>
        <w:t>Proposition 3 (score-difference equivalence).</w:t>
      </w:r>
      <w:r>
        <w:rPr>
          <w:rFonts w:ascii="Times New Roman" w:hAnsi="Times New Roman" w:eastAsia="Times New Roman" w:cs="Times New Roman"/>
          <w:b w:val="0"/>
          <w:i w:val="0"/>
          <w:sz w:val="24"/>
        </w:rPr>
        <w:t xml:space="preserve"> The score differences s_j − s_k are identical for every input x and every class pair (j,k) if and only if W(γ − γ') is a class-constant vector, equivalently P W(γ − γ') = 0.</w:t>
      </w:r>
    </w:p>
    <w:p>
      <w:pPr>
        <w:spacing w:before="0" w:after="0" w:line="480" w:lineRule="auto"/>
        <w:ind w:firstLine="0" w:left="0"/>
        <w:jc w:val="left"/>
      </w:pPr>
      <w:r>
        <w:rPr>
          <w:rFonts w:ascii="Times New Roman" w:hAnsi="Times New Roman" w:eastAsia="Times New Roman" w:cs="Times New Roman"/>
          <w:b w:val="0"/>
          <w:i/>
          <w:sz w:val="24"/>
        </w:rPr>
        <w:t>Proof.</w:t>
      </w:r>
      <w:r>
        <w:rPr>
          <w:rFonts w:ascii="Times New Roman" w:hAnsi="Times New Roman" w:eastAsia="Times New Roman" w:cs="Times New Roman"/>
          <w:b w:val="0"/>
          <w:i w:val="0"/>
          <w:sz w:val="24"/>
        </w:rPr>
        <w:t xml:space="preserve"> The score of x under reference γ is s_k(x − γ) = s_k(x) − w_k'γ. The difference between the two corrections is w_k'(γ − γ'), independent of x. Adding a vector v to all class scores leaves every score difference unchanged iff v is class-constant; hence the condition. QED</w:t>
      </w:r>
    </w:p>
    <w:p>
      <w:pPr>
        <w:spacing w:before="0" w:after="0" w:line="480" w:lineRule="auto"/>
        <w:ind w:firstLine="0" w:left="0"/>
        <w:jc w:val="left"/>
      </w:pPr>
      <w:r>
        <w:rPr>
          <w:rFonts w:ascii="Times New Roman" w:hAnsi="Times New Roman" w:eastAsia="Times New Roman" w:cs="Times New Roman"/>
          <w:b w:val="0"/>
          <w:i w:val="0"/>
          <w:sz w:val="24"/>
        </w:rPr>
        <w:t>For a finite target sample the condition is sufficient but not necessary for identical predictions: if no trial crosses the boundary that the difference moves, the labels agree. A class whose score is dominated everywhere can also be shifted without changing a decision, so label equivalence is strictly weaker than score-difference equivalence.</w:t>
      </w:r>
    </w:p>
    <w:p>
      <w:pPr>
        <w:spacing w:before="0" w:after="0" w:line="480" w:lineRule="auto"/>
        <w:ind w:firstLine="0" w:left="0"/>
        <w:jc w:val="left"/>
      </w:pPr>
      <w:r>
        <w:rPr>
          <w:rFonts w:ascii="Times New Roman" w:hAnsi="Times New Roman" w:eastAsia="Times New Roman" w:cs="Times New Roman"/>
          <w:b/>
          <w:i w:val="0"/>
          <w:sz w:val="24"/>
        </w:rPr>
        <w:t>Proposition 4 (rank preservation).</w:t>
      </w:r>
      <w:r>
        <w:rPr>
          <w:rFonts w:ascii="Times New Roman" w:hAnsi="Times New Roman" w:eastAsia="Times New Roman" w:cs="Times New Roman"/>
          <w:b w:val="0"/>
          <w:i w:val="0"/>
          <w:sz w:val="24"/>
        </w:rPr>
        <w:t xml:space="preserve"> For any two samples x, x' and any two classes j, k, the comparison s_j(x) − s_k(x) versus s_j(x') − s_k(x') is unchanged by any of the six pipelines, because the added constants are identical for x and x'. Consequently threshold-free ranking measures are unchanged. The statement holds for a </w:t>
      </w:r>
      <w:r>
        <w:rPr>
          <w:rFonts w:ascii="Times New Roman" w:hAnsi="Times New Roman" w:eastAsia="Times New Roman" w:cs="Times New Roman"/>
          <w:b w:val="0"/>
          <w:i/>
          <w:sz w:val="24"/>
        </w:rPr>
        <w:t>fixed</w:t>
      </w:r>
      <w:r>
        <w:rPr>
          <w:rFonts w:ascii="Times New Roman" w:hAnsi="Times New Roman" w:eastAsia="Times New Roman" w:cs="Times New Roman"/>
          <w:b w:val="0"/>
          <w:i w:val="0"/>
          <w:sz w:val="24"/>
        </w:rPr>
        <w:t xml:space="preserve"> model; for a refitted or standardised pipeline the scores are recomputed and it does not apply.</w:t>
      </w:r>
    </w:p>
    <w:p>
      <w:pPr>
        <w:keepNext/>
        <w:spacing w:before="240" w:after="120" w:line="240" w:lineRule="auto"/>
      </w:pPr>
      <w:r>
        <w:rPr>
          <w:rFonts w:ascii="Times New Roman" w:hAnsi="Times New Roman" w:eastAsia="Times New Roman" w:cs="Times New Roman"/>
          <w:b/>
          <w:i/>
          <w:sz w:val="24"/>
        </w:rPr>
        <w:t>2.3. What governs the damage</w:t>
      </w:r>
    </w:p>
    <w:p>
      <w:pPr>
        <w:spacing w:before="0" w:after="0" w:line="480" w:lineRule="auto"/>
        <w:ind w:firstLine="0" w:left="0"/>
        <w:jc w:val="left"/>
      </w:pPr>
      <w:r>
        <w:rPr>
          <w:rFonts w:ascii="Times New Roman" w:hAnsi="Times New Roman" w:eastAsia="Times New Roman" w:cs="Times New Roman"/>
          <w:b/>
          <w:i w:val="0"/>
          <w:sz w:val="24"/>
        </w:rPr>
        <w:t>The displacement.</w:t>
      </w:r>
      <w:r>
        <w:rPr>
          <w:rFonts w:ascii="Times New Roman" w:hAnsi="Times New Roman" w:eastAsia="Times New Roman" w:cs="Times New Roman"/>
          <w:b w:val="0"/>
          <w:i w:val="0"/>
          <w:sz w:val="24"/>
        </w:rPr>
        <w:t xml:space="preserve"> For a sample mean μ and a classifier with scores S, define</w:t>
      </w:r>
    </w:p>
    <w:p>
      <w:pPr>
        <w:spacing w:before="0" w:after="0" w:line="480" w:lineRule="auto"/>
        <w:ind w:firstLine="0" w:left="0"/>
        <w:jc w:val="left"/>
      </w:pPr>
      <w:r>
        <w:rPr>
          <w:rFonts w:ascii="Times New Roman" w:hAnsi="Times New Roman" w:eastAsia="Times New Roman" w:cs="Times New Roman"/>
          <w:b w:val="0"/>
          <w:i w:val="0"/>
          <w:sz w:val="24"/>
        </w:rPr>
        <w:t>ρ(μ) = ‖ D_σ⁻¹ P W μ ‖ / √K ,   D_σ = diag(σ_1, …, σ_K),   σ_k = SD[(P S)_{:,k}] .   (2)</w:t>
      </w:r>
    </w:p>
    <w:p>
      <w:pPr>
        <w:spacing w:before="0" w:after="0" w:line="480" w:lineRule="auto"/>
        <w:ind w:firstLine="0" w:left="0"/>
        <w:jc w:val="left"/>
      </w:pPr>
      <w:r>
        <w:rPr>
          <w:rFonts w:ascii="Times New Roman" w:hAnsi="Times New Roman" w:eastAsia="Times New Roman" w:cs="Times New Roman"/>
          <w:b w:val="0"/>
          <w:i w:val="0"/>
          <w:sz w:val="24"/>
        </w:rPr>
        <w:t xml:space="preserve">The scale is taken from the </w:t>
      </w:r>
      <w:r>
        <w:rPr>
          <w:rFonts w:ascii="Times New Roman" w:hAnsi="Times New Roman" w:eastAsia="Times New Roman" w:cs="Times New Roman"/>
          <w:b/>
          <w:i w:val="0"/>
          <w:sz w:val="24"/>
        </w:rPr>
        <w:t>centred</w:t>
      </w:r>
      <w:r>
        <w:rPr>
          <w:rFonts w:ascii="Times New Roman" w:hAnsi="Times New Roman" w:eastAsia="Times New Roman" w:cs="Times New Roman"/>
          <w:b w:val="0"/>
          <w:i w:val="0"/>
          <w:sz w:val="24"/>
        </w:rPr>
        <w:t xml:space="preserve"> scores P S, and this matters: with σ_k taken from the raw columns, adding a class-common linear term a'x to every score leaves all predictions unchanged but changes the per-class score spreads, so the statistic would depend on how a decision function is written rather than on what it decides. With the scale from P S both numerator and scale are invariant, because P(W + 1a') = PW and P(S + a'x) = P S; we verify this numerically in Section 4.10. Equation (2) is the definition throughout; the scalar form |w'μ_A|/σ_s used later is its binary special case, valid when K = 2 or when all σ_k are equal.</w:t>
      </w:r>
    </w:p>
    <w:p>
      <w:pPr>
        <w:spacing w:before="0" w:after="0" w:line="480" w:lineRule="auto"/>
        <w:ind w:firstLine="0" w:left="0"/>
        <w:jc w:val="left"/>
      </w:pPr>
      <w:r>
        <w:rPr>
          <w:rFonts w:ascii="Times New Roman" w:hAnsi="Times New Roman" w:eastAsia="Times New Roman" w:cs="Times New Roman"/>
          <w:b w:val="0"/>
          <w:i w:val="0"/>
          <w:sz w:val="24"/>
        </w:rPr>
        <w:t xml:space="preserve">Two instances of Equation (2) are used. With μ = μ_A it is the </w:t>
      </w:r>
      <w:r>
        <w:rPr>
          <w:rFonts w:ascii="Times New Roman" w:hAnsi="Times New Roman" w:eastAsia="Times New Roman" w:cs="Times New Roman"/>
          <w:b w:val="0"/>
          <w:i/>
          <w:sz w:val="24"/>
        </w:rPr>
        <w:t>source-only</w:t>
      </w:r>
      <w:r>
        <w:rPr>
          <w:rFonts w:ascii="Times New Roman" w:hAnsi="Times New Roman" w:eastAsia="Times New Roman" w:cs="Times New Roman"/>
          <w:b w:val="0"/>
          <w:i w:val="0"/>
          <w:sz w:val="24"/>
        </w:rPr>
        <w:t xml:space="preserve"> statistic z_w, computable before any target data; with μ = μ_B it is the displacement ρ that the one-sided pipeline induces, computable from the target features but not from its labels.</w:t>
      </w:r>
    </w:p>
    <w:p>
      <w:pPr>
        <w:spacing w:before="0" w:after="0" w:line="480" w:lineRule="auto"/>
        <w:ind w:firstLine="0" w:left="0"/>
        <w:jc w:val="left"/>
      </w:pPr>
      <w:r>
        <w:rPr>
          <w:rFonts w:ascii="Times New Roman" w:hAnsi="Times New Roman" w:eastAsia="Times New Roman" w:cs="Times New Roman"/>
          <w:b/>
          <w:i w:val="0"/>
          <w:sz w:val="24"/>
        </w:rPr>
        <w:t>The size.</w:t>
      </w:r>
      <w:r>
        <w:rPr>
          <w:rFonts w:ascii="Times New Roman" w:hAnsi="Times New Roman" w:eastAsia="Times New Roman" w:cs="Times New Roman"/>
          <w:b w:val="0"/>
          <w:i w:val="0"/>
          <w:sz w:val="24"/>
        </w:rPr>
        <w:t xml:space="preserve"> If the class-conditional scores of the aligned target were Gaussian with equal variance and the training threshold were optimal, the balanced accuracy at a threshold displaced by u standard deviations would be</w:t>
      </w:r>
    </w:p>
    <w:p>
      <w:pPr>
        <w:spacing w:before="0" w:after="0" w:line="480" w:lineRule="auto"/>
        <w:ind w:firstLine="0" w:left="0"/>
        <w:jc w:val="left"/>
      </w:pPr>
      <w:r>
        <w:rPr>
          <w:rFonts w:ascii="Times New Roman" w:hAnsi="Times New Roman" w:eastAsia="Times New Roman" w:cs="Times New Roman"/>
          <w:b w:val="0"/>
          <w:i w:val="0"/>
          <w:sz w:val="24"/>
        </w:rPr>
        <w:t>BA(c, u) = ½ [ Φ(c + u) + Φ(c − u) ] ,                                     (3)</w:t>
      </w:r>
    </w:p>
    <w:p>
      <w:pPr>
        <w:spacing w:before="0" w:after="0" w:line="480" w:lineRule="auto"/>
        <w:ind w:firstLine="0" w:left="0"/>
        <w:jc w:val="left"/>
      </w:pPr>
      <w:r>
        <w:rPr>
          <w:rFonts w:ascii="Times New Roman" w:hAnsi="Times New Roman" w:eastAsia="Times New Roman" w:cs="Times New Roman"/>
          <w:b w:val="0"/>
          <w:i w:val="0"/>
          <w:sz w:val="24"/>
        </w:rPr>
        <w:t>with c the standardised half-separation. At u = 0 this is Φ(c), and for small u it falls as ½ c φ(c) u². The coefficient c φ(c) is not monotone: it increases up to c = 1, i.e. aligned balanced accuracy 0.84, and decreases beyond. The most exposed decoder is therefore neither the worst nor the best one.</w:t>
      </w:r>
    </w:p>
    <w:p>
      <w:pPr>
        <w:spacing w:before="0" w:after="0" w:line="480" w:lineRule="auto"/>
        <w:ind w:firstLine="0" w:left="0"/>
        <w:jc w:val="left"/>
      </w:pPr>
      <w:r>
        <w:rPr>
          <w:rFonts w:ascii="Times New Roman" w:hAnsi="Times New Roman" w:eastAsia="Times New Roman" w:cs="Times New Roman"/>
          <w:b/>
          <w:i w:val="0"/>
          <w:sz w:val="24"/>
        </w:rPr>
        <w:t>The sign.</w:t>
      </w:r>
      <w:r>
        <w:rPr>
          <w:rFonts w:ascii="Times New Roman" w:hAnsi="Times New Roman" w:eastAsia="Times New Roman" w:cs="Times New Roman"/>
          <w:b w:val="0"/>
          <w:i w:val="0"/>
          <w:sz w:val="24"/>
        </w:rPr>
        <w:t xml:space="preserve"> Equation (3) is written around the </w:t>
      </w:r>
      <w:r>
        <w:rPr>
          <w:rFonts w:ascii="Times New Roman" w:hAnsi="Times New Roman" w:eastAsia="Times New Roman" w:cs="Times New Roman"/>
          <w:b w:val="0"/>
          <w:i/>
          <w:sz w:val="24"/>
        </w:rPr>
        <w:t>optimal</w:t>
      </w:r>
      <w:r>
        <w:rPr>
          <w:rFonts w:ascii="Times New Roman" w:hAnsi="Times New Roman" w:eastAsia="Times New Roman" w:cs="Times New Roman"/>
          <w:b w:val="0"/>
          <w:i w:val="0"/>
          <w:sz w:val="24"/>
        </w:rPr>
        <w:t xml:space="preserve"> threshold, and the one-sided pipeline does not start there. Let s be the extra displacement that the one-sided pipeline applies relative to the two-sided one, and t* the displacement of the aligned threshold from the target optimum, both signed and in units of the score scale. The change is</w:t>
      </w:r>
    </w:p>
    <w:p>
      <w:pPr>
        <w:spacing w:before="0" w:after="0" w:line="480" w:lineRule="auto"/>
        <w:ind w:firstLine="0" w:left="0"/>
        <w:jc w:val="left"/>
      </w:pPr>
      <w:r>
        <w:rPr>
          <w:rFonts w:ascii="Times New Roman" w:hAnsi="Times New Roman" w:eastAsia="Times New Roman" w:cs="Times New Roman"/>
          <w:b w:val="0"/>
          <w:i w:val="0"/>
          <w:sz w:val="24"/>
        </w:rPr>
        <w:t>Δ = BA(c, t</w:t>
      </w:r>
      <w:r>
        <w:rPr>
          <w:rFonts w:ascii="Times New Roman" w:hAnsi="Times New Roman" w:eastAsia="Times New Roman" w:cs="Times New Roman"/>
          <w:b w:val="0"/>
          <w:i/>
          <w:sz w:val="24"/>
        </w:rPr>
        <w:t xml:space="preserve"> + s) − BA(c, t</w:t>
      </w:r>
      <w:r>
        <w:rPr>
          <w:rFonts w:ascii="Times New Roman" w:hAnsi="Times New Roman" w:eastAsia="Times New Roman" w:cs="Times New Roman"/>
          <w:b w:val="0"/>
          <w:i w:val="0"/>
          <w:sz w:val="24"/>
        </w:rPr>
        <w:t>) ,                                            (4)</w:t>
      </w:r>
    </w:p>
    <w:p>
      <w:pPr>
        <w:spacing w:before="0" w:after="0" w:line="480" w:lineRule="auto"/>
        <w:ind w:firstLine="0" w:left="0"/>
        <w:jc w:val="left"/>
      </w:pPr>
      <w:r>
        <w:rPr>
          <w:rFonts w:ascii="Times New Roman" w:hAnsi="Times New Roman" w:eastAsia="Times New Roman" w:cs="Times New Roman"/>
          <w:b w:val="0"/>
          <w:i w:val="0"/>
          <w:sz w:val="24"/>
        </w:rPr>
        <w:t>which is negative when the displacement moves the threshold away from the optimum and positive when it moves it closer. The magnitude ρ is unsigned and cannot determine this sign; the sign is carried by t*. Note that s and ρ are different quantities: ρ uses μ_B and measures the zero-versus-none shift, while s uses μ_A and measures the zero-versus-mean shift.</w:t>
      </w:r>
    </w:p>
    <w:p>
      <w:pPr>
        <w:keepNext/>
        <w:spacing w:before="240" w:after="120" w:line="240" w:lineRule="auto"/>
      </w:pPr>
      <w:r>
        <w:rPr>
          <w:rFonts w:ascii="Times New Roman" w:hAnsi="Times New Roman" w:eastAsia="Times New Roman" w:cs="Times New Roman"/>
          <w:b/>
          <w:i/>
          <w:sz w:val="24"/>
        </w:rPr>
        <w:t>2.4. What cannot be repaired</w:t>
      </w:r>
    </w:p>
    <w:p>
      <w:pPr>
        <w:spacing w:before="0" w:after="0" w:line="480" w:lineRule="auto"/>
        <w:ind w:firstLine="0" w:left="0"/>
        <w:jc w:val="left"/>
      </w:pPr>
      <w:r>
        <w:rPr>
          <w:rFonts w:ascii="Times New Roman" w:hAnsi="Times New Roman" w:eastAsia="Times New Roman" w:cs="Times New Roman"/>
          <w:b w:val="0"/>
          <w:i w:val="0"/>
          <w:sz w:val="24"/>
        </w:rPr>
        <w:t>Write m_kB = m_kA + ḡ + h_k with ḡ = Σ_k π_kB (m_kB − m_kA) the prior-weighted class-conditional offset, so that Σ_k π_kB h_k = 0 by construction. Then</w:t>
      </w:r>
    </w:p>
    <w:p>
      <w:pPr>
        <w:spacing w:before="0" w:after="0" w:line="480" w:lineRule="auto"/>
        <w:ind w:firstLine="0" w:left="0"/>
        <w:jc w:val="left"/>
      </w:pPr>
      <w:r>
        <w:rPr>
          <w:rFonts w:ascii="Times New Roman" w:hAnsi="Times New Roman" w:eastAsia="Times New Roman" w:cs="Times New Roman"/>
          <w:b w:val="0"/>
          <w:i w:val="0"/>
          <w:sz w:val="24"/>
        </w:rPr>
        <w:t>μ_B − μ_A = ḡ + Σ_k (π_kB − π_kA) m_kA .                                    (5)</w:t>
      </w:r>
    </w:p>
    <w:p>
      <w:pPr>
        <w:spacing w:before="0" w:after="0" w:line="480" w:lineRule="auto"/>
        <w:ind w:firstLine="0" w:left="0"/>
        <w:jc w:val="left"/>
      </w:pPr>
      <w:r>
        <w:rPr>
          <w:rFonts w:ascii="Times New Roman" w:hAnsi="Times New Roman" w:eastAsia="Times New Roman" w:cs="Times New Roman"/>
          <w:b w:val="0"/>
          <w:i w:val="0"/>
          <w:sz w:val="24"/>
        </w:rPr>
        <w:t>The second term is the change in the mixture of the source class means; it is present even when nothing about the class-conditional distributions changes. Under the constraint the h_k do not enter the mean at all — they enter the class-conditional placement, which is where the residual of Section 4.9 comes from. Subtracting μB − μA removes the class-conditional offset and the prior-induced mixture term together; on a balanced design the second term vanishes, and when the priors change it does not.</w:t>
      </w:r>
    </w:p>
    <w:p>
      <w:pPr>
        <w:spacing w:before="0" w:after="0" w:line="480" w:lineRule="auto"/>
        <w:ind w:firstLine="0" w:left="0"/>
        <w:jc w:val="left"/>
      </w:pPr>
      <w:r>
        <w:rPr>
          <w:rFonts w:ascii="Times New Roman" w:hAnsi="Times New Roman" w:eastAsia="Times New Roman" w:cs="Times New Roman"/>
          <w:b w:val="0"/>
          <w:i w:val="0"/>
          <w:sz w:val="24"/>
        </w:rPr>
        <w:t>If the class-conditional distributions are unchanged, p_B(x | y) = p_A(x | y), the target priors are identifiable from unlabelled target data and can be estimated by the EM procedure of Saerens et al. [12]. Without that assumption a prior change and a class-conditional offset are confounded, since both act on the first two moments of the mixture, and no label-free method separates them.</w:t>
      </w:r>
    </w:p>
    <w:p>
      <w:pPr>
        <w:keepNext/>
        <w:spacing w:before="240" w:after="120" w:line="240" w:lineRule="auto"/>
      </w:pPr>
      <w:r>
        <w:rPr>
          <w:rFonts w:ascii="Times New Roman" w:hAnsi="Times New Roman" w:eastAsia="Times New Roman" w:cs="Times New Roman"/>
          <w:b/>
          <w:i/>
          <w:sz w:val="24"/>
        </w:rPr>
        <w:t>2.5. The collapse identity</w:t>
      </w:r>
    </w:p>
    <w:p>
      <w:pPr>
        <w:spacing w:before="0" w:after="0" w:line="480" w:lineRule="auto"/>
        <w:ind w:firstLine="0" w:left="0"/>
        <w:jc w:val="left"/>
      </w:pPr>
      <w:r>
        <w:rPr>
          <w:rFonts w:ascii="Times New Roman" w:hAnsi="Times New Roman" w:eastAsia="Times New Roman" w:cs="Times New Roman"/>
          <w:b w:val="0"/>
          <w:i w:val="0"/>
          <w:sz w:val="24"/>
        </w:rPr>
        <w:t xml:space="preserve">After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centring the classifier returns a single class c for every target sample if and only if, for every k ≠ c,</w:t>
      </w:r>
    </w:p>
    <w:p>
      <w:pPr>
        <w:spacing w:before="0" w:after="0" w:line="480" w:lineRule="auto"/>
        <w:ind w:firstLine="0" w:left="0"/>
        <w:jc w:val="left"/>
      </w:pPr>
      <w:r>
        <w:rPr>
          <w:rFonts w:ascii="Times New Roman" w:hAnsi="Times New Roman" w:eastAsia="Times New Roman" w:cs="Times New Roman"/>
          <w:b w:val="0"/>
          <w:i w:val="0"/>
          <w:sz w:val="24"/>
        </w:rPr>
        <w:t>w_k'μB − w_c'μB  ≥  max_x [ s_k(x) − s_c(x) ] ,                            (6)</w:t>
      </w:r>
    </w:p>
    <w:p>
      <w:pPr>
        <w:spacing w:before="0" w:after="0" w:line="480" w:lineRule="auto"/>
        <w:ind w:firstLine="0" w:left="0"/>
        <w:jc w:val="left"/>
      </w:pPr>
      <w:r>
        <w:rPr>
          <w:rFonts w:ascii="Times New Roman" w:hAnsi="Times New Roman" w:eastAsia="Times New Roman" w:cs="Times New Roman"/>
          <w:b w:val="0"/>
          <w:i w:val="0"/>
          <w:sz w:val="24"/>
        </w:rPr>
        <w:t>with equality resolved by the argmax tie-breaking rule (the smallest class index wins in our implementation). This is an identity: it rewrites argmax_k s_k(x − μB) = c for all x. It is useful operationally, because it can be checked from the fitted weights, the target mean and the target scores before any label, and because it distinguishes collapse from chance-level accuracy. It is not a predictive method, and the simplest label-free check of collapse remains counting the distinct predicted classes.</w:t>
      </w:r>
    </w:p>
    <w:p>
      <w:pPr>
        <w:keepNext/>
        <w:spacing w:before="360" w:after="120" w:line="240" w:lineRule="auto"/>
      </w:pPr>
      <w:r>
        <w:rPr>
          <w:rFonts w:ascii="Times New Roman" w:hAnsi="Times New Roman" w:eastAsia="Times New Roman" w:cs="Times New Roman"/>
          <w:b/>
          <w:i w:val="0"/>
          <w:sz w:val="24"/>
        </w:rPr>
        <w:t>3. Data and protocol</w:t>
      </w:r>
    </w:p>
    <w:p>
      <w:pPr>
        <w:spacing w:before="0" w:after="0" w:line="480" w:lineRule="auto"/>
        <w:ind w:firstLine="0" w:left="0"/>
        <w:jc w:val="left"/>
      </w:pPr>
      <w:r>
        <w:rPr>
          <w:rFonts w:ascii="Times New Roman" w:hAnsi="Times New Roman" w:eastAsia="Times New Roman" w:cs="Times New Roman"/>
          <w:b/>
          <w:i w:val="0"/>
          <w:sz w:val="24"/>
        </w:rPr>
        <w:t>Datasets.</w:t>
      </w:r>
      <w:r>
        <w:rPr>
          <w:rFonts w:ascii="Times New Roman" w:hAnsi="Times New Roman" w:eastAsia="Times New Roman" w:cs="Times New Roman"/>
          <w:b w:val="0"/>
          <w:i w:val="0"/>
          <w:sz w:val="24"/>
        </w:rPr>
        <w:t xml:space="preserve"> Six public datasets, chosen to span tasks, feature families and session structures.</w:t>
      </w:r>
    </w:p>
    <w:p>
      <w:pPr>
        <w:spacing w:before="0" w:after="0" w:line="480" w:lineRule="auto"/>
        <w:ind w:firstLine="0" w:left="0"/>
        <w:jc w:val="left"/>
      </w:pPr>
      <w:r>
        <w:rPr>
          <w:rFonts w:ascii="Times New Roman" w:hAnsi="Times New Roman" w:eastAsia="Times New Roman" w:cs="Times New Roman"/>
          <w:b w:val="0"/>
          <w:i/>
          <w:sz w:val="24"/>
        </w:rPr>
        <w:t>BCI Competition IV 2a</w:t>
      </w:r>
      <w:r>
        <w:rPr>
          <w:rFonts w:ascii="Times New Roman" w:hAnsi="Times New Roman" w:eastAsia="Times New Roman" w:cs="Times New Roman"/>
          <w:b w:val="0"/>
          <w:i w:val="0"/>
          <w:sz w:val="24"/>
        </w:rPr>
        <w:t xml:space="preserve"> [13]: four motor-imagery classes, 22 channels, 250 Hz, nine subjects, two sessions on different days; features from the 2.0–6.0 s window after trial onset, band-passed 8–30 Hz, in four representations.</w:t>
      </w:r>
    </w:p>
    <w:p>
      <w:pPr>
        <w:spacing w:before="0" w:after="0" w:line="480" w:lineRule="auto"/>
        <w:ind w:firstLine="0" w:left="0"/>
        <w:jc w:val="left"/>
      </w:pPr>
      <w:r>
        <w:rPr>
          <w:rFonts w:ascii="Times New Roman" w:hAnsi="Times New Roman" w:eastAsia="Times New Roman" w:cs="Times New Roman"/>
          <w:b w:val="0"/>
          <w:i/>
          <w:sz w:val="24"/>
        </w:rPr>
        <w:t>BCI Competition IV 2b</w:t>
      </w:r>
      <w:r>
        <w:rPr>
          <w:rFonts w:ascii="Times New Roman" w:hAnsi="Times New Roman" w:eastAsia="Times New Roman" w:cs="Times New Roman"/>
          <w:b w:val="0"/>
          <w:i w:val="0"/>
          <w:sz w:val="24"/>
        </w:rPr>
        <w:t xml:space="preserve"> [13]: two classes, three channels (C3, Cz, C4), nine subjects. Three sessions are retained per subject — the screening sessions 01T and 02T and the feedback session 03T — and every chronologically ordered pair among them contributes one cell, 27 pairs over nine subjects. Levels and gains are reported by pair type so that the introduction of feedback can be seen: 1→2 0.6461 → 0.6769, 1→3 0.7430 → 0.7677, 2→3 0.7247 → 0.7680.</w:t>
      </w:r>
    </w:p>
    <w:p>
      <w:pPr>
        <w:spacing w:before="0" w:after="0" w:line="480" w:lineRule="auto"/>
        <w:ind w:firstLine="0" w:left="0"/>
        <w:jc w:val="left"/>
      </w:pPr>
      <w:r>
        <w:rPr>
          <w:rFonts w:ascii="Times New Roman" w:hAnsi="Times New Roman" w:eastAsia="Times New Roman" w:cs="Times New Roman"/>
          <w:b w:val="0"/>
          <w:i/>
          <w:sz w:val="24"/>
        </w:rPr>
        <w:t>SEED</w:t>
      </w:r>
      <w:r>
        <w:rPr>
          <w:rFonts w:ascii="Times New Roman" w:hAnsi="Times New Roman" w:eastAsia="Times New Roman" w:cs="Times New Roman"/>
          <w:b w:val="0"/>
          <w:i w:val="0"/>
          <w:sz w:val="24"/>
        </w:rPr>
        <w:t xml:space="preserve"> [14,15]: three emotion classes, 62 channels, 15 subjects, three sessions on different days; the distributed 1 s differential-entropy features, 3394 segments per session in 15 film-defined blocks. The reference uses </w:t>
      </w:r>
      <w:r>
        <w:rPr>
          <w:rFonts w:ascii="Courier New" w:hAnsi="Courier New" w:eastAsia="Courier New" w:cs="Courier New"/>
          <w:b w:val="0"/>
          <w:i w:val="0"/>
          <w:sz w:val="24"/>
        </w:rPr>
        <w:t>StratifiedGroupKFold</w:t>
      </w:r>
      <w:r>
        <w:rPr>
          <w:rFonts w:ascii="Times New Roman" w:hAnsi="Times New Roman" w:eastAsia="Times New Roman" w:cs="Times New Roman"/>
          <w:b w:val="0"/>
          <w:i w:val="0"/>
          <w:sz w:val="24"/>
        </w:rPr>
        <w:t xml:space="preserve"> with the film as group; the target mean uses all segments of the session, because it is a first moment and not an estimate of generalisation.</w:t>
      </w:r>
    </w:p>
    <w:p>
      <w:pPr>
        <w:spacing w:before="0" w:after="0" w:line="480" w:lineRule="auto"/>
        <w:ind w:firstLine="0" w:left="0"/>
        <w:jc w:val="left"/>
      </w:pPr>
      <w:r>
        <w:rPr>
          <w:rFonts w:ascii="Times New Roman" w:hAnsi="Times New Roman" w:eastAsia="Times New Roman" w:cs="Times New Roman"/>
          <w:b w:val="0"/>
          <w:i/>
          <w:sz w:val="24"/>
        </w:rPr>
        <w:t>NER2015</w:t>
      </w:r>
      <w:r>
        <w:rPr>
          <w:rFonts w:ascii="Times New Roman" w:hAnsi="Times New Roman" w:eastAsia="Times New Roman" w:cs="Times New Roman"/>
          <w:b w:val="0"/>
          <w:i w:val="0"/>
          <w:sz w:val="24"/>
        </w:rPr>
        <w:t>: sixteen subjects, five sessions on different days with the cap re-applied, two classes (correct versus error feedback) whose priors vary from 0.17 to 0.73; 56 channels, eight windows, time-domain mean features over the trial. Both directions of every pair are used, 16 × 20 = 320 cells, because the two directions differ in μB and are not equivalent under a translation.</w:t>
      </w:r>
    </w:p>
    <w:p>
      <w:pPr>
        <w:spacing w:before="0" w:after="0" w:line="480" w:lineRule="auto"/>
        <w:ind w:firstLine="0" w:left="0"/>
        <w:jc w:val="left"/>
      </w:pPr>
      <w:r>
        <w:rPr>
          <w:rFonts w:ascii="Times New Roman" w:hAnsi="Times New Roman" w:eastAsia="Times New Roman" w:cs="Times New Roman"/>
          <w:b w:val="0"/>
          <w:i/>
          <w:sz w:val="24"/>
        </w:rPr>
        <w:t>Grasp-and-lift</w:t>
      </w:r>
      <w:r>
        <w:rPr>
          <w:rFonts w:ascii="Times New Roman" w:hAnsi="Times New Roman" w:eastAsia="Times New Roman" w:cs="Times New Roman"/>
          <w:b w:val="0"/>
          <w:i w:val="0"/>
          <w:sz w:val="24"/>
        </w:rPr>
        <w:t>: twelve subjects, eight series recorded within one session with the cap left in place, two classes, 32 channels, eight windows of log power; 12 × 28 = 336 unordered pairs. This is the same-cap control.</w:t>
      </w:r>
    </w:p>
    <w:p>
      <w:pPr>
        <w:spacing w:before="0" w:after="0" w:line="480" w:lineRule="auto"/>
        <w:ind w:firstLine="0" w:left="0"/>
        <w:jc w:val="left"/>
      </w:pPr>
      <w:r>
        <w:rPr>
          <w:rFonts w:ascii="Times New Roman" w:hAnsi="Times New Roman" w:eastAsia="Times New Roman" w:cs="Times New Roman"/>
          <w:b w:val="0"/>
          <w:i/>
          <w:sz w:val="24"/>
        </w:rPr>
        <w:t>SEED-IV</w:t>
      </w:r>
      <w:r>
        <w:rPr>
          <w:rFonts w:ascii="Times New Roman" w:hAnsi="Times New Roman" w:eastAsia="Times New Roman" w:cs="Times New Roman"/>
          <w:b w:val="0"/>
          <w:i w:val="0"/>
          <w:sz w:val="24"/>
        </w:rPr>
        <w:t xml:space="preserve"> [19]: 15 subjects, four classes, three sessions, distributed differential-entropy features (62 channels × 5 bands); six ordered pairs per subject, 90 cells. It is used </w:t>
      </w:r>
      <w:r>
        <w:rPr>
          <w:rFonts w:ascii="Times New Roman" w:hAnsi="Times New Roman" w:eastAsia="Times New Roman" w:cs="Times New Roman"/>
          <w:b/>
          <w:i w:val="0"/>
          <w:sz w:val="24"/>
        </w:rPr>
        <w:t>only as a held-out test</w:t>
      </w:r>
      <w:r>
        <w:rPr>
          <w:rFonts w:ascii="Times New Roman" w:hAnsi="Times New Roman" w:eastAsia="Times New Roman" w:cs="Times New Roman"/>
          <w:b w:val="0"/>
          <w:i w:val="0"/>
          <w:sz w:val="24"/>
        </w:rPr>
        <w:t>: the statistic, its thresholds and the classifier were fixed before it was opened, and no parameter was tuned on it.</w:t>
      </w:r>
    </w:p>
    <w:p>
      <w:pPr>
        <w:keepNext/>
        <w:spacing w:before="240" w:after="80" w:line="240" w:lineRule="auto"/>
      </w:pPr>
      <w:r>
        <w:rPr>
          <w:rFonts w:ascii="Times New Roman" w:hAnsi="Times New Roman" w:eastAsia="Times New Roman" w:cs="Times New Roman"/>
          <w:b/>
          <w:i w:val="0"/>
          <w:sz w:val="21"/>
        </w:rPr>
        <w:t xml:space="preserve">Table 2. </w:t>
      </w:r>
      <w:r>
        <w:rPr>
          <w:rFonts w:ascii="Times New Roman" w:hAnsi="Times New Roman" w:eastAsia="Times New Roman" w:cs="Times New Roman"/>
          <w:b w:val="0"/>
          <w:i w:val="0"/>
          <w:sz w:val="21"/>
        </w:rPr>
        <w:t>The datasets. The last column is z_T = ‖μ_A‖/‖sd_A‖, the norm-based origin distance, median over cells.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296"/>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classes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subjects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sessions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representations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cells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median z_T</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BCI-IV-2a</w:t>
            </w:r>
          </w:p>
        </w:tc>
        <w:tc>
          <w:tcPr>
            <w:tcW w:type="dxa" w:w="1296"/>
          </w:tcPr>
          <w:p>
            <w:pPr>
              <w:spacing w:before="40" w:after="40" w:line="240" w:lineRule="auto"/>
              <w:jc w:val="left"/>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18</w:t>
            </w:r>
          </w:p>
        </w:tc>
        <w:tc>
          <w:tcPr>
            <w:tcW w:type="dxa" w:w="1296"/>
          </w:tcPr>
          <w:p>
            <w:pPr>
              <w:spacing w:before="40" w:after="40" w:line="240" w:lineRule="auto"/>
              <w:jc w:val="center"/>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36</w:t>
            </w:r>
          </w:p>
        </w:tc>
        <w:tc>
          <w:tcPr>
            <w:tcW w:type="dxa" w:w="1296"/>
          </w:tcPr>
          <w:p>
            <w:pPr>
              <w:spacing w:before="40" w:after="40" w:line="240" w:lineRule="auto"/>
              <w:jc w:val="center"/>
            </w:pPr>
            <w:r/>
            <w:r>
              <w:rPr>
                <w:rFonts w:ascii="Times New Roman" w:hAnsi="Times New Roman" w:eastAsia="Times New Roman" w:cs="Times New Roman"/>
                <w:b w:val="0"/>
                <w:i w:val="0"/>
                <w:sz w:val="18"/>
              </w:rPr>
              <w:t>0.50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BCI-IV-2b</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108</w:t>
            </w:r>
          </w:p>
        </w:tc>
        <w:tc>
          <w:tcPr>
            <w:tcW w:type="dxa" w:w="1296"/>
          </w:tcPr>
          <w:p>
            <w:pPr>
              <w:spacing w:before="40" w:after="40" w:line="240" w:lineRule="auto"/>
              <w:jc w:val="center"/>
            </w:pPr>
            <w:r/>
            <w:r>
              <w:rPr>
                <w:rFonts w:ascii="Times New Roman" w:hAnsi="Times New Roman" w:eastAsia="Times New Roman" w:cs="Times New Roman"/>
                <w:b w:val="0"/>
                <w:i w:val="0"/>
                <w:sz w:val="18"/>
              </w:rPr>
              <w:t>16.1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3</w:t>
            </w:r>
          </w:p>
        </w:tc>
        <w:tc>
          <w:tcPr>
            <w:tcW w:type="dxa" w:w="1296"/>
          </w:tcPr>
          <w:p>
            <w:pPr>
              <w:spacing w:before="40" w:after="40" w:line="240" w:lineRule="auto"/>
              <w:jc w:val="center"/>
            </w:pPr>
            <w:r/>
            <w:r>
              <w:rPr>
                <w:rFonts w:ascii="Times New Roman" w:hAnsi="Times New Roman" w:eastAsia="Times New Roman" w:cs="Times New Roman"/>
                <w:b w:val="0"/>
                <w:i w:val="0"/>
                <w:sz w:val="18"/>
              </w:rPr>
              <w:t>15</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34.2</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16</w:t>
            </w:r>
          </w:p>
        </w:tc>
        <w:tc>
          <w:tcPr>
            <w:tcW w:type="dxa" w:w="1296"/>
          </w:tcPr>
          <w:p>
            <w:pPr>
              <w:spacing w:before="40" w:after="40" w:line="240" w:lineRule="auto"/>
              <w:jc w:val="center"/>
            </w:pPr>
            <w:r/>
            <w:r>
              <w:rPr>
                <w:rFonts w:ascii="Times New Roman" w:hAnsi="Times New Roman" w:eastAsia="Times New Roman" w:cs="Times New Roman"/>
                <w:b w:val="0"/>
                <w:i w:val="0"/>
                <w:sz w:val="18"/>
              </w:rPr>
              <w:t>80</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320</w:t>
            </w:r>
          </w:p>
        </w:tc>
        <w:tc>
          <w:tcPr>
            <w:tcW w:type="dxa" w:w="1296"/>
          </w:tcPr>
          <w:p>
            <w:pPr>
              <w:spacing w:before="40" w:after="40" w:line="240" w:lineRule="auto"/>
              <w:jc w:val="center"/>
            </w:pPr>
            <w:r/>
            <w:r>
              <w:rPr>
                <w:rFonts w:ascii="Times New Roman" w:hAnsi="Times New Roman" w:eastAsia="Times New Roman" w:cs="Times New Roman"/>
                <w:b w:val="0"/>
                <w:i w:val="0"/>
                <w:sz w:val="18"/>
              </w:rPr>
              <w:t>0.20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12</w:t>
            </w:r>
          </w:p>
        </w:tc>
        <w:tc>
          <w:tcPr>
            <w:tcW w:type="dxa" w:w="1296"/>
          </w:tcPr>
          <w:p>
            <w:pPr>
              <w:spacing w:before="40" w:after="40" w:line="240" w:lineRule="auto"/>
              <w:jc w:val="center"/>
            </w:pPr>
            <w:r/>
            <w:r>
              <w:rPr>
                <w:rFonts w:ascii="Times New Roman" w:hAnsi="Times New Roman" w:eastAsia="Times New Roman" w:cs="Times New Roman"/>
                <w:b w:val="0"/>
                <w:i w:val="0"/>
                <w:sz w:val="18"/>
              </w:rPr>
              <w:t>12</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336</w:t>
            </w:r>
          </w:p>
        </w:tc>
        <w:tc>
          <w:tcPr>
            <w:tcW w:type="dxa" w:w="1296"/>
          </w:tcPr>
          <w:p>
            <w:pPr>
              <w:spacing w:before="40" w:after="40" w:line="240" w:lineRule="auto"/>
              <w:jc w:val="center"/>
            </w:pPr>
            <w:r/>
            <w:r>
              <w:rPr>
                <w:rFonts w:ascii="Times New Roman" w:hAnsi="Times New Roman" w:eastAsia="Times New Roman" w:cs="Times New Roman"/>
                <w:b w:val="0"/>
                <w:i w:val="0"/>
                <w:sz w:val="18"/>
              </w:rPr>
              <w:t>0.25</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SEED-IV (held out)</w:t>
            </w:r>
          </w:p>
        </w:tc>
        <w:tc>
          <w:tcPr>
            <w:tcW w:type="dxa" w:w="1296"/>
          </w:tcPr>
          <w:p>
            <w:pPr>
              <w:spacing w:before="40" w:after="40" w:line="240" w:lineRule="auto"/>
              <w:jc w:val="left"/>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15</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90</w:t>
            </w:r>
          </w:p>
        </w:tc>
        <w:tc>
          <w:tcPr>
            <w:tcW w:type="dxa" w:w="1296"/>
          </w:tcPr>
          <w:p>
            <w:pPr>
              <w:spacing w:before="40" w:after="40" w:line="240" w:lineRule="auto"/>
              <w:jc w:val="center"/>
            </w:pPr>
            <w:r/>
            <w:r>
              <w:rPr>
                <w:rFonts w:ascii="Times New Roman" w:hAnsi="Times New Roman" w:eastAsia="Times New Roman" w:cs="Times New Roman"/>
                <w:b w:val="0"/>
                <w:i w:val="0"/>
                <w:sz w:val="18"/>
              </w:rPr>
              <w:t>56.3</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A </w:t>
      </w:r>
      <w:r>
        <w:rPr>
          <w:rFonts w:ascii="Times New Roman" w:hAnsi="Times New Roman" w:eastAsia="Times New Roman" w:cs="Times New Roman"/>
          <w:b w:val="0"/>
          <w:i/>
          <w:sz w:val="24"/>
        </w:rPr>
        <w:t>cell</w:t>
      </w:r>
      <w:r>
        <w:rPr>
          <w:rFonts w:ascii="Times New Roman" w:hAnsi="Times New Roman" w:eastAsia="Times New Roman" w:cs="Times New Roman"/>
          <w:b w:val="0"/>
          <w:i w:val="0"/>
          <w:sz w:val="24"/>
        </w:rPr>
        <w:t xml:space="preserve"> is one dataset-representation-subject-ordered-pair combination: 845 development cells from 76 subjects and 227 sessions, plus 90 held-out cells. Because a subject contributes several representations of the same pair, 845 cells correspond to </w:t>
      </w:r>
      <w:r>
        <w:rPr>
          <w:rFonts w:ascii="Times New Roman" w:hAnsi="Times New Roman" w:eastAsia="Times New Roman" w:cs="Times New Roman"/>
          <w:b/>
          <w:i w:val="0"/>
          <w:sz w:val="24"/>
        </w:rPr>
        <w:t>737 distinct session pairs</w:t>
      </w:r>
      <w:r>
        <w:rPr>
          <w:rFonts w:ascii="Times New Roman" w:hAnsi="Times New Roman" w:eastAsia="Times New Roman" w:cs="Times New Roman"/>
          <w:b w:val="0"/>
          <w:i w:val="0"/>
          <w:sz w:val="24"/>
        </w:rPr>
        <w:t>; the paper says "cells" whenever it means cells. The analyses do not all cover the same cells: the per-cell displacement model uses the 800 binary cells of the four binary datasets (for BCI-2a, the two-class subproblem of classes 1 and 2), and the held-out test uses the 90 SEED-IV cells.</w:t>
      </w:r>
    </w:p>
    <w:p>
      <w:pPr>
        <w:spacing w:before="0" w:after="0" w:line="480" w:lineRule="auto"/>
        <w:ind w:firstLine="0" w:left="0"/>
        <w:jc w:val="left"/>
      </w:pPr>
      <w:r>
        <w:rPr>
          <w:rFonts w:ascii="Times New Roman" w:hAnsi="Times New Roman" w:eastAsia="Times New Roman" w:cs="Times New Roman"/>
          <w:b/>
          <w:i w:val="0"/>
          <w:sz w:val="24"/>
        </w:rPr>
        <w:t>Representations.</w:t>
      </w:r>
      <w:r>
        <w:rPr>
          <w:rFonts w:ascii="Times New Roman" w:hAnsi="Times New Roman" w:eastAsia="Times New Roman" w:cs="Times New Roman"/>
          <w:b w:val="0"/>
          <w:i w:val="0"/>
          <w:sz w:val="24"/>
        </w:rPr>
        <w:t xml:space="preserve"> For 2a and 2b: Euclidean log-power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Euclidean alignment followed by log-power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Riemannian tangent space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and CSP log-variance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For SEED and SEED-IV the distributed differential entropy; for NER2015 the time-domain mean over eight windows; for grasp-and-lift the log power over eight windows. A representation is fitted on the training session except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which use the two sessions' covariances by construction; Section 4.6 states which.</w:t>
      </w:r>
    </w:p>
    <w:p>
      <w:pPr>
        <w:spacing w:before="0" w:after="0" w:line="480" w:lineRule="auto"/>
        <w:ind w:firstLine="0" w:left="0"/>
        <w:jc w:val="left"/>
      </w:pPr>
      <w:r>
        <w:rPr>
          <w:rFonts w:ascii="Times New Roman" w:hAnsi="Times New Roman" w:eastAsia="Times New Roman" w:cs="Times New Roman"/>
          <w:b/>
          <w:i w:val="0"/>
          <w:sz w:val="24"/>
        </w:rPr>
        <w:t>Classifiers.</w:t>
      </w:r>
      <w:r>
        <w:rPr>
          <w:rFonts w:ascii="Times New Roman" w:hAnsi="Times New Roman" w:eastAsia="Times New Roman" w:cs="Times New Roman"/>
          <w:b w:val="0"/>
          <w:i w:val="0"/>
          <w:sz w:val="24"/>
        </w:rPr>
        <w:t xml:space="preserve"> Linear discriminant analysis with Ledoit-Wolf shrinkage [11] throughout, with logistic regression (C = 1, lbfgs) and a linear support-vector machine (C = 0.01, hinge loss) in Sections 4.5 and 4.10.</w:t>
      </w:r>
    </w:p>
    <w:p>
      <w:pPr>
        <w:spacing w:before="0" w:after="0" w:line="480" w:lineRule="auto"/>
        <w:ind w:firstLine="0" w:left="0"/>
        <w:jc w:val="left"/>
      </w:pPr>
      <w:r>
        <w:rPr>
          <w:rFonts w:ascii="Times New Roman" w:hAnsi="Times New Roman" w:eastAsia="Times New Roman" w:cs="Times New Roman"/>
          <w:b/>
          <w:i w:val="0"/>
          <w:sz w:val="24"/>
        </w:rPr>
        <w:t>Reference.</w:t>
      </w:r>
      <w:r>
        <w:rPr>
          <w:rFonts w:ascii="Times New Roman" w:hAnsi="Times New Roman" w:eastAsia="Times New Roman" w:cs="Times New Roman"/>
          <w:b w:val="0"/>
          <w:i w:val="0"/>
          <w:sz w:val="24"/>
        </w:rPr>
        <w:t xml:space="preserve"> The within-session reference is cross-validation inside the target session using its own labels: stratified 5-fold, </w:t>
      </w:r>
      <w:r>
        <w:rPr>
          <w:rFonts w:ascii="Courier New" w:hAnsi="Courier New" w:eastAsia="Courier New" w:cs="Courier New"/>
          <w:b w:val="0"/>
          <w:i w:val="0"/>
          <w:sz w:val="24"/>
        </w:rPr>
        <w:t>StratifiedGroupKFold</w:t>
      </w:r>
      <w:r>
        <w:rPr>
          <w:rFonts w:ascii="Times New Roman" w:hAnsi="Times New Roman" w:eastAsia="Times New Roman" w:cs="Times New Roman"/>
          <w:b w:val="0"/>
          <w:i w:val="0"/>
          <w:sz w:val="24"/>
        </w:rPr>
        <w:t xml:space="preserve"> over films for SEED and SEED-IV. It is not a ceiling and it differs from the cross-session classifier in training-set size as well as in session; on 2a it falls below the cross-session accuracy for two of four representations.</w:t>
      </w:r>
    </w:p>
    <w:p>
      <w:pPr>
        <w:spacing w:before="0" w:after="0" w:line="480" w:lineRule="auto"/>
        <w:ind w:firstLine="0" w:left="0"/>
        <w:jc w:val="left"/>
      </w:pPr>
      <w:r>
        <w:rPr>
          <w:rFonts w:ascii="Times New Roman" w:hAnsi="Times New Roman" w:eastAsia="Times New Roman" w:cs="Times New Roman"/>
          <w:b/>
          <w:i w:val="0"/>
          <w:sz w:val="24"/>
        </w:rPr>
        <w:t>Statistics.</w:t>
      </w:r>
      <w:r>
        <w:rPr>
          <w:rFonts w:ascii="Times New Roman" w:hAnsi="Times New Roman" w:eastAsia="Times New Roman" w:cs="Times New Roman"/>
          <w:b w:val="0"/>
          <w:i w:val="0"/>
          <w:sz w:val="24"/>
        </w:rPr>
        <w:t xml:space="preserve"> Cells are aggregated per subject first, then tested across subjects with a two-sided Wilcoxon signed-rank test, a subject-level bootstrap of the median (10,000 resamples) and Cohen's dz. Cell-level correlations are descriptive; dataset-level tests use exact permutation distributions over the datasets; the unit-level analysis is reported with a cluster bootstrap that resamples datasets. No analysis treats the 845 cells as independent.</w:t>
      </w:r>
    </w:p>
    <w:p>
      <w:pPr>
        <w:spacing w:before="0" w:after="0" w:line="480" w:lineRule="auto"/>
        <w:ind w:firstLine="0" w:left="0"/>
        <w:jc w:val="left"/>
      </w:pPr>
      <w:r>
        <w:rPr>
          <w:rFonts w:ascii="Times New Roman" w:hAnsi="Times New Roman" w:eastAsia="Times New Roman" w:cs="Times New Roman"/>
          <w:b/>
          <w:i w:val="0"/>
          <w:sz w:val="24"/>
        </w:rPr>
        <w:t>Sub-sampling.</w:t>
      </w:r>
      <w:r>
        <w:rPr>
          <w:rFonts w:ascii="Times New Roman" w:hAnsi="Times New Roman" w:eastAsia="Times New Roman" w:cs="Times New Roman"/>
          <w:b w:val="0"/>
          <w:i w:val="0"/>
          <w:sz w:val="24"/>
        </w:rPr>
        <w:t xml:space="preserve"> Two analyses use a uniform subsample of a dataset's cells to bound computation: the classifier sweeps on grasp-and-lift and NER2015 (60 of 336 and 320, equally spaced indices) and the direction experiment (60 cells in each of two datasets). Every other number uses all cells.</w:t>
      </w:r>
    </w:p>
    <w:p>
      <w:pPr>
        <w:keepNext/>
        <w:spacing w:before="360" w:after="120" w:line="240" w:lineRule="auto"/>
      </w:pPr>
      <w:r>
        <w:rPr>
          <w:rFonts w:ascii="Times New Roman" w:hAnsi="Times New Roman" w:eastAsia="Times New Roman" w:cs="Times New Roman"/>
          <w:b/>
          <w:i w:val="0"/>
          <w:sz w:val="24"/>
        </w:rPr>
        <w:t>4. Results</w:t>
      </w:r>
    </w:p>
    <w:p>
      <w:pPr>
        <w:keepNext/>
        <w:spacing w:before="240" w:after="120" w:line="240" w:lineRule="auto"/>
      </w:pPr>
      <w:r>
        <w:rPr>
          <w:rFonts w:ascii="Times New Roman" w:hAnsi="Times New Roman" w:eastAsia="Times New Roman" w:cs="Times New Roman"/>
          <w:b/>
          <w:i/>
          <w:sz w:val="24"/>
        </w:rPr>
        <w:t>4.1. The two descriptions are one pipeline; standardisation is a different question</w:t>
      </w:r>
    </w:p>
    <w:p>
      <w:pPr>
        <w:spacing w:before="0" w:after="0" w:line="480" w:lineRule="auto"/>
        <w:ind w:firstLine="0" w:left="0"/>
        <w:jc w:val="left"/>
      </w:pPr>
      <w:r>
        <w:rPr>
          <w:rFonts w:ascii="Times New Roman" w:hAnsi="Times New Roman" w:eastAsia="Times New Roman" w:cs="Times New Roman"/>
          <w:b w:val="0"/>
          <w:i w:val="0"/>
          <w:sz w:val="24"/>
        </w:rPr>
        <w:t>Fitting on X_A − μA and applying to X_B − μB, versus fitting on X_A and applying to X_B − μB + μA, gave identical predictions sample for sample in all 845 cells, with a maximum difference in balanced accuracy of 0.0e+00.</w:t>
      </w:r>
    </w:p>
    <w:p>
      <w:pPr>
        <w:spacing w:before="0" w:after="0" w:line="480" w:lineRule="auto"/>
        <w:ind w:firstLine="0" w:left="0"/>
        <w:jc w:val="left"/>
      </w:pPr>
      <w:r>
        <w:rPr>
          <w:rFonts w:ascii="Times New Roman" w:hAnsi="Times New Roman" w:eastAsia="Times New Roman" w:cs="Times New Roman"/>
          <w:b w:val="0"/>
          <w:i w:val="0"/>
          <w:sz w:val="24"/>
        </w:rPr>
        <w:t xml:space="preserve">Standardisation with training statistics is a related but different operation. Write X̃ = (X − μA)/s_A for both sessions. In that space the source mean is zero, so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coincide, and the pipeline is equivariant. But "standardise only" is not the same transformation as "centre both sessions": the two differ by (μ_B − μ_A)/s_A on the target, and applying the model fitted on X̃_A to X̃_B gives the predictions of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not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In our data the two agree in 100.0 per cent of samples for BCI-2a and BCI-2b, and this is an empirical fact about LDA with Ledoit-Wolf shrinkage rather than a theorem: without shrinkage the covariance estimate on grasp-and-lift is rank-deficient and the agreement drops to 51.8 per cent (Section 4.10).</w:t>
      </w:r>
    </w:p>
    <w:p>
      <w:pPr>
        <w:keepNext/>
        <w:spacing w:before="240" w:after="80" w:line="240" w:lineRule="auto"/>
      </w:pPr>
      <w:r>
        <w:rPr>
          <w:rFonts w:ascii="Times New Roman" w:hAnsi="Times New Roman" w:eastAsia="Times New Roman" w:cs="Times New Roman"/>
          <w:b/>
          <w:i w:val="0"/>
          <w:sz w:val="21"/>
        </w:rPr>
        <w:t xml:space="preserve">Table 3. </w:t>
      </w:r>
      <w:r>
        <w:rPr>
          <w:rFonts w:ascii="Times New Roman" w:hAnsi="Times New Roman" w:eastAsia="Times New Roman" w:cs="Times New Roman"/>
          <w:b w:val="0"/>
          <w:i w:val="0"/>
          <w:sz w:val="21"/>
        </w:rPr>
        <w:t xml:space="preserve">Balanced accuracy per dataset. </w:t>
      </w:r>
      <w:r>
        <w:rPr>
          <w:rFonts w:ascii="Courier New" w:hAnsi="Courier New" w:eastAsia="Courier New" w:cs="Courier New"/>
          <w:b w:val="0"/>
          <w:i w:val="0"/>
          <w:sz w:val="21"/>
        </w:rPr>
        <w:t>dbl</w:t>
      </w:r>
      <w:r>
        <w:rPr>
          <w:rFonts w:ascii="Times New Roman" w:hAnsi="Times New Roman" w:eastAsia="Times New Roman" w:cs="Times New Roman"/>
          <w:b w:val="0"/>
          <w:i w:val="0"/>
          <w:sz w:val="21"/>
        </w:rPr>
        <w:t xml:space="preserve"> coincides with </w:t>
      </w:r>
      <w:r>
        <w:rPr>
          <w:rFonts w:ascii="Courier New" w:hAnsi="Courier New" w:eastAsia="Courier New" w:cs="Courier New"/>
          <w:b w:val="0"/>
          <w:i w:val="0"/>
          <w:sz w:val="21"/>
        </w:rPr>
        <w:t>mean</w:t>
      </w:r>
      <w:r>
        <w:rPr>
          <w:rFonts w:ascii="Times New Roman" w:hAnsi="Times New Roman" w:eastAsia="Times New Roman" w:cs="Times New Roman"/>
          <w:b w:val="0"/>
          <w:i w:val="0"/>
          <w:sz w:val="21"/>
        </w:rPr>
        <w:t xml:space="preserve"> in every cell. The reference is the within-session cross-validation of Section 3.</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zero</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mean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dbl</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train-only</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reference</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 (K=4)</w:t>
            </w:r>
          </w:p>
        </w:tc>
        <w:tc>
          <w:tcPr>
            <w:tcW w:type="dxa" w:w="1134"/>
          </w:tcPr>
          <w:p>
            <w:pPr>
              <w:spacing w:before="40" w:after="40" w:line="240" w:lineRule="auto"/>
              <w:jc w:val="left"/>
            </w:pPr>
            <w:r/>
            <w:r>
              <w:rPr>
                <w:rFonts w:ascii="Times New Roman" w:hAnsi="Times New Roman" w:eastAsia="Times New Roman" w:cs="Times New Roman"/>
                <w:b w:val="0"/>
                <w:i w:val="0"/>
                <w:sz w:val="18"/>
              </w:rPr>
              <w:t>36</w:t>
            </w:r>
          </w:p>
        </w:tc>
        <w:tc>
          <w:tcPr>
            <w:tcW w:type="dxa" w:w="1134"/>
          </w:tcPr>
          <w:p>
            <w:pPr>
              <w:spacing w:before="40" w:after="40" w:line="240" w:lineRule="auto"/>
              <w:jc w:val="center"/>
            </w:pPr>
            <w:r/>
            <w:r>
              <w:rPr>
                <w:rFonts w:ascii="Times New Roman" w:hAnsi="Times New Roman" w:eastAsia="Times New Roman" w:cs="Times New Roman"/>
                <w:b w:val="0"/>
                <w:i w:val="0"/>
                <w:sz w:val="18"/>
              </w:rPr>
              <w:t>0.5656</w:t>
            </w:r>
          </w:p>
        </w:tc>
        <w:tc>
          <w:tcPr>
            <w:tcW w:type="dxa" w:w="1134"/>
          </w:tcPr>
          <w:p>
            <w:pPr>
              <w:spacing w:before="40" w:after="40" w:line="240" w:lineRule="auto"/>
              <w:jc w:val="center"/>
            </w:pPr>
            <w:r/>
            <w:r>
              <w:rPr>
                <w:rFonts w:ascii="Times New Roman" w:hAnsi="Times New Roman" w:eastAsia="Times New Roman" w:cs="Times New Roman"/>
                <w:b w:val="0"/>
                <w:i w:val="0"/>
                <w:sz w:val="18"/>
              </w:rPr>
              <w:t>0.5254</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0.5141</w:t>
            </w:r>
          </w:p>
        </w:tc>
        <w:tc>
          <w:tcPr>
            <w:tcW w:type="dxa" w:w="1134"/>
          </w:tcPr>
          <w:p>
            <w:pPr>
              <w:spacing w:before="40" w:after="40" w:line="240" w:lineRule="auto"/>
              <w:jc w:val="center"/>
            </w:pPr>
            <w:r/>
            <w:r>
              <w:rPr>
                <w:rFonts w:ascii="Times New Roman" w:hAnsi="Times New Roman" w:eastAsia="Times New Roman" w:cs="Times New Roman"/>
                <w:b w:val="0"/>
                <w:i w:val="0"/>
                <w:sz w:val="18"/>
              </w:rPr>
              <w:t>0.5355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 (K=2)</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0.5722</w:t>
            </w:r>
          </w:p>
        </w:tc>
        <w:tc>
          <w:tcPr>
            <w:tcW w:type="dxa" w:w="1134"/>
          </w:tcPr>
          <w:p>
            <w:pPr>
              <w:spacing w:before="40" w:after="40" w:line="240" w:lineRule="auto"/>
              <w:jc w:val="center"/>
            </w:pPr>
            <w:r/>
            <w:r>
              <w:rPr>
                <w:rFonts w:ascii="Times New Roman" w:hAnsi="Times New Roman" w:eastAsia="Times New Roman" w:cs="Times New Roman"/>
                <w:b w:val="0"/>
                <w:i w:val="0"/>
                <w:sz w:val="18"/>
              </w:rPr>
              <w:t>0.7571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 (K=3)</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0.3456</w:t>
            </w:r>
          </w:p>
        </w:tc>
        <w:tc>
          <w:tcPr>
            <w:tcW w:type="dxa" w:w="1134"/>
          </w:tcPr>
          <w:p>
            <w:pPr>
              <w:spacing w:before="40" w:after="40" w:line="240" w:lineRule="auto"/>
              <w:jc w:val="center"/>
            </w:pPr>
            <w:r/>
            <w:r>
              <w:rPr>
                <w:rFonts w:ascii="Times New Roman" w:hAnsi="Times New Roman" w:eastAsia="Times New Roman" w:cs="Times New Roman"/>
                <w:b w:val="0"/>
                <w:i w:val="0"/>
                <w:sz w:val="18"/>
              </w:rPr>
              <w:t>0.7738</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 (K=2)</w:t>
            </w:r>
          </w:p>
        </w:tc>
        <w:tc>
          <w:tcPr>
            <w:tcW w:type="dxa" w:w="1134"/>
          </w:tcPr>
          <w:p>
            <w:pPr>
              <w:spacing w:before="40" w:after="40" w:line="240" w:lineRule="auto"/>
              <w:jc w:val="left"/>
            </w:pPr>
            <w:r/>
            <w:r>
              <w:rPr>
                <w:rFonts w:ascii="Times New Roman" w:hAnsi="Times New Roman" w:eastAsia="Times New Roman" w:cs="Times New Roman"/>
                <w:b w:val="0"/>
                <w:i w:val="0"/>
                <w:sz w:val="18"/>
              </w:rPr>
              <w:t>320</w:t>
            </w:r>
          </w:p>
        </w:tc>
        <w:tc>
          <w:tcPr>
            <w:tcW w:type="dxa" w:w="1134"/>
          </w:tcPr>
          <w:p>
            <w:pPr>
              <w:spacing w:before="40" w:after="40" w:line="240" w:lineRule="auto"/>
              <w:jc w:val="center"/>
            </w:pPr>
            <w:r/>
            <w:r>
              <w:rPr>
                <w:rFonts w:ascii="Times New Roman" w:hAnsi="Times New Roman" w:eastAsia="Times New Roman" w:cs="Times New Roman"/>
                <w:b w:val="0"/>
                <w:i w:val="0"/>
                <w:sz w:val="18"/>
              </w:rPr>
              <w:t>0.5886</w:t>
            </w:r>
          </w:p>
        </w:tc>
        <w:tc>
          <w:tcPr>
            <w:tcW w:type="dxa" w:w="1134"/>
          </w:tcPr>
          <w:p>
            <w:pPr>
              <w:spacing w:before="40" w:after="40" w:line="240" w:lineRule="auto"/>
              <w:jc w:val="center"/>
            </w:pPr>
            <w:r/>
            <w:r>
              <w:rPr>
                <w:rFonts w:ascii="Times New Roman" w:hAnsi="Times New Roman" w:eastAsia="Times New Roman" w:cs="Times New Roman"/>
                <w:b w:val="0"/>
                <w:i w:val="0"/>
                <w:sz w:val="18"/>
              </w:rPr>
              <w:t>0.5865</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0.5845</w:t>
            </w:r>
          </w:p>
        </w:tc>
        <w:tc>
          <w:tcPr>
            <w:tcW w:type="dxa" w:w="1134"/>
          </w:tcPr>
          <w:p>
            <w:pPr>
              <w:spacing w:before="40" w:after="40" w:line="240" w:lineRule="auto"/>
              <w:jc w:val="center"/>
            </w:pPr>
            <w:r/>
            <w:r>
              <w:rPr>
                <w:rFonts w:ascii="Times New Roman" w:hAnsi="Times New Roman" w:eastAsia="Times New Roman" w:cs="Times New Roman"/>
                <w:b w:val="0"/>
                <w:i w:val="0"/>
                <w:sz w:val="18"/>
              </w:rPr>
              <w:t>0.6167</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 (K=2)</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0.7521</w:t>
            </w:r>
          </w:p>
        </w:tc>
        <w:tc>
          <w:tcPr>
            <w:tcW w:type="dxa" w:w="1134"/>
          </w:tcPr>
          <w:p>
            <w:pPr>
              <w:spacing w:before="40" w:after="40" w:line="240" w:lineRule="auto"/>
              <w:jc w:val="center"/>
            </w:pPr>
            <w:r/>
            <w:r>
              <w:rPr>
                <w:rFonts w:ascii="Times New Roman" w:hAnsi="Times New Roman" w:eastAsia="Times New Roman" w:cs="Times New Roman"/>
                <w:b w:val="0"/>
                <w:i w:val="0"/>
                <w:sz w:val="18"/>
              </w:rPr>
              <w:t>0.8350</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all development</w:t>
            </w:r>
          </w:p>
        </w:tc>
        <w:tc>
          <w:tcPr>
            <w:tcW w:type="dxa" w:w="1134"/>
          </w:tcPr>
          <w:p>
            <w:pPr>
              <w:spacing w:before="40" w:after="40" w:line="240" w:lineRule="auto"/>
              <w:jc w:val="left"/>
            </w:pPr>
            <w:r/>
            <w:r>
              <w:rPr>
                <w:rFonts w:ascii="Times New Roman" w:hAnsi="Times New Roman" w:eastAsia="Times New Roman" w:cs="Times New Roman"/>
                <w:b w:val="0"/>
                <w:i w:val="0"/>
                <w:sz w:val="18"/>
              </w:rPr>
              <w:t>845</w:t>
            </w:r>
          </w:p>
        </w:tc>
        <w:tc>
          <w:tcPr>
            <w:tcW w:type="dxa" w:w="1134"/>
          </w:tcPr>
          <w:p>
            <w:pPr>
              <w:spacing w:before="40" w:after="40" w:line="240" w:lineRule="auto"/>
              <w:jc w:val="center"/>
            </w:pPr>
            <w:r/>
            <w:r>
              <w:rPr>
                <w:rFonts w:ascii="Times New Roman" w:hAnsi="Times New Roman" w:eastAsia="Times New Roman" w:cs="Times New Roman"/>
                <w:b w:val="0"/>
                <w:i w:val="0"/>
                <w:sz w:val="18"/>
              </w:rPr>
              <w:t>0.6705</w:t>
            </w:r>
          </w:p>
        </w:tc>
        <w:tc>
          <w:tcPr>
            <w:tcW w:type="dxa" w:w="1134"/>
          </w:tcPr>
          <w:p>
            <w:pPr>
              <w:spacing w:before="40" w:after="40" w:line="240" w:lineRule="auto"/>
              <w:jc w:val="center"/>
            </w:pPr>
            <w:r/>
            <w:r>
              <w:rPr>
                <w:rFonts w:ascii="Times New Roman" w:hAnsi="Times New Roman" w:eastAsia="Times New Roman" w:cs="Times New Roman"/>
                <w:b w:val="0"/>
                <w:i w:val="0"/>
                <w:sz w:val="18"/>
              </w:rPr>
              <w:t>0.6346</w:t>
            </w:r>
          </w:p>
        </w:tc>
        <w:tc>
          <w:tcPr>
            <w:tcW w:type="dxa" w:w="1134"/>
          </w:tcPr>
          <w:p>
            <w:pPr>
              <w:spacing w:before="40" w:after="40" w:line="240" w:lineRule="auto"/>
              <w:jc w:val="center"/>
            </w:pPr>
            <w:r/>
            <w:r>
              <w:rPr>
                <w:rFonts w:ascii="Times New Roman" w:hAnsi="Times New Roman" w:eastAsia="Times New Roman" w:cs="Times New Roman"/>
                <w:b w:val="0"/>
                <w:i w:val="0"/>
                <w:sz w:val="18"/>
              </w:rPr>
              <w:t>0.6926</w:t>
            </w:r>
          </w:p>
        </w:tc>
        <w:tc>
          <w:tcPr>
            <w:tcW w:type="dxa" w:w="1134"/>
          </w:tcPr>
          <w:p>
            <w:pPr>
              <w:spacing w:before="40" w:after="40" w:line="240" w:lineRule="auto"/>
              <w:jc w:val="center"/>
            </w:pPr>
            <w:r/>
            <w:r>
              <w:rPr>
                <w:rFonts w:ascii="Times New Roman" w:hAnsi="Times New Roman" w:eastAsia="Times New Roman" w:cs="Times New Roman"/>
                <w:b w:val="0"/>
                <w:i w:val="0"/>
                <w:sz w:val="18"/>
              </w:rPr>
              <w:t>0.6926</w:t>
            </w:r>
          </w:p>
        </w:tc>
        <w:tc>
          <w:tcPr>
            <w:tcW w:type="dxa" w:w="1134"/>
          </w:tcPr>
          <w:p>
            <w:pPr>
              <w:spacing w:before="40" w:after="40" w:line="240" w:lineRule="auto"/>
              <w:jc w:val="center"/>
            </w:pPr>
            <w:r/>
            <w:r>
              <w:rPr>
                <w:rFonts w:ascii="Times New Roman" w:hAnsi="Times New Roman" w:eastAsia="Times New Roman" w:cs="Times New Roman"/>
                <w:b w:val="0"/>
                <w:i w:val="0"/>
                <w:sz w:val="18"/>
              </w:rPr>
              <w:t>0.6338</w:t>
            </w:r>
          </w:p>
        </w:tc>
        <w:tc>
          <w:tcPr>
            <w:tcW w:type="dxa" w:w="1134"/>
          </w:tcPr>
          <w:p>
            <w:pPr>
              <w:spacing w:before="40" w:after="40" w:line="240" w:lineRule="auto"/>
              <w:jc w:val="center"/>
            </w:pPr>
            <w:r/>
            <w:r>
              <w:rPr>
                <w:rFonts w:ascii="Times New Roman" w:hAnsi="Times New Roman" w:eastAsia="Times New Roman" w:cs="Times New Roman"/>
                <w:b w:val="0"/>
                <w:i w:val="0"/>
                <w:sz w:val="18"/>
              </w:rPr>
              <w:t>0.7264</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gain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over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is +0.0463 on 2a, +0.0329 on 2b and +0.2503 on SEED, and small where the features have no origin offset: +0.0023 on NER2015 and +0.0045 on grasp-and-lift. Per subject it is positive in 9 of 9 on 2a (median +0.0356, 95% CI [+0.0287, +0.0659], dz = 1.52, p = 3.9 × 10⁻³), 9 of 9 on 2b (+0.0321, [+0.0187, +0.0477], dz = 1.39, p = 3.9 × 10⁻³), 15 of 15 on SEED (+0.2452, [+0.2038, +0.2958], dz = 2.71, p = 6.1 × 10⁻⁵), 10 of 16 on NER2015 (+0.0050, [−0.0018, +0.0062], p = 0.32) and 8 of 12 on grasp-and-lift (+0.0031, [+0.0007, +0.0090], p = 0.052).</w:t>
      </w:r>
    </w:p>
    <w:p>
      <w:pPr>
        <w:keepNext/>
        <w:spacing w:before="240" w:after="80" w:line="240" w:lineRule="auto"/>
        <w:jc w:val="center"/>
      </w:pPr>
      <w:r>
        <w:drawing>
          <wp:inline xmlns:a="http://schemas.openxmlformats.org/drawingml/2006/main" xmlns:pic="http://schemas.openxmlformats.org/drawingml/2006/picture">
            <wp:extent cx="5669280" cy="2039558"/>
            <wp:docPr id="1" name="Picture 1"/>
            <wp:cNvGraphicFramePr>
              <a:graphicFrameLocks noChangeAspect="1"/>
            </wp:cNvGraphicFramePr>
            <a:graphic>
              <a:graphicData uri="http://schemas.openxmlformats.org/drawingml/2006/picture">
                <pic:pic>
                  <pic:nvPicPr>
                    <pic:cNvPr id="0" name="fig3.png"/>
                    <pic:cNvPicPr/>
                  </pic:nvPicPr>
                  <pic:blipFill>
                    <a:blip r:embed="rId10"/>
                    <a:stretch>
                      <a:fillRect/>
                    </a:stretch>
                  </pic:blipFill>
                  <pic:spPr>
                    <a:xfrm>
                      <a:off x="0" y="0"/>
                      <a:ext cx="5669280" cy="2039558"/>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3.</w:t>
      </w:r>
      <w:r>
        <w:rPr>
          <w:rFonts w:ascii="Times New Roman" w:hAnsi="Times New Roman" w:eastAsia="Times New Roman" w:cs="Times New Roman"/>
          <w:b w:val="0"/>
          <w:i w:val="0"/>
          <w:sz w:val="21"/>
        </w:rPr>
        <w:t xml:space="preserve"> (a) Balanced accuracy of the three pipelines by dataset; (b) the gain of the two-sided over the uncorrected pipeline, one point per subject, with the box showing the median and quartiles.</w:t>
      </w:r>
    </w:p>
    <w:p>
      <w:pPr>
        <w:keepNext/>
        <w:spacing w:before="240" w:after="120" w:line="240" w:lineRule="auto"/>
      </w:pPr>
      <w:r>
        <w:rPr>
          <w:rFonts w:ascii="Times New Roman" w:hAnsi="Times New Roman" w:eastAsia="Times New Roman" w:cs="Times New Roman"/>
          <w:b/>
          <w:i/>
          <w:sz w:val="24"/>
        </w:rPr>
        <w:t>4.2. An origin sweep: the equivariant pipelines are exactly flat</w:t>
      </w:r>
    </w:p>
    <w:p>
      <w:pPr>
        <w:spacing w:before="0" w:after="0" w:line="480" w:lineRule="auto"/>
        <w:ind w:firstLine="0" w:left="0"/>
        <w:jc w:val="left"/>
      </w:pPr>
      <w:r>
        <w:rPr>
          <w:rFonts w:ascii="Times New Roman" w:hAnsi="Times New Roman" w:eastAsia="Times New Roman" w:cs="Times New Roman"/>
          <w:b w:val="0"/>
          <w:i w:val="0"/>
          <w:sz w:val="24"/>
        </w:rPr>
        <w:t>To measure the effect of the origin with the cells held fixed, we added a common constant to every feature, in both sessions alike, and swept its size over ten settings; the sweep was run on all 845 cells.</w:t>
      </w:r>
    </w:p>
    <w:p>
      <w:pPr>
        <w:keepNext/>
        <w:spacing w:before="240" w:after="80" w:line="240" w:lineRule="auto"/>
        <w:jc w:val="center"/>
      </w:pPr>
      <w:r>
        <w:drawing>
          <wp:inline xmlns:a="http://schemas.openxmlformats.org/drawingml/2006/main" xmlns:pic="http://schemas.openxmlformats.org/drawingml/2006/picture">
            <wp:extent cx="5669280" cy="1809674"/>
            <wp:docPr id="2" name="Picture 2"/>
            <wp:cNvGraphicFramePr>
              <a:graphicFrameLocks noChangeAspect="1"/>
            </wp:cNvGraphicFramePr>
            <a:graphic>
              <a:graphicData uri="http://schemas.openxmlformats.org/drawingml/2006/picture">
                <pic:pic>
                  <pic:nvPicPr>
                    <pic:cNvPr id="0" name="fig1.png"/>
                    <pic:cNvPicPr/>
                  </pic:nvPicPr>
                  <pic:blipFill>
                    <a:blip r:embed="rId11"/>
                    <a:stretch>
                      <a:fillRect/>
                    </a:stretch>
                  </pic:blipFill>
                  <pic:spPr>
                    <a:xfrm>
                      <a:off x="0" y="0"/>
                      <a:ext cx="5669280" cy="1809674"/>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1.</w:t>
      </w:r>
      <w:r>
        <w:rPr>
          <w:rFonts w:ascii="Times New Roman" w:hAnsi="Times New Roman" w:eastAsia="Times New Roman" w:cs="Times New Roman"/>
          <w:b w:val="0"/>
          <w:i w:val="0"/>
          <w:sz w:val="21"/>
        </w:rPr>
        <w:t xml:space="preserve"> (a) Change in balanced accuracy of the one-sided pipeline as a function of z_T, one curve per dataset; (b) the fraction of cells that land on exactly 1/K; (c) the largest change of the two equivariant pipelines over the whole sweep. The equivariant pipelines change by 0.0e+00 in every cell at every setting; the one-sided pipeline decays toward 1/K without reaching it uniformly within the sweep.</w:t>
      </w:r>
    </w:p>
    <w:p>
      <w:pPr>
        <w:spacing w:before="0" w:after="0" w:line="480" w:lineRule="auto"/>
        <w:ind w:firstLine="0" w:left="0"/>
        <w:jc w:val="left"/>
      </w:pP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are exactly invariant: across 845 cells and ten settings the largest absolute change in balanced accuracy was 0.0e+00 for both, in every dataset (Fig. 1c). The one-sided pipeline decays toward 1/K as z_T grows, but it does not reach it uniformly within the sweep: on grasp-and-lift the fraction of cells at chance rises from 0.00 to 1.00 as z_T goes from 0.26 to 54.9; on BCI-2a from 0.08 to 0.97; on NER2015 from 0.05 to 0.93; on BCI-2b the sweep starts at z_T = 26 where 0.60 of the cells are already at chance and ends at 0.78; on SEED it starts at z_T = 34 where 0.90 are already at chance and ends at 1.00.</w:t>
      </w:r>
    </w:p>
    <w:p>
      <w:pPr>
        <w:keepNext/>
        <w:spacing w:before="240" w:after="120" w:line="240" w:lineRule="auto"/>
      </w:pPr>
      <w:r>
        <w:rPr>
          <w:rFonts w:ascii="Times New Roman" w:hAnsi="Times New Roman" w:eastAsia="Times New Roman" w:cs="Times New Roman"/>
          <w:b/>
          <w:i/>
          <w:sz w:val="24"/>
        </w:rPr>
        <w:t>4.3. The direction control</w:t>
      </w:r>
    </w:p>
    <w:p>
      <w:pPr>
        <w:spacing w:before="0" w:after="0" w:line="480" w:lineRule="auto"/>
        <w:ind w:firstLine="0" w:left="0"/>
        <w:jc w:val="left"/>
      </w:pPr>
      <w:r>
        <w:rPr>
          <w:rFonts w:ascii="Times New Roman" w:hAnsi="Times New Roman" w:eastAsia="Times New Roman" w:cs="Times New Roman"/>
          <w:b w:val="0"/>
          <w:i w:val="0"/>
          <w:sz w:val="24"/>
        </w:rPr>
        <w:t>The sweep injects the origin along one direction, which is not enough: Section 2.3 says the damage is governed by the projection of the origin onto the weights, so an origin orthogonal to the weights should do nothing while raising any norm-based statistic. We ran that experiment with equal-norm origins in two directions.</w:t>
      </w:r>
    </w:p>
    <w:p>
      <w:pPr>
        <w:keepNext/>
        <w:spacing w:before="240" w:after="80" w:line="240" w:lineRule="auto"/>
      </w:pPr>
      <w:r>
        <w:rPr>
          <w:rFonts w:ascii="Times New Roman" w:hAnsi="Times New Roman" w:eastAsia="Times New Roman" w:cs="Times New Roman"/>
          <w:b/>
          <w:i w:val="0"/>
          <w:sz w:val="21"/>
        </w:rPr>
        <w:t xml:space="preserve">Table 4. </w:t>
      </w:r>
      <w:r>
        <w:rPr>
          <w:rFonts w:ascii="Times New Roman" w:hAnsi="Times New Roman" w:eastAsia="Times New Roman" w:cs="Times New Roman"/>
          <w:b w:val="0"/>
          <w:i w:val="0"/>
          <w:sz w:val="21"/>
        </w:rPr>
        <w:t xml:space="preserve">Equal-norm origins, two directions, LDA, 60 cells per dataset. </w:t>
      </w:r>
      <w:r>
        <w:rPr>
          <w:rFonts w:ascii="Courier New" w:hAnsi="Courier New" w:eastAsia="Courier New" w:cs="Courier New"/>
          <w:b w:val="0"/>
          <w:i w:val="0"/>
          <w:sz w:val="21"/>
        </w:rPr>
        <w:t>change</w:t>
      </w:r>
      <w:r>
        <w:rPr>
          <w:rFonts w:ascii="Times New Roman" w:hAnsi="Times New Roman" w:eastAsia="Times New Roman" w:cs="Times New Roman"/>
          <w:b w:val="0"/>
          <w:i w:val="0"/>
          <w:sz w:val="21"/>
        </w:rPr>
        <w:t xml:space="preserve"> is the penalty relative to the no-injection baseline.</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512"/>
        <w:gridCol w:w="1512"/>
        <w:gridCol w:w="1512"/>
        <w:gridCol w:w="1512"/>
        <w:gridCol w:w="1512"/>
        <w:gridCol w:w="1512"/>
      </w:tblGrid>
      <w:tr>
        <w:trPr>
          <w:tblHeader/>
        </w:trPr>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51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direction</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norm</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z_T</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penalty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change</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none</w:t>
            </w:r>
          </w:p>
        </w:tc>
        <w:tc>
          <w:tcPr>
            <w:tcW w:type="dxa" w:w="1512"/>
          </w:tcPr>
          <w:p>
            <w:pPr>
              <w:spacing w:before="40" w:after="40" w:line="240" w:lineRule="auto"/>
              <w:jc w:val="center"/>
            </w:pPr>
            <w:r/>
            <w:r>
              <w:rPr>
                <w:rFonts w:ascii="Times New Roman" w:hAnsi="Times New Roman" w:eastAsia="Times New Roman" w:cs="Times New Roman"/>
                <w:b w:val="0"/>
                <w:i w:val="0"/>
                <w:sz w:val="18"/>
              </w:rPr>
              <w:t>0</w:t>
            </w:r>
          </w:p>
        </w:tc>
        <w:tc>
          <w:tcPr>
            <w:tcW w:type="dxa" w:w="1512"/>
          </w:tcPr>
          <w:p>
            <w:pPr>
              <w:spacing w:before="40" w:after="40" w:line="240" w:lineRule="auto"/>
              <w:jc w:val="center"/>
            </w:pPr>
            <w:r/>
            <w:r>
              <w:rPr>
                <w:rFonts w:ascii="Times New Roman" w:hAnsi="Times New Roman" w:eastAsia="Times New Roman" w:cs="Times New Roman"/>
                <w:b w:val="0"/>
                <w:i w:val="0"/>
                <w:sz w:val="18"/>
              </w:rPr>
              <w:t>16.0</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16.0</w:t>
            </w:r>
          </w:p>
        </w:tc>
        <w:tc>
          <w:tcPr>
            <w:tcW w:type="dxa" w:w="1512"/>
          </w:tcPr>
          <w:p>
            <w:pPr>
              <w:spacing w:before="40" w:after="40" w:line="240" w:lineRule="auto"/>
              <w:jc w:val="center"/>
            </w:pPr>
            <w:r/>
            <w:r>
              <w:rPr>
                <w:rFonts w:ascii="Times New Roman" w:hAnsi="Times New Roman" w:eastAsia="Times New Roman" w:cs="Times New Roman"/>
                <w:b w:val="0"/>
                <w:i w:val="0"/>
                <w:sz w:val="18"/>
              </w:rPr>
              <w:t>−0.1755</w:t>
            </w:r>
          </w:p>
        </w:tc>
        <w:tc>
          <w:tcPr>
            <w:tcW w:type="dxa" w:w="1512"/>
          </w:tcPr>
          <w:p>
            <w:pPr>
              <w:spacing w:before="40" w:after="40" w:line="240" w:lineRule="auto"/>
              <w:jc w:val="center"/>
            </w:pPr>
            <w:r/>
            <w:r>
              <w:rPr>
                <w:rFonts w:ascii="Times New Roman" w:hAnsi="Times New Roman" w:eastAsia="Times New Roman" w:cs="Times New Roman"/>
                <w:b w:val="0"/>
                <w:i w:val="0"/>
                <w:sz w:val="18"/>
              </w:rPr>
              <w:t>−0.1312</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16.1</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15.9</w:t>
            </w:r>
          </w:p>
        </w:tc>
        <w:tc>
          <w:tcPr>
            <w:tcW w:type="dxa" w:w="1512"/>
          </w:tcPr>
          <w:p>
            <w:pPr>
              <w:spacing w:before="40" w:after="40" w:line="240" w:lineRule="auto"/>
              <w:jc w:val="center"/>
            </w:pPr>
            <w:r/>
            <w:r>
              <w:rPr>
                <w:rFonts w:ascii="Times New Roman" w:hAnsi="Times New Roman" w:eastAsia="Times New Roman" w:cs="Times New Roman"/>
                <w:b w:val="0"/>
                <w:i w:val="0"/>
                <w:sz w:val="18"/>
              </w:rPr>
              <w:t>−0.1637</w:t>
            </w:r>
          </w:p>
        </w:tc>
        <w:tc>
          <w:tcPr>
            <w:tcW w:type="dxa" w:w="1512"/>
          </w:tcPr>
          <w:p>
            <w:pPr>
              <w:spacing w:before="40" w:after="40" w:line="240" w:lineRule="auto"/>
              <w:jc w:val="center"/>
            </w:pPr>
            <w:r/>
            <w:r>
              <w:rPr>
                <w:rFonts w:ascii="Times New Roman" w:hAnsi="Times New Roman" w:eastAsia="Times New Roman" w:cs="Times New Roman"/>
                <w:b w:val="0"/>
                <w:i w:val="0"/>
                <w:sz w:val="18"/>
              </w:rPr>
              <w:t>−0.1194</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15.6</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none</w:t>
            </w:r>
          </w:p>
        </w:tc>
        <w:tc>
          <w:tcPr>
            <w:tcW w:type="dxa" w:w="1512"/>
          </w:tcPr>
          <w:p>
            <w:pPr>
              <w:spacing w:before="40" w:after="40" w:line="240" w:lineRule="auto"/>
              <w:jc w:val="center"/>
            </w:pPr>
            <w:r/>
            <w:r>
              <w:rPr>
                <w:rFonts w:ascii="Times New Roman" w:hAnsi="Times New Roman" w:eastAsia="Times New Roman" w:cs="Times New Roman"/>
                <w:b w:val="0"/>
                <w:i w:val="0"/>
                <w:sz w:val="18"/>
              </w:rPr>
              <w:t>0</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−0.2279</w:t>
            </w:r>
          </w:p>
        </w:tc>
        <w:tc>
          <w:tcPr>
            <w:tcW w:type="dxa" w:w="1512"/>
          </w:tcPr>
          <w:p>
            <w:pPr>
              <w:spacing w:before="40" w:after="40" w:line="240" w:lineRule="auto"/>
              <w:jc w:val="center"/>
            </w:pPr>
            <w:r/>
            <w:r>
              <w:rPr>
                <w:rFonts w:ascii="Times New Roman" w:hAnsi="Times New Roman" w:eastAsia="Times New Roman" w:cs="Times New Roman"/>
                <w:b w:val="0"/>
                <w:i w:val="0"/>
                <w:sz w:val="18"/>
              </w:rPr>
              <w:t>−0.2132</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0.49</w:t>
            </w:r>
          </w:p>
        </w:tc>
        <w:tc>
          <w:tcPr>
            <w:tcW w:type="dxa" w:w="1512"/>
          </w:tcPr>
          <w:p>
            <w:pPr>
              <w:spacing w:before="40" w:after="40" w:line="240" w:lineRule="auto"/>
              <w:jc w:val="center"/>
            </w:pPr>
            <w:r/>
            <w:r>
              <w:rPr>
                <w:rFonts w:ascii="Times New Roman" w:hAnsi="Times New Roman" w:eastAsia="Times New Roman" w:cs="Times New Roman"/>
                <w:b w:val="0"/>
                <w:i w:val="0"/>
                <w:sz w:val="18"/>
              </w:rPr>
              <w:t>−0.3225</w:t>
            </w:r>
          </w:p>
        </w:tc>
        <w:tc>
          <w:tcPr>
            <w:tcW w:type="dxa" w:w="1512"/>
          </w:tcPr>
          <w:p>
            <w:pPr>
              <w:spacing w:before="40" w:after="40" w:line="240" w:lineRule="auto"/>
              <w:jc w:val="center"/>
            </w:pPr>
            <w:r/>
            <w:r>
              <w:rPr>
                <w:rFonts w:ascii="Times New Roman" w:hAnsi="Times New Roman" w:eastAsia="Times New Roman" w:cs="Times New Roman"/>
                <w:b w:val="0"/>
                <w:i w:val="0"/>
                <w:sz w:val="18"/>
              </w:rPr>
              <w:t>−0.3078</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4 σ̄</w:t>
            </w:r>
          </w:p>
        </w:tc>
        <w:tc>
          <w:tcPr>
            <w:tcW w:type="dxa" w:w="1512"/>
          </w:tcPr>
          <w:p>
            <w:pPr>
              <w:spacing w:before="40" w:after="40" w:line="240" w:lineRule="auto"/>
              <w:jc w:val="center"/>
            </w:pPr>
            <w:r/>
            <w:r>
              <w:rPr>
                <w:rFonts w:ascii="Times New Roman" w:hAnsi="Times New Roman" w:eastAsia="Times New Roman" w:cs="Times New Roman"/>
                <w:b w:val="0"/>
                <w:i w:val="0"/>
                <w:sz w:val="18"/>
              </w:rPr>
              <w:t>0.50</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The two directions give the same z_T to within one unit in the second decimal, and the orthogonal one changes the penalty by exactly 0.0000 in every cell while the parallel one changes it by −0.13 and −0.21 to −0.31. A norm-based statistic is therefore blind to the direction. The projected statistic of Equation (2) is unchanged in the orthogonal arm by construction, and it is the statistic we use.</w:t>
      </w:r>
    </w:p>
    <w:p>
      <w:pPr>
        <w:keepNext/>
        <w:spacing w:before="240" w:after="120" w:line="240" w:lineRule="auto"/>
      </w:pPr>
      <w:r>
        <w:rPr>
          <w:rFonts w:ascii="Times New Roman" w:hAnsi="Times New Roman" w:eastAsia="Times New Roman" w:cs="Times New Roman"/>
          <w:b/>
          <w:i/>
          <w:sz w:val="24"/>
        </w:rPr>
        <w:t>4.4. A source-level statistic, and its boundaries</w:t>
      </w:r>
    </w:p>
    <w:p>
      <w:pPr>
        <w:keepNext/>
        <w:spacing w:before="240" w:after="80" w:line="240" w:lineRule="auto"/>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fig2.png"/>
                    <pic:cNvPicPr/>
                  </pic:nvPicPr>
                  <pic:blipFill>
                    <a:blip r:embed="rId12"/>
                    <a:stretch>
                      <a:fillRect/>
                    </a:stretch>
                  </pic:blipFill>
                  <pic:spPr>
                    <a:xfrm>
                      <a:off x="0" y="0"/>
                      <a:ext cx="5669280" cy="2214562"/>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2.</w:t>
      </w:r>
      <w:r>
        <w:rPr>
          <w:rFonts w:ascii="Times New Roman" w:hAnsi="Times New Roman" w:eastAsia="Times New Roman" w:cs="Times New Roman"/>
          <w:b w:val="0"/>
          <w:i w:val="0"/>
          <w:sz w:val="21"/>
        </w:rPr>
        <w:t xml:space="preserve"> (a) Unit medians of the source-only statistic against the penalty of the one-sided pipeline, one point per dataset-by-representation unit, with the held-out SEED-IV point shown as a star; (b) the same relation over the development cells.</w:t>
      </w:r>
    </w:p>
    <w:p>
      <w:pPr>
        <w:keepNext/>
        <w:spacing w:before="240" w:after="80" w:line="240" w:lineRule="auto"/>
      </w:pPr>
      <w:r>
        <w:rPr>
          <w:rFonts w:ascii="Times New Roman" w:hAnsi="Times New Roman" w:eastAsia="Times New Roman" w:cs="Times New Roman"/>
          <w:b/>
          <w:i w:val="0"/>
          <w:sz w:val="21"/>
        </w:rPr>
        <w:t xml:space="preserve">Table 5. </w:t>
      </w:r>
      <w:r>
        <w:rPr>
          <w:rFonts w:ascii="Times New Roman" w:hAnsi="Times New Roman" w:eastAsia="Times New Roman" w:cs="Times New Roman"/>
          <w:b w:val="0"/>
          <w:i w:val="0"/>
          <w:sz w:val="21"/>
        </w:rPr>
        <w:t>The source-only statistic at the level of dataset-by-representation units, medians within a unit. z_T = ‖μ_A‖/‖sd_A‖; z_w is Equation (2) with the scale taken from the centred scores; penalty = zero − none; gain = mean − none. Sorted by z_w.</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296"/>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representation</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z_T</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z_w</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penalty</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gain</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csp</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0.22</w:t>
            </w:r>
          </w:p>
        </w:tc>
        <w:tc>
          <w:tcPr>
            <w:tcW w:type="dxa" w:w="1296"/>
          </w:tcPr>
          <w:p>
            <w:pPr>
              <w:spacing w:before="40" w:after="40" w:line="240" w:lineRule="auto"/>
              <w:jc w:val="center"/>
            </w:pPr>
            <w:r/>
            <w:r>
              <w:rPr>
                <w:rFonts w:ascii="Times New Roman" w:hAnsi="Times New Roman" w:eastAsia="Times New Roman" w:cs="Times New Roman"/>
                <w:b w:val="0"/>
                <w:i w:val="0"/>
                <w:sz w:val="18"/>
              </w:rPr>
              <w:t>0.068</w:t>
            </w:r>
          </w:p>
        </w:tc>
        <w:tc>
          <w:tcPr>
            <w:tcW w:type="dxa" w:w="1296"/>
          </w:tcPr>
          <w:p>
            <w:pPr>
              <w:spacing w:before="40" w:after="40" w:line="240" w:lineRule="auto"/>
              <w:jc w:val="center"/>
            </w:pPr>
            <w:r/>
            <w:r>
              <w:rPr>
                <w:rFonts w:ascii="Times New Roman" w:hAnsi="Times New Roman" w:eastAsia="Times New Roman" w:cs="Times New Roman"/>
                <w:b w:val="0"/>
                <w:i w:val="0"/>
                <w:sz w:val="18"/>
              </w:rPr>
              <w:t>+0.018</w:t>
            </w:r>
          </w:p>
        </w:tc>
        <w:tc>
          <w:tcPr>
            <w:tcW w:type="dxa" w:w="1296"/>
          </w:tcPr>
          <w:p>
            <w:pPr>
              <w:spacing w:before="40" w:after="40" w:line="240" w:lineRule="auto"/>
              <w:jc w:val="center"/>
            </w:pPr>
            <w:r/>
            <w:r>
              <w:rPr>
                <w:rFonts w:ascii="Times New Roman" w:hAnsi="Times New Roman" w:eastAsia="Times New Roman" w:cs="Times New Roman"/>
                <w:b w:val="0"/>
                <w:i w:val="0"/>
                <w:sz w:val="18"/>
              </w:rPr>
              <w:t>+0.026</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time mean</w:t>
            </w:r>
          </w:p>
        </w:tc>
        <w:tc>
          <w:tcPr>
            <w:tcW w:type="dxa" w:w="1296"/>
          </w:tcPr>
          <w:p>
            <w:pPr>
              <w:spacing w:before="40" w:after="40" w:line="240" w:lineRule="auto"/>
              <w:jc w:val="center"/>
            </w:pPr>
            <w:r/>
            <w:r>
              <w:rPr>
                <w:rFonts w:ascii="Times New Roman" w:hAnsi="Times New Roman" w:eastAsia="Times New Roman" w:cs="Times New Roman"/>
                <w:b w:val="0"/>
                <w:i w:val="0"/>
                <w:sz w:val="18"/>
              </w:rPr>
              <w:t>320</w:t>
            </w:r>
          </w:p>
        </w:tc>
        <w:tc>
          <w:tcPr>
            <w:tcW w:type="dxa" w:w="1296"/>
          </w:tcPr>
          <w:p>
            <w:pPr>
              <w:spacing w:before="40" w:after="40" w:line="240" w:lineRule="auto"/>
              <w:jc w:val="center"/>
            </w:pPr>
            <w:r/>
            <w:r>
              <w:rPr>
                <w:rFonts w:ascii="Times New Roman" w:hAnsi="Times New Roman" w:eastAsia="Times New Roman" w:cs="Times New Roman"/>
                <w:b w:val="0"/>
                <w:i w:val="0"/>
                <w:sz w:val="18"/>
              </w:rPr>
              <w:t>0.20</w:t>
            </w:r>
          </w:p>
        </w:tc>
        <w:tc>
          <w:tcPr>
            <w:tcW w:type="dxa" w:w="1296"/>
          </w:tcPr>
          <w:p>
            <w:pPr>
              <w:spacing w:before="40" w:after="40" w:line="240" w:lineRule="auto"/>
              <w:jc w:val="center"/>
            </w:pPr>
            <w:r/>
            <w:r>
              <w:rPr>
                <w:rFonts w:ascii="Times New Roman" w:hAnsi="Times New Roman" w:eastAsia="Times New Roman" w:cs="Times New Roman"/>
                <w:b w:val="0"/>
                <w:i w:val="0"/>
                <w:sz w:val="18"/>
              </w:rPr>
              <w:t>0.230</w:t>
            </w:r>
          </w:p>
        </w:tc>
        <w:tc>
          <w:tcPr>
            <w:tcW w:type="dxa" w:w="1296"/>
          </w:tcPr>
          <w:p>
            <w:pPr>
              <w:spacing w:before="40" w:after="40" w:line="240" w:lineRule="auto"/>
              <w:jc w:val="center"/>
            </w:pPr>
            <w:r/>
            <w:r>
              <w:rPr>
                <w:rFonts w:ascii="Times New Roman" w:hAnsi="Times New Roman" w:eastAsia="Times New Roman" w:cs="Times New Roman"/>
                <w:b w:val="0"/>
                <w:i w:val="0"/>
                <w:sz w:val="18"/>
              </w:rPr>
              <w:t>0.000</w:t>
            </w:r>
          </w:p>
        </w:tc>
        <w:tc>
          <w:tcPr>
            <w:tcW w:type="dxa" w:w="1296"/>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log power</w:t>
            </w:r>
          </w:p>
        </w:tc>
        <w:tc>
          <w:tcPr>
            <w:tcW w:type="dxa" w:w="1296"/>
          </w:tcPr>
          <w:p>
            <w:pPr>
              <w:spacing w:before="40" w:after="40" w:line="240" w:lineRule="auto"/>
              <w:jc w:val="center"/>
            </w:pPr>
            <w:r/>
            <w:r>
              <w:rPr>
                <w:rFonts w:ascii="Times New Roman" w:hAnsi="Times New Roman" w:eastAsia="Times New Roman" w:cs="Times New Roman"/>
                <w:b w:val="0"/>
                <w:i w:val="0"/>
                <w:sz w:val="18"/>
              </w:rPr>
              <w:t>336</w:t>
            </w:r>
          </w:p>
        </w:tc>
        <w:tc>
          <w:tcPr>
            <w:tcW w:type="dxa" w:w="1296"/>
          </w:tcPr>
          <w:p>
            <w:pPr>
              <w:spacing w:before="40" w:after="40" w:line="240" w:lineRule="auto"/>
              <w:jc w:val="center"/>
            </w:pPr>
            <w:r/>
            <w:r>
              <w:rPr>
                <w:rFonts w:ascii="Times New Roman" w:hAnsi="Times New Roman" w:eastAsia="Times New Roman" w:cs="Times New Roman"/>
                <w:b w:val="0"/>
                <w:i w:val="0"/>
                <w:sz w:val="18"/>
              </w:rPr>
              <w:t>0.25</w:t>
            </w:r>
          </w:p>
        </w:tc>
        <w:tc>
          <w:tcPr>
            <w:tcW w:type="dxa" w:w="1296"/>
          </w:tcPr>
          <w:p>
            <w:pPr>
              <w:spacing w:before="40" w:after="40" w:line="240" w:lineRule="auto"/>
              <w:jc w:val="center"/>
            </w:pPr>
            <w:r/>
            <w:r>
              <w:rPr>
                <w:rFonts w:ascii="Times New Roman" w:hAnsi="Times New Roman" w:eastAsia="Times New Roman" w:cs="Times New Roman"/>
                <w:b w:val="0"/>
                <w:i w:val="0"/>
                <w:sz w:val="18"/>
              </w:rPr>
              <w:t>0.289</w:t>
            </w:r>
          </w:p>
        </w:tc>
        <w:tc>
          <w:tcPr>
            <w:tcW w:type="dxa" w:w="1296"/>
          </w:tcPr>
          <w:p>
            <w:pPr>
              <w:spacing w:before="40" w:after="40" w:line="240" w:lineRule="auto"/>
              <w:jc w:val="center"/>
            </w:pPr>
            <w:r/>
            <w:r>
              <w:rPr>
                <w:rFonts w:ascii="Times New Roman" w:hAnsi="Times New Roman" w:eastAsia="Times New Roman" w:cs="Times New Roman"/>
                <w:b w:val="0"/>
                <w:i w:val="0"/>
                <w:sz w:val="18"/>
              </w:rPr>
              <w:t>−0.015</w:t>
            </w:r>
          </w:p>
        </w:tc>
        <w:tc>
          <w:tcPr>
            <w:tcW w:type="dxa" w:w="1296"/>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csp</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0.40</w:t>
            </w:r>
          </w:p>
        </w:tc>
        <w:tc>
          <w:tcPr>
            <w:tcW w:type="dxa" w:w="1296"/>
          </w:tcPr>
          <w:p>
            <w:pPr>
              <w:spacing w:before="40" w:after="40" w:line="240" w:lineRule="auto"/>
              <w:jc w:val="center"/>
            </w:pPr>
            <w:r/>
            <w:r>
              <w:rPr>
                <w:rFonts w:ascii="Times New Roman" w:hAnsi="Times New Roman" w:eastAsia="Times New Roman" w:cs="Times New Roman"/>
                <w:b w:val="0"/>
                <w:i w:val="0"/>
                <w:sz w:val="18"/>
              </w:rPr>
              <w:t>0.287</w:t>
            </w:r>
          </w:p>
        </w:tc>
        <w:tc>
          <w:tcPr>
            <w:tcW w:type="dxa" w:w="1296"/>
          </w:tcPr>
          <w:p>
            <w:pPr>
              <w:spacing w:before="40" w:after="40" w:line="240" w:lineRule="auto"/>
              <w:jc w:val="center"/>
            </w:pPr>
            <w:r/>
            <w:r>
              <w:rPr>
                <w:rFonts w:ascii="Times New Roman" w:hAnsi="Times New Roman" w:eastAsia="Times New Roman" w:cs="Times New Roman"/>
                <w:b w:val="0"/>
                <w:i w:val="0"/>
                <w:sz w:val="18"/>
              </w:rPr>
              <w:t>+0.024</w:t>
            </w:r>
          </w:p>
        </w:tc>
        <w:tc>
          <w:tcPr>
            <w:tcW w:type="dxa" w:w="1296"/>
          </w:tcPr>
          <w:p>
            <w:pPr>
              <w:spacing w:before="40" w:after="40" w:line="240" w:lineRule="auto"/>
              <w:jc w:val="center"/>
            </w:pPr>
            <w:r/>
            <w:r>
              <w:rPr>
                <w:rFonts w:ascii="Times New Roman" w:hAnsi="Times New Roman" w:eastAsia="Times New Roman" w:cs="Times New Roman"/>
                <w:b w:val="0"/>
                <w:i w:val="0"/>
                <w:sz w:val="18"/>
              </w:rPr>
              <w:t>+0.059</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tan</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0.37</w:t>
            </w:r>
          </w:p>
        </w:tc>
        <w:tc>
          <w:tcPr>
            <w:tcW w:type="dxa" w:w="1296"/>
          </w:tcPr>
          <w:p>
            <w:pPr>
              <w:spacing w:before="40" w:after="40" w:line="240" w:lineRule="auto"/>
              <w:jc w:val="center"/>
            </w:pPr>
            <w:r/>
            <w:r>
              <w:rPr>
                <w:rFonts w:ascii="Times New Roman" w:hAnsi="Times New Roman" w:eastAsia="Times New Roman" w:cs="Times New Roman"/>
                <w:b w:val="0"/>
                <w:i w:val="0"/>
                <w:sz w:val="18"/>
              </w:rPr>
              <w:t>0.309</w:t>
            </w:r>
          </w:p>
        </w:tc>
        <w:tc>
          <w:tcPr>
            <w:tcW w:type="dxa" w:w="1296"/>
          </w:tcPr>
          <w:p>
            <w:pPr>
              <w:spacing w:before="40" w:after="40" w:line="240" w:lineRule="auto"/>
              <w:jc w:val="center"/>
            </w:pPr>
            <w:r/>
            <w:r>
              <w:rPr>
                <w:rFonts w:ascii="Times New Roman" w:hAnsi="Times New Roman" w:eastAsia="Times New Roman" w:cs="Times New Roman"/>
                <w:b w:val="0"/>
                <w:i w:val="0"/>
                <w:sz w:val="18"/>
              </w:rPr>
              <w:t>+0.014</w:t>
            </w:r>
          </w:p>
        </w:tc>
        <w:tc>
          <w:tcPr>
            <w:tcW w:type="dxa" w:w="1296"/>
          </w:tcPr>
          <w:p>
            <w:pPr>
              <w:spacing w:before="40" w:after="40" w:line="240" w:lineRule="auto"/>
              <w:jc w:val="center"/>
            </w:pPr>
            <w:r/>
            <w:r>
              <w:rPr>
                <w:rFonts w:ascii="Times New Roman" w:hAnsi="Times New Roman" w:eastAsia="Times New Roman" w:cs="Times New Roman"/>
                <w:b w:val="0"/>
                <w:i w:val="0"/>
                <w:sz w:val="18"/>
              </w:rPr>
              <w:t>+0.031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euc_ea</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0.64</w:t>
            </w:r>
          </w:p>
        </w:tc>
        <w:tc>
          <w:tcPr>
            <w:tcW w:type="dxa" w:w="1296"/>
          </w:tcPr>
          <w:p>
            <w:pPr>
              <w:spacing w:before="40" w:after="40" w:line="240" w:lineRule="auto"/>
              <w:jc w:val="center"/>
            </w:pPr>
            <w:r/>
            <w:r>
              <w:rPr>
                <w:rFonts w:ascii="Times New Roman" w:hAnsi="Times New Roman" w:eastAsia="Times New Roman" w:cs="Times New Roman"/>
                <w:b w:val="0"/>
                <w:i w:val="0"/>
                <w:sz w:val="18"/>
              </w:rPr>
              <w:t>0.597</w:t>
            </w:r>
          </w:p>
        </w:tc>
        <w:tc>
          <w:tcPr>
            <w:tcW w:type="dxa" w:w="1296"/>
          </w:tcPr>
          <w:p>
            <w:pPr>
              <w:spacing w:before="40" w:after="40" w:line="240" w:lineRule="auto"/>
              <w:jc w:val="center"/>
            </w:pPr>
            <w:r/>
            <w:r>
              <w:rPr>
                <w:rFonts w:ascii="Times New Roman" w:hAnsi="Times New Roman" w:eastAsia="Times New Roman" w:cs="Times New Roman"/>
                <w:b w:val="0"/>
                <w:i w:val="0"/>
                <w:sz w:val="18"/>
              </w:rPr>
              <w:t>−0.014</w:t>
            </w:r>
          </w:p>
        </w:tc>
        <w:tc>
          <w:tcPr>
            <w:tcW w:type="dxa" w:w="1296"/>
          </w:tcPr>
          <w:p>
            <w:pPr>
              <w:spacing w:before="40" w:after="40" w:line="240" w:lineRule="auto"/>
              <w:jc w:val="center"/>
            </w:pPr>
            <w:r/>
            <w:r>
              <w:rPr>
                <w:rFonts w:ascii="Times New Roman" w:hAnsi="Times New Roman" w:eastAsia="Times New Roman" w:cs="Times New Roman"/>
                <w:b w:val="0"/>
                <w:i w:val="0"/>
                <w:sz w:val="18"/>
              </w:rPr>
              <w:t>+0.059</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euc</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7.87</w:t>
            </w:r>
          </w:p>
        </w:tc>
        <w:tc>
          <w:tcPr>
            <w:tcW w:type="dxa" w:w="1296"/>
          </w:tcPr>
          <w:p>
            <w:pPr>
              <w:spacing w:before="40" w:after="40" w:line="240" w:lineRule="auto"/>
              <w:jc w:val="center"/>
            </w:pPr>
            <w:r/>
            <w:r>
              <w:rPr>
                <w:rFonts w:ascii="Times New Roman" w:hAnsi="Times New Roman" w:eastAsia="Times New Roman" w:cs="Times New Roman"/>
                <w:b w:val="0"/>
                <w:i w:val="0"/>
                <w:sz w:val="18"/>
              </w:rPr>
              <w:t>4.399</w:t>
            </w:r>
          </w:p>
        </w:tc>
        <w:tc>
          <w:tcPr>
            <w:tcW w:type="dxa" w:w="1296"/>
          </w:tcPr>
          <w:p>
            <w:pPr>
              <w:spacing w:before="40" w:after="40" w:line="240" w:lineRule="auto"/>
              <w:jc w:val="center"/>
            </w:pPr>
            <w:r/>
            <w:r>
              <w:rPr>
                <w:rFonts w:ascii="Times New Roman" w:hAnsi="Times New Roman" w:eastAsia="Times New Roman" w:cs="Times New Roman"/>
                <w:b w:val="0"/>
                <w:i w:val="0"/>
                <w:sz w:val="18"/>
              </w:rPr>
              <w:t>−0.184</w:t>
            </w:r>
          </w:p>
        </w:tc>
        <w:tc>
          <w:tcPr>
            <w:tcW w:type="dxa" w:w="1296"/>
          </w:tcPr>
          <w:p>
            <w:pPr>
              <w:spacing w:before="40" w:after="40" w:line="240" w:lineRule="auto"/>
              <w:jc w:val="center"/>
            </w:pPr>
            <w:r/>
            <w:r>
              <w:rPr>
                <w:rFonts w:ascii="Times New Roman" w:hAnsi="Times New Roman" w:eastAsia="Times New Roman" w:cs="Times New Roman"/>
                <w:b w:val="0"/>
                <w:i w:val="0"/>
                <w:sz w:val="18"/>
              </w:rPr>
              <w:t>+0.017</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tan</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21.2</w:t>
            </w:r>
          </w:p>
        </w:tc>
        <w:tc>
          <w:tcPr>
            <w:tcW w:type="dxa" w:w="1296"/>
          </w:tcPr>
          <w:p>
            <w:pPr>
              <w:spacing w:before="40" w:after="40" w:line="240" w:lineRule="auto"/>
              <w:jc w:val="center"/>
            </w:pPr>
            <w:r/>
            <w:r>
              <w:rPr>
                <w:rFonts w:ascii="Times New Roman" w:hAnsi="Times New Roman" w:eastAsia="Times New Roman" w:cs="Times New Roman"/>
                <w:b w:val="0"/>
                <w:i w:val="0"/>
                <w:sz w:val="18"/>
              </w:rPr>
              <w:t>5.117</w:t>
            </w:r>
          </w:p>
        </w:tc>
        <w:tc>
          <w:tcPr>
            <w:tcW w:type="dxa" w:w="1296"/>
          </w:tcPr>
          <w:p>
            <w:pPr>
              <w:spacing w:before="40" w:after="40" w:line="240" w:lineRule="auto"/>
              <w:jc w:val="center"/>
            </w:pPr>
            <w:r/>
            <w:r>
              <w:rPr>
                <w:rFonts w:ascii="Times New Roman" w:hAnsi="Times New Roman" w:eastAsia="Times New Roman" w:cs="Times New Roman"/>
                <w:b w:val="0"/>
                <w:i w:val="0"/>
                <w:sz w:val="18"/>
              </w:rPr>
              <w:t>−0.160</w:t>
            </w:r>
          </w:p>
        </w:tc>
        <w:tc>
          <w:tcPr>
            <w:tcW w:type="dxa" w:w="1296"/>
          </w:tcPr>
          <w:p>
            <w:pPr>
              <w:spacing w:before="40" w:after="40" w:line="240" w:lineRule="auto"/>
              <w:jc w:val="center"/>
            </w:pPr>
            <w:r/>
            <w:r>
              <w:rPr>
                <w:rFonts w:ascii="Times New Roman" w:hAnsi="Times New Roman" w:eastAsia="Times New Roman" w:cs="Times New Roman"/>
                <w:b w:val="0"/>
                <w:i w:val="0"/>
                <w:sz w:val="18"/>
              </w:rPr>
              <w:t>+0.020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euc_ea</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14.2</w:t>
            </w:r>
          </w:p>
        </w:tc>
        <w:tc>
          <w:tcPr>
            <w:tcW w:type="dxa" w:w="1296"/>
          </w:tcPr>
          <w:p>
            <w:pPr>
              <w:spacing w:before="40" w:after="40" w:line="240" w:lineRule="auto"/>
              <w:jc w:val="center"/>
            </w:pPr>
            <w:r/>
            <w:r>
              <w:rPr>
                <w:rFonts w:ascii="Times New Roman" w:hAnsi="Times New Roman" w:eastAsia="Times New Roman" w:cs="Times New Roman"/>
                <w:b w:val="0"/>
                <w:i w:val="0"/>
                <w:sz w:val="18"/>
              </w:rPr>
              <w:t>5.405</w:t>
            </w:r>
          </w:p>
        </w:tc>
        <w:tc>
          <w:tcPr>
            <w:tcW w:type="dxa" w:w="1296"/>
          </w:tcPr>
          <w:p>
            <w:pPr>
              <w:spacing w:before="40" w:after="40" w:line="240" w:lineRule="auto"/>
              <w:jc w:val="center"/>
            </w:pPr>
            <w:r/>
            <w:r>
              <w:rPr>
                <w:rFonts w:ascii="Times New Roman" w:hAnsi="Times New Roman" w:eastAsia="Times New Roman" w:cs="Times New Roman"/>
                <w:b w:val="0"/>
                <w:i w:val="0"/>
                <w:sz w:val="18"/>
              </w:rPr>
              <w:t>−0.137</w:t>
            </w:r>
          </w:p>
        </w:tc>
        <w:tc>
          <w:tcPr>
            <w:tcW w:type="dxa" w:w="1296"/>
          </w:tcPr>
          <w:p>
            <w:pPr>
              <w:spacing w:before="40" w:after="40" w:line="240" w:lineRule="auto"/>
              <w:jc w:val="center"/>
            </w:pPr>
            <w:r/>
            <w:r>
              <w:rPr>
                <w:rFonts w:ascii="Times New Roman" w:hAnsi="Times New Roman" w:eastAsia="Times New Roman" w:cs="Times New Roman"/>
                <w:b w:val="0"/>
                <w:i w:val="0"/>
                <w:sz w:val="18"/>
              </w:rPr>
              <w:t>+0.018</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differential entropy</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34.2</w:t>
            </w:r>
          </w:p>
        </w:tc>
        <w:tc>
          <w:tcPr>
            <w:tcW w:type="dxa" w:w="1296"/>
          </w:tcPr>
          <w:p>
            <w:pPr>
              <w:spacing w:before="40" w:after="40" w:line="240" w:lineRule="auto"/>
              <w:jc w:val="center"/>
            </w:pPr>
            <w:r/>
            <w:r>
              <w:rPr>
                <w:rFonts w:ascii="Times New Roman" w:hAnsi="Times New Roman" w:eastAsia="Times New Roman" w:cs="Times New Roman"/>
                <w:b w:val="0"/>
                <w:i w:val="0"/>
                <w:sz w:val="18"/>
              </w:rPr>
              <w:t>12.36</w:t>
            </w:r>
          </w:p>
        </w:tc>
        <w:tc>
          <w:tcPr>
            <w:tcW w:type="dxa" w:w="1296"/>
          </w:tcPr>
          <w:p>
            <w:pPr>
              <w:spacing w:before="40" w:after="40" w:line="240" w:lineRule="auto"/>
              <w:jc w:val="center"/>
            </w:pPr>
            <w:r/>
            <w:r>
              <w:rPr>
                <w:rFonts w:ascii="Times New Roman" w:hAnsi="Times New Roman" w:eastAsia="Times New Roman" w:cs="Times New Roman"/>
                <w:b w:val="0"/>
                <w:i w:val="0"/>
                <w:sz w:val="18"/>
              </w:rPr>
              <w:t>−0.029</w:t>
            </w:r>
          </w:p>
        </w:tc>
        <w:tc>
          <w:tcPr>
            <w:tcW w:type="dxa" w:w="1296"/>
          </w:tcPr>
          <w:p>
            <w:pPr>
              <w:spacing w:before="40" w:after="40" w:line="240" w:lineRule="auto"/>
              <w:jc w:val="center"/>
            </w:pPr>
            <w:r/>
            <w:r>
              <w:rPr>
                <w:rFonts w:ascii="Times New Roman" w:hAnsi="Times New Roman" w:eastAsia="Times New Roman" w:cs="Times New Roman"/>
                <w:b w:val="0"/>
                <w:i w:val="0"/>
                <w:sz w:val="18"/>
              </w:rPr>
              <w:t>+0.211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euc</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57.1</w:t>
            </w:r>
          </w:p>
        </w:tc>
        <w:tc>
          <w:tcPr>
            <w:tcW w:type="dxa" w:w="1296"/>
          </w:tcPr>
          <w:p>
            <w:pPr>
              <w:spacing w:before="40" w:after="40" w:line="240" w:lineRule="auto"/>
              <w:jc w:val="center"/>
            </w:pPr>
            <w:r/>
            <w:r>
              <w:rPr>
                <w:rFonts w:ascii="Times New Roman" w:hAnsi="Times New Roman" w:eastAsia="Times New Roman" w:cs="Times New Roman"/>
                <w:b w:val="0"/>
                <w:i w:val="0"/>
                <w:sz w:val="18"/>
              </w:rPr>
              <w:t>23.31</w:t>
            </w:r>
          </w:p>
        </w:tc>
        <w:tc>
          <w:tcPr>
            <w:tcW w:type="dxa" w:w="1296"/>
          </w:tcPr>
          <w:p>
            <w:pPr>
              <w:spacing w:before="40" w:after="40" w:line="240" w:lineRule="auto"/>
              <w:jc w:val="center"/>
            </w:pPr>
            <w:r/>
            <w:r>
              <w:rPr>
                <w:rFonts w:ascii="Times New Roman" w:hAnsi="Times New Roman" w:eastAsia="Times New Roman" w:cs="Times New Roman"/>
                <w:b w:val="0"/>
                <w:i w:val="0"/>
                <w:sz w:val="18"/>
              </w:rPr>
              <w:t>−0.186</w:t>
            </w:r>
          </w:p>
        </w:tc>
        <w:tc>
          <w:tcPr>
            <w:tcW w:type="dxa" w:w="1296"/>
          </w:tcPr>
          <w:p>
            <w:pPr>
              <w:spacing w:before="40" w:after="40" w:line="240" w:lineRule="auto"/>
              <w:jc w:val="center"/>
            </w:pPr>
            <w:r/>
            <w:r>
              <w:rPr>
                <w:rFonts w:ascii="Times New Roman" w:hAnsi="Times New Roman" w:eastAsia="Times New Roman" w:cs="Times New Roman"/>
                <w:b w:val="0"/>
                <w:i w:val="0"/>
                <w:sz w:val="18"/>
              </w:rPr>
              <w:t>+0.021</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At the level of the eleven development units the rank correlation between z_w and the penalty is −0.83, and the direction is the same at the cell level (AUC 0.841 for a loss larger than 0.05, 228 positives of 845). The statistic also resolves the four representations of BCI-2a, which the norm-based z_T does not: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has z_w = 4.40 and a penalty of −0.184, while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sit between 0.29 and 0.60 with penalties between +0.024 and −0.014.</w:t>
      </w:r>
    </w:p>
    <w:p>
      <w:pPr>
        <w:spacing w:before="0" w:after="0" w:line="480" w:lineRule="auto"/>
        <w:ind w:firstLine="0" w:left="0"/>
        <w:jc w:val="left"/>
      </w:pPr>
      <w:r>
        <w:rPr>
          <w:rFonts w:ascii="Times New Roman" w:hAnsi="Times New Roman" w:eastAsia="Times New Roman" w:cs="Times New Roman"/>
          <w:b/>
          <w:i w:val="0"/>
          <w:sz w:val="24"/>
        </w:rPr>
        <w:t>Where it fails.</w:t>
      </w:r>
      <w:r>
        <w:rPr>
          <w:rFonts w:ascii="Times New Roman" w:hAnsi="Times New Roman" w:eastAsia="Times New Roman" w:cs="Times New Roman"/>
          <w:b w:val="0"/>
          <w:i w:val="0"/>
          <w:sz w:val="24"/>
        </w:rPr>
        <w:t xml:space="preserve"> At the dataset level the picture weakens: the five development datasets give a rank correlation of −0.80, and adding SEED-IV (median z_w = 24.4, median penalty −0.070) gives −0.77 with an exact permutation p of 74/720 = 0.103. A threshold of 0.354 fixed by Youden's J on the five development datasets flags every one of the 90 held-out cells (sensitivity 1.000, specificity 0.000, precision 0.544), and within SEED-IV the statistic has an AUC of 0.515. The leave-one-dataset-out operating point fails on two of five development datasets (SEED: sensitivity 1.000, specificity 0.000; NER2015: 0.273, 0.864) and works on three (BCI-2a 0.714/0.864, BCI-2b 1.000/0.574, grasp-and-lift 0.704/0.828).</w:t>
      </w:r>
    </w:p>
    <w:p>
      <w:pPr>
        <w:keepNext/>
        <w:spacing w:before="240" w:after="80" w:line="240" w:lineRule="auto"/>
      </w:pPr>
      <w:r>
        <w:rPr>
          <w:rFonts w:ascii="Times New Roman" w:hAnsi="Times New Roman" w:eastAsia="Times New Roman" w:cs="Times New Roman"/>
          <w:b/>
          <w:i w:val="0"/>
          <w:sz w:val="21"/>
        </w:rPr>
        <w:t xml:space="preserve">Table 6. </w:t>
      </w:r>
      <w:r>
        <w:rPr>
          <w:rFonts w:ascii="Times New Roman" w:hAnsi="Times New Roman" w:eastAsia="Times New Roman" w:cs="Times New Roman"/>
          <w:b w:val="0"/>
          <w:i w:val="0"/>
          <w:sz w:val="21"/>
        </w:rPr>
        <w:t>Leave-one-dataset-out operating point for the statistic. The threshold is chosen on four development datasets and evaluated on the fifth.</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512"/>
        <w:gridCol w:w="1512"/>
        <w:gridCol w:w="1512"/>
        <w:gridCol w:w="1512"/>
        <w:gridCol w:w="1512"/>
        <w:gridCol w:w="1512"/>
      </w:tblGrid>
      <w:tr>
        <w:trPr>
          <w:tblHeader/>
        </w:trPr>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held out</w:t>
            </w:r>
          </w:p>
        </w:tc>
        <w:tc>
          <w:tcPr>
            <w:tcW w:type="dxa" w:w="151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threshold</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sensitivity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specificity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precision</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BCI-2a</w:t>
            </w:r>
          </w:p>
        </w:tc>
        <w:tc>
          <w:tcPr>
            <w:tcW w:type="dxa" w:w="1512"/>
          </w:tcPr>
          <w:p>
            <w:pPr>
              <w:spacing w:before="40" w:after="40" w:line="240" w:lineRule="auto"/>
              <w:jc w:val="left"/>
            </w:pPr>
            <w:r/>
            <w:r>
              <w:rPr>
                <w:rFonts w:ascii="Times New Roman" w:hAnsi="Times New Roman" w:eastAsia="Times New Roman" w:cs="Times New Roman"/>
                <w:b w:val="0"/>
                <w:i w:val="0"/>
                <w:sz w:val="18"/>
              </w:rPr>
              <w:t>36</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0.714</w:t>
            </w:r>
          </w:p>
        </w:tc>
        <w:tc>
          <w:tcPr>
            <w:tcW w:type="dxa" w:w="1512"/>
          </w:tcPr>
          <w:p>
            <w:pPr>
              <w:spacing w:before="40" w:after="40" w:line="240" w:lineRule="auto"/>
              <w:jc w:val="center"/>
            </w:pPr>
            <w:r/>
            <w:r>
              <w:rPr>
                <w:rFonts w:ascii="Times New Roman" w:hAnsi="Times New Roman" w:eastAsia="Times New Roman" w:cs="Times New Roman"/>
                <w:b w:val="0"/>
                <w:i w:val="0"/>
                <w:sz w:val="18"/>
              </w:rPr>
              <w:t>0.864</w:t>
            </w:r>
          </w:p>
        </w:tc>
        <w:tc>
          <w:tcPr>
            <w:tcW w:type="dxa" w:w="1512"/>
          </w:tcPr>
          <w:p>
            <w:pPr>
              <w:spacing w:before="40" w:after="40" w:line="240" w:lineRule="auto"/>
              <w:jc w:val="center"/>
            </w:pPr>
            <w:r/>
            <w:r>
              <w:rPr>
                <w:rFonts w:ascii="Times New Roman" w:hAnsi="Times New Roman" w:eastAsia="Times New Roman" w:cs="Times New Roman"/>
                <w:b w:val="0"/>
                <w:i w:val="0"/>
                <w:sz w:val="18"/>
              </w:rPr>
              <w:t>0.769</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108</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1.000</w:t>
            </w:r>
          </w:p>
        </w:tc>
        <w:tc>
          <w:tcPr>
            <w:tcW w:type="dxa" w:w="1512"/>
          </w:tcPr>
          <w:p>
            <w:pPr>
              <w:spacing w:before="40" w:after="40" w:line="240" w:lineRule="auto"/>
              <w:jc w:val="center"/>
            </w:pPr>
            <w:r/>
            <w:r>
              <w:rPr>
                <w:rFonts w:ascii="Times New Roman" w:hAnsi="Times New Roman" w:eastAsia="Times New Roman" w:cs="Times New Roman"/>
                <w:b w:val="0"/>
                <w:i w:val="0"/>
                <w:sz w:val="18"/>
              </w:rPr>
              <w:t>0.574</w:t>
            </w:r>
          </w:p>
        </w:tc>
        <w:tc>
          <w:tcPr>
            <w:tcW w:type="dxa" w:w="1512"/>
          </w:tcPr>
          <w:p>
            <w:pPr>
              <w:spacing w:before="40" w:after="40" w:line="240" w:lineRule="auto"/>
              <w:jc w:val="center"/>
            </w:pPr>
            <w:r/>
            <w:r>
              <w:rPr>
                <w:rFonts w:ascii="Times New Roman" w:hAnsi="Times New Roman" w:eastAsia="Times New Roman" w:cs="Times New Roman"/>
                <w:b w:val="0"/>
                <w:i w:val="0"/>
                <w:sz w:val="18"/>
              </w:rPr>
              <w:t>0.753</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SEED</w:t>
            </w:r>
          </w:p>
        </w:tc>
        <w:tc>
          <w:tcPr>
            <w:tcW w:type="dxa" w:w="1512"/>
          </w:tcPr>
          <w:p>
            <w:pPr>
              <w:spacing w:before="40" w:after="40" w:line="240" w:lineRule="auto"/>
              <w:jc w:val="left"/>
            </w:pPr>
            <w:r/>
            <w:r>
              <w:rPr>
                <w:rFonts w:ascii="Times New Roman" w:hAnsi="Times New Roman" w:eastAsia="Times New Roman" w:cs="Times New Roman"/>
                <w:b w:val="0"/>
                <w:i w:val="0"/>
                <w:sz w:val="18"/>
              </w:rPr>
              <w:t>45</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1.000</w:t>
            </w:r>
          </w:p>
        </w:tc>
        <w:tc>
          <w:tcPr>
            <w:tcW w:type="dxa" w:w="1512"/>
          </w:tcPr>
          <w:p>
            <w:pPr>
              <w:spacing w:before="40" w:after="40" w:line="240" w:lineRule="auto"/>
              <w:jc w:val="center"/>
            </w:pPr>
            <w:r/>
            <w:r>
              <w:rPr>
                <w:rFonts w:ascii="Times New Roman" w:hAnsi="Times New Roman" w:eastAsia="Times New Roman" w:cs="Times New Roman"/>
                <w:b w:val="0"/>
                <w:i w:val="0"/>
                <w:sz w:val="18"/>
              </w:rPr>
              <w:t>0.000</w:t>
            </w:r>
          </w:p>
        </w:tc>
        <w:tc>
          <w:tcPr>
            <w:tcW w:type="dxa" w:w="1512"/>
          </w:tcPr>
          <w:p>
            <w:pPr>
              <w:spacing w:before="40" w:after="40" w:line="240" w:lineRule="auto"/>
              <w:jc w:val="center"/>
            </w:pPr>
            <w:r/>
            <w:r>
              <w:rPr>
                <w:rFonts w:ascii="Times New Roman" w:hAnsi="Times New Roman" w:eastAsia="Times New Roman" w:cs="Times New Roman"/>
                <w:b w:val="0"/>
                <w:i w:val="0"/>
                <w:sz w:val="18"/>
              </w:rPr>
              <w:t>0.489</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NER2015</w:t>
            </w:r>
          </w:p>
        </w:tc>
        <w:tc>
          <w:tcPr>
            <w:tcW w:type="dxa" w:w="1512"/>
          </w:tcPr>
          <w:p>
            <w:pPr>
              <w:spacing w:before="40" w:after="40" w:line="240" w:lineRule="auto"/>
              <w:jc w:val="left"/>
            </w:pPr>
            <w:r/>
            <w:r>
              <w:rPr>
                <w:rFonts w:ascii="Times New Roman" w:hAnsi="Times New Roman" w:eastAsia="Times New Roman" w:cs="Times New Roman"/>
                <w:b w:val="0"/>
                <w:i w:val="0"/>
                <w:sz w:val="18"/>
              </w:rPr>
              <w:t>320</w:t>
            </w:r>
          </w:p>
        </w:tc>
        <w:tc>
          <w:tcPr>
            <w:tcW w:type="dxa" w:w="1512"/>
          </w:tcPr>
          <w:p>
            <w:pPr>
              <w:spacing w:before="40" w:after="40" w:line="240" w:lineRule="auto"/>
              <w:jc w:val="center"/>
            </w:pPr>
            <w:r/>
            <w:r>
              <w:rPr>
                <w:rFonts w:ascii="Times New Roman" w:hAnsi="Times New Roman" w:eastAsia="Times New Roman" w:cs="Times New Roman"/>
                <w:b w:val="0"/>
                <w:i w:val="0"/>
                <w:sz w:val="18"/>
              </w:rPr>
              <w:t>0.475</w:t>
            </w:r>
          </w:p>
        </w:tc>
        <w:tc>
          <w:tcPr>
            <w:tcW w:type="dxa" w:w="1512"/>
          </w:tcPr>
          <w:p>
            <w:pPr>
              <w:spacing w:before="40" w:after="40" w:line="240" w:lineRule="auto"/>
              <w:jc w:val="center"/>
            </w:pPr>
            <w:r/>
            <w:r>
              <w:rPr>
                <w:rFonts w:ascii="Times New Roman" w:hAnsi="Times New Roman" w:eastAsia="Times New Roman" w:cs="Times New Roman"/>
                <w:b w:val="0"/>
                <w:i w:val="0"/>
                <w:sz w:val="18"/>
              </w:rPr>
              <w:t>0.273</w:t>
            </w:r>
          </w:p>
        </w:tc>
        <w:tc>
          <w:tcPr>
            <w:tcW w:type="dxa" w:w="1512"/>
          </w:tcPr>
          <w:p>
            <w:pPr>
              <w:spacing w:before="40" w:after="40" w:line="240" w:lineRule="auto"/>
              <w:jc w:val="center"/>
            </w:pPr>
            <w:r/>
            <w:r>
              <w:rPr>
                <w:rFonts w:ascii="Times New Roman" w:hAnsi="Times New Roman" w:eastAsia="Times New Roman" w:cs="Times New Roman"/>
                <w:b w:val="0"/>
                <w:i w:val="0"/>
                <w:sz w:val="18"/>
              </w:rPr>
              <w:t>0.864</w:t>
            </w:r>
          </w:p>
        </w:tc>
        <w:tc>
          <w:tcPr>
            <w:tcW w:type="dxa" w:w="1512"/>
          </w:tcPr>
          <w:p>
            <w:pPr>
              <w:spacing w:before="40" w:after="40" w:line="240" w:lineRule="auto"/>
              <w:jc w:val="center"/>
            </w:pPr>
            <w:r/>
            <w:r>
              <w:rPr>
                <w:rFonts w:ascii="Times New Roman" w:hAnsi="Times New Roman" w:eastAsia="Times New Roman" w:cs="Times New Roman"/>
                <w:b w:val="0"/>
                <w:i w:val="0"/>
                <w:sz w:val="18"/>
              </w:rPr>
              <w:t>0.188</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336</w:t>
            </w:r>
          </w:p>
        </w:tc>
        <w:tc>
          <w:tcPr>
            <w:tcW w:type="dxa" w:w="1512"/>
          </w:tcPr>
          <w:p>
            <w:pPr>
              <w:spacing w:before="40" w:after="40" w:line="240" w:lineRule="auto"/>
              <w:jc w:val="center"/>
            </w:pPr>
            <w:r/>
            <w:r>
              <w:rPr>
                <w:rFonts w:ascii="Times New Roman" w:hAnsi="Times New Roman" w:eastAsia="Times New Roman" w:cs="Times New Roman"/>
                <w:b w:val="0"/>
                <w:i w:val="0"/>
                <w:sz w:val="18"/>
              </w:rPr>
              <w:t>0.369</w:t>
            </w:r>
          </w:p>
        </w:tc>
        <w:tc>
          <w:tcPr>
            <w:tcW w:type="dxa" w:w="1512"/>
          </w:tcPr>
          <w:p>
            <w:pPr>
              <w:spacing w:before="40" w:after="40" w:line="240" w:lineRule="auto"/>
              <w:jc w:val="center"/>
            </w:pPr>
            <w:r/>
            <w:r>
              <w:rPr>
                <w:rFonts w:ascii="Times New Roman" w:hAnsi="Times New Roman" w:eastAsia="Times New Roman" w:cs="Times New Roman"/>
                <w:b w:val="0"/>
                <w:i w:val="0"/>
                <w:sz w:val="18"/>
              </w:rPr>
              <w:t>0.704</w:t>
            </w:r>
          </w:p>
        </w:tc>
        <w:tc>
          <w:tcPr>
            <w:tcW w:type="dxa" w:w="1512"/>
          </w:tcPr>
          <w:p>
            <w:pPr>
              <w:spacing w:before="40" w:after="40" w:line="240" w:lineRule="auto"/>
              <w:jc w:val="center"/>
            </w:pPr>
            <w:r/>
            <w:r>
              <w:rPr>
                <w:rFonts w:ascii="Times New Roman" w:hAnsi="Times New Roman" w:eastAsia="Times New Roman" w:cs="Times New Roman"/>
                <w:b w:val="0"/>
                <w:i w:val="0"/>
                <w:sz w:val="18"/>
              </w:rPr>
              <w:t>0.828</w:t>
            </w:r>
          </w:p>
        </w:tc>
        <w:tc>
          <w:tcPr>
            <w:tcW w:type="dxa" w:w="1512"/>
          </w:tcPr>
          <w:p>
            <w:pPr>
              <w:spacing w:before="40" w:after="40" w:line="240" w:lineRule="auto"/>
              <w:jc w:val="center"/>
            </w:pPr>
            <w:r/>
            <w:r>
              <w:rPr>
                <w:rFonts w:ascii="Times New Roman" w:hAnsi="Times New Roman" w:eastAsia="Times New Roman" w:cs="Times New Roman"/>
                <w:b w:val="0"/>
                <w:i w:val="0"/>
                <w:sz w:val="18"/>
              </w:rPr>
              <w:t>0.627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conclusion we draw is that a source-level statistic can rank </w:t>
      </w:r>
      <w:r>
        <w:rPr>
          <w:rFonts w:ascii="Times New Roman" w:hAnsi="Times New Roman" w:eastAsia="Times New Roman" w:cs="Times New Roman"/>
          <w:b w:val="0"/>
          <w:i/>
          <w:sz w:val="24"/>
        </w:rPr>
        <w:t>feature families</w:t>
      </w:r>
      <w:r>
        <w:rPr>
          <w:rFonts w:ascii="Times New Roman" w:hAnsi="Times New Roman" w:eastAsia="Times New Roman" w:cs="Times New Roman"/>
          <w:b w:val="0"/>
          <w:i w:val="0"/>
          <w:sz w:val="24"/>
        </w:rPr>
        <w:t xml:space="preserve"> within a set of datasets and cannot decide which session, subject or representation will fail. We report it because it is the natural quantity to compute before a target session exists, and because its three failures are as informative as its success.</w:t>
      </w:r>
    </w:p>
    <w:p>
      <w:pPr>
        <w:keepNext/>
        <w:spacing w:before="240" w:after="120" w:line="240" w:lineRule="auto"/>
      </w:pPr>
      <w:r>
        <w:rPr>
          <w:rFonts w:ascii="Times New Roman" w:hAnsi="Times New Roman" w:eastAsia="Times New Roman" w:cs="Times New Roman"/>
          <w:b/>
          <w:i/>
          <w:sz w:val="24"/>
        </w:rPr>
        <w:t>4.5. A displacement model of the change, and its two parameterisations</w:t>
      </w:r>
    </w:p>
    <w:p>
      <w:pPr>
        <w:spacing w:before="0" w:after="0" w:line="480" w:lineRule="auto"/>
        <w:ind w:firstLine="0" w:left="0"/>
        <w:jc w:val="left"/>
      </w:pPr>
      <w:r>
        <w:rPr>
          <w:rFonts w:ascii="Times New Roman" w:hAnsi="Times New Roman" w:eastAsia="Times New Roman" w:cs="Times New Roman"/>
          <w:b w:val="0"/>
          <w:i w:val="0"/>
          <w:sz w:val="24"/>
        </w:rPr>
        <w:t>Equations (3) and (4) make a prediction for the per-cell change once c, t</w:t>
      </w:r>
      <w:r>
        <w:rPr>
          <w:rFonts w:ascii="Times New Roman" w:hAnsi="Times New Roman" w:eastAsia="Times New Roman" w:cs="Times New Roman"/>
          <w:b w:val="0"/>
          <w:i/>
          <w:sz w:val="24"/>
        </w:rPr>
        <w:t xml:space="preserve"> and s are fixed. They can be fixed in two ways, and the two are not the same. The </w:t>
      </w:r>
      <w:r>
        <w:rPr>
          <w:rFonts w:ascii="Times New Roman" w:hAnsi="Times New Roman" w:eastAsia="Times New Roman" w:cs="Times New Roman"/>
          <w:b w:val="0"/>
          <w:i w:val="0"/>
          <w:sz w:val="24"/>
        </w:rPr>
        <w:t>oracle</w:t>
      </w:r>
      <w:r>
        <w:rPr>
          <w:rFonts w:ascii="Times New Roman" w:hAnsi="Times New Roman" w:eastAsia="Times New Roman" w:cs="Times New Roman"/>
          <w:b w:val="0"/>
          <w:i/>
          <w:sz w:val="24"/>
        </w:rPr>
        <w:t xml:space="preserve"> choice takes c = Φ⁻¹(BA_aligned) and normalises by the pooled score standard deviation; it is oracle-assisted because c is read from the target's own accuracy. The </w:t>
      </w:r>
      <w:r>
        <w:rPr>
          <w:rFonts w:ascii="Times New Roman" w:hAnsi="Times New Roman" w:eastAsia="Times New Roman" w:cs="Times New Roman"/>
          <w:b w:val="0"/>
          <w:i w:val="0"/>
          <w:sz w:val="24"/>
        </w:rPr>
        <w:t>model* choice takes c = (m₁ − m₀)/(2σ_w) from the source class means and the within-class standard deviation, which is what an equal-variance Gaussian model implies.</w:t>
      </w:r>
    </w:p>
    <w:p>
      <w:pPr>
        <w:keepNext/>
        <w:spacing w:before="240" w:after="80" w:line="240" w:lineRule="auto"/>
      </w:pPr>
      <w:r>
        <w:rPr>
          <w:rFonts w:ascii="Times New Roman" w:hAnsi="Times New Roman" w:eastAsia="Times New Roman" w:cs="Times New Roman"/>
          <w:b/>
          <w:i w:val="0"/>
          <w:sz w:val="21"/>
        </w:rPr>
        <w:t xml:space="preserve">Table 7. </w:t>
      </w:r>
      <w:r>
        <w:rPr>
          <w:rFonts w:ascii="Times New Roman" w:hAnsi="Times New Roman" w:eastAsia="Times New Roman" w:cs="Times New Roman"/>
          <w:b w:val="0"/>
          <w:i w:val="0"/>
          <w:sz w:val="21"/>
        </w:rPr>
        <w:t xml:space="preserve">Per-cell prediction of Equation (4) under the two parameterisations. For BCI-2a the cells are the two-class subproblem of classes 1 and 2. </w:t>
      </w:r>
      <w:r>
        <w:rPr>
          <w:rFonts w:ascii="Courier New" w:hAnsi="Courier New" w:eastAsia="Courier New" w:cs="Courier New"/>
          <w:b w:val="0"/>
          <w:i w:val="0"/>
          <w:sz w:val="21"/>
        </w:rPr>
        <w:t>MAE</w:t>
      </w:r>
      <w:r>
        <w:rPr>
          <w:rFonts w:ascii="Times New Roman" w:hAnsi="Times New Roman" w:eastAsia="Times New Roman" w:cs="Times New Roman"/>
          <w:b w:val="0"/>
          <w:i w:val="0"/>
          <w:sz w:val="21"/>
        </w:rPr>
        <w:t xml:space="preserve"> is the mean absolute difference between prediction and observation on the same cell; </w:t>
      </w:r>
      <w:r>
        <w:rPr>
          <w:rFonts w:ascii="Courier New" w:hAnsi="Courier New" w:eastAsia="Courier New" w:cs="Courier New"/>
          <w:b w:val="0"/>
          <w:i w:val="0"/>
          <w:sz w:val="21"/>
        </w:rPr>
        <w:t>r</w:t>
      </w:r>
      <w:r>
        <w:rPr>
          <w:rFonts w:ascii="Times New Roman" w:hAnsi="Times New Roman" w:eastAsia="Times New Roman" w:cs="Times New Roman"/>
          <w:b w:val="0"/>
          <w:i w:val="0"/>
          <w:sz w:val="21"/>
        </w:rPr>
        <w:t xml:space="preserve"> is Pearson; </w:t>
      </w:r>
      <w:r>
        <w:rPr>
          <w:rFonts w:ascii="Courier New" w:hAnsi="Courier New" w:eastAsia="Courier New" w:cs="Courier New"/>
          <w:b w:val="0"/>
          <w:i w:val="0"/>
          <w:sz w:val="21"/>
        </w:rPr>
        <w:t>sign</w:t>
      </w:r>
      <w:r>
        <w:rPr>
          <w:rFonts w:ascii="Times New Roman" w:hAnsi="Times New Roman" w:eastAsia="Times New Roman" w:cs="Times New Roman"/>
          <w:b w:val="0"/>
          <w:i w:val="0"/>
          <w:sz w:val="21"/>
        </w:rPr>
        <w:t xml:space="preserve"> and </w:t>
      </w:r>
      <w:r>
        <w:rPr>
          <w:rFonts w:ascii="Courier New" w:hAnsi="Courier New" w:eastAsia="Courier New" w:cs="Courier New"/>
          <w:b w:val="0"/>
          <w:i w:val="0"/>
          <w:sz w:val="21"/>
        </w:rPr>
        <w:t>base</w:t>
      </w:r>
      <w:r>
        <w:rPr>
          <w:rFonts w:ascii="Times New Roman" w:hAnsi="Times New Roman" w:eastAsia="Times New Roman" w:cs="Times New Roman"/>
          <w:b w:val="0"/>
          <w:i w:val="0"/>
          <w:sz w:val="21"/>
        </w:rPr>
        <w:t xml:space="preserve"> are the sign accuracy and the majority-class rate under the oracle parameterisation; </w:t>
      </w:r>
      <w:r>
        <w:rPr>
          <w:rFonts w:ascii="Courier New" w:hAnsi="Courier New" w:eastAsia="Courier New" w:cs="Courier New"/>
          <w:b w:val="0"/>
          <w:i w:val="0"/>
          <w:sz w:val="21"/>
        </w:rPr>
        <w:t>BA gap</w:t>
      </w:r>
      <w:r>
        <w:rPr>
          <w:rFonts w:ascii="Times New Roman" w:hAnsi="Times New Roman" w:eastAsia="Times New Roman" w:cs="Times New Roman"/>
          <w:b w:val="0"/>
          <w:i w:val="0"/>
          <w:sz w:val="21"/>
        </w:rPr>
        <w:t xml:space="preserve"> is the mean absolute difference between the model's implied accuracy Φ(c) and the observed aligned accuracy under the model parameterisation.</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008"/>
        <w:gridCol w:w="1008"/>
        <w:gridCol w:w="1008"/>
        <w:gridCol w:w="1008"/>
        <w:gridCol w:w="1008"/>
        <w:gridCol w:w="1008"/>
        <w:gridCol w:w="1008"/>
        <w:gridCol w:w="1008"/>
        <w:gridCol w:w="1008"/>
      </w:tblGrid>
      <w:tr>
        <w:trPr>
          <w:tblHeader/>
        </w:trPr>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00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classifier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MAE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sign (base)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model 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model MAE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 gap</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0.989</w:t>
            </w:r>
          </w:p>
        </w:tc>
        <w:tc>
          <w:tcPr>
            <w:tcW w:type="dxa" w:w="1008"/>
          </w:tcPr>
          <w:p>
            <w:pPr>
              <w:spacing w:before="40" w:after="40" w:line="240" w:lineRule="auto"/>
              <w:jc w:val="center"/>
            </w:pPr>
            <w:r/>
            <w:r>
              <w:rPr>
                <w:rFonts w:ascii="Times New Roman" w:hAnsi="Times New Roman" w:eastAsia="Times New Roman" w:cs="Times New Roman"/>
                <w:b w:val="0"/>
                <w:i w:val="0"/>
                <w:sz w:val="18"/>
              </w:rPr>
              <w:t>0.0130</w:t>
            </w:r>
          </w:p>
        </w:tc>
        <w:tc>
          <w:tcPr>
            <w:tcW w:type="dxa" w:w="1008"/>
          </w:tcPr>
          <w:p>
            <w:pPr>
              <w:spacing w:before="40" w:after="40" w:line="240" w:lineRule="auto"/>
              <w:jc w:val="center"/>
            </w:pPr>
            <w:r/>
            <w:r>
              <w:rPr>
                <w:rFonts w:ascii="Times New Roman" w:hAnsi="Times New Roman" w:eastAsia="Times New Roman" w:cs="Times New Roman"/>
                <w:b w:val="0"/>
                <w:i w:val="0"/>
                <w:sz w:val="18"/>
              </w:rPr>
              <w:t>0.917 (0.815)</w:t>
            </w:r>
          </w:p>
        </w:tc>
        <w:tc>
          <w:tcPr>
            <w:tcW w:type="dxa" w:w="1008"/>
          </w:tcPr>
          <w:p>
            <w:pPr>
              <w:spacing w:before="40" w:after="40" w:line="240" w:lineRule="auto"/>
              <w:jc w:val="center"/>
            </w:pPr>
            <w:r/>
            <w:r>
              <w:rPr>
                <w:rFonts w:ascii="Times New Roman" w:hAnsi="Times New Roman" w:eastAsia="Times New Roman" w:cs="Times New Roman"/>
                <w:b w:val="0"/>
                <w:i w:val="0"/>
                <w:sz w:val="18"/>
              </w:rPr>
              <w:t>0.861</w:t>
            </w:r>
          </w:p>
        </w:tc>
        <w:tc>
          <w:tcPr>
            <w:tcW w:type="dxa" w:w="1008"/>
          </w:tcPr>
          <w:p>
            <w:pPr>
              <w:spacing w:before="40" w:after="40" w:line="240" w:lineRule="auto"/>
              <w:jc w:val="center"/>
            </w:pPr>
            <w:r/>
            <w:r>
              <w:rPr>
                <w:rFonts w:ascii="Times New Roman" w:hAnsi="Times New Roman" w:eastAsia="Times New Roman" w:cs="Times New Roman"/>
                <w:b w:val="0"/>
                <w:i w:val="0"/>
                <w:sz w:val="18"/>
              </w:rPr>
              <w:t>0.0567</w:t>
            </w:r>
          </w:p>
        </w:tc>
        <w:tc>
          <w:tcPr>
            <w:tcW w:type="dxa" w:w="1008"/>
          </w:tcPr>
          <w:p>
            <w:pPr>
              <w:spacing w:before="40" w:after="40" w:line="240" w:lineRule="auto"/>
              <w:jc w:val="center"/>
            </w:pPr>
            <w:r/>
            <w:r>
              <w:rPr>
                <w:rFonts w:ascii="Times New Roman" w:hAnsi="Times New Roman" w:eastAsia="Times New Roman" w:cs="Times New Roman"/>
                <w:b w:val="0"/>
                <w:i w:val="0"/>
                <w:sz w:val="18"/>
              </w:rPr>
              <w:t>0.096</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0.990</w:t>
            </w:r>
          </w:p>
        </w:tc>
        <w:tc>
          <w:tcPr>
            <w:tcW w:type="dxa" w:w="1008"/>
          </w:tcPr>
          <w:p>
            <w:pPr>
              <w:spacing w:before="40" w:after="40" w:line="240" w:lineRule="auto"/>
              <w:jc w:val="center"/>
            </w:pPr>
            <w:r/>
            <w:r>
              <w:rPr>
                <w:rFonts w:ascii="Times New Roman" w:hAnsi="Times New Roman" w:eastAsia="Times New Roman" w:cs="Times New Roman"/>
                <w:b w:val="0"/>
                <w:i w:val="0"/>
                <w:sz w:val="18"/>
              </w:rPr>
              <w:t>0.0127</w:t>
            </w:r>
          </w:p>
        </w:tc>
        <w:tc>
          <w:tcPr>
            <w:tcW w:type="dxa" w:w="1008"/>
          </w:tcPr>
          <w:p>
            <w:pPr>
              <w:spacing w:before="40" w:after="40" w:line="240" w:lineRule="auto"/>
              <w:jc w:val="center"/>
            </w:pPr>
            <w:r/>
            <w:r>
              <w:rPr>
                <w:rFonts w:ascii="Times New Roman" w:hAnsi="Times New Roman" w:eastAsia="Times New Roman" w:cs="Times New Roman"/>
                <w:b w:val="0"/>
                <w:i w:val="0"/>
                <w:sz w:val="18"/>
              </w:rPr>
              <w:t>0.889 (0.769)</w:t>
            </w:r>
          </w:p>
        </w:tc>
        <w:tc>
          <w:tcPr>
            <w:tcW w:type="dxa" w:w="1008"/>
          </w:tcPr>
          <w:p>
            <w:pPr>
              <w:spacing w:before="40" w:after="40" w:line="240" w:lineRule="auto"/>
              <w:jc w:val="center"/>
            </w:pPr>
            <w:r/>
            <w:r>
              <w:rPr>
                <w:rFonts w:ascii="Times New Roman" w:hAnsi="Times New Roman" w:eastAsia="Times New Roman" w:cs="Times New Roman"/>
                <w:b w:val="0"/>
                <w:i w:val="0"/>
                <w:sz w:val="18"/>
              </w:rPr>
              <w:t>0.852</w:t>
            </w:r>
          </w:p>
        </w:tc>
        <w:tc>
          <w:tcPr>
            <w:tcW w:type="dxa" w:w="1008"/>
          </w:tcPr>
          <w:p>
            <w:pPr>
              <w:spacing w:before="40" w:after="40" w:line="240" w:lineRule="auto"/>
              <w:jc w:val="center"/>
            </w:pPr>
            <w:r/>
            <w:r>
              <w:rPr>
                <w:rFonts w:ascii="Times New Roman" w:hAnsi="Times New Roman" w:eastAsia="Times New Roman" w:cs="Times New Roman"/>
                <w:b w:val="0"/>
                <w:i w:val="0"/>
                <w:sz w:val="18"/>
              </w:rPr>
              <w:t>0.0578</w:t>
            </w:r>
          </w:p>
        </w:tc>
        <w:tc>
          <w:tcPr>
            <w:tcW w:type="dxa" w:w="1008"/>
          </w:tcPr>
          <w:p>
            <w:pPr>
              <w:spacing w:before="40" w:after="40" w:line="240" w:lineRule="auto"/>
              <w:jc w:val="center"/>
            </w:pPr>
            <w:r/>
            <w:r>
              <w:rPr>
                <w:rFonts w:ascii="Times New Roman" w:hAnsi="Times New Roman" w:eastAsia="Times New Roman" w:cs="Times New Roman"/>
                <w:b w:val="0"/>
                <w:i w:val="0"/>
                <w:sz w:val="18"/>
              </w:rPr>
              <w:t>0.098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0.381</w:t>
            </w:r>
          </w:p>
        </w:tc>
        <w:tc>
          <w:tcPr>
            <w:tcW w:type="dxa" w:w="1008"/>
          </w:tcPr>
          <w:p>
            <w:pPr>
              <w:spacing w:before="40" w:after="40" w:line="240" w:lineRule="auto"/>
              <w:jc w:val="center"/>
            </w:pPr>
            <w:r/>
            <w:r>
              <w:rPr>
                <w:rFonts w:ascii="Times New Roman" w:hAnsi="Times New Roman" w:eastAsia="Times New Roman" w:cs="Times New Roman"/>
                <w:b w:val="0"/>
                <w:i w:val="0"/>
                <w:sz w:val="18"/>
              </w:rPr>
              <w:t>0.0224</w:t>
            </w:r>
          </w:p>
        </w:tc>
        <w:tc>
          <w:tcPr>
            <w:tcW w:type="dxa" w:w="1008"/>
          </w:tcPr>
          <w:p>
            <w:pPr>
              <w:spacing w:before="40" w:after="40" w:line="240" w:lineRule="auto"/>
              <w:jc w:val="center"/>
            </w:pPr>
            <w:r/>
            <w:r>
              <w:rPr>
                <w:rFonts w:ascii="Times New Roman" w:hAnsi="Times New Roman" w:eastAsia="Times New Roman" w:cs="Times New Roman"/>
                <w:b w:val="0"/>
                <w:i w:val="0"/>
                <w:sz w:val="18"/>
              </w:rPr>
              <w:t>0.676 (0.528)</w:t>
            </w:r>
          </w:p>
        </w:tc>
        <w:tc>
          <w:tcPr>
            <w:tcW w:type="dxa" w:w="1008"/>
          </w:tcPr>
          <w:p>
            <w:pPr>
              <w:spacing w:before="40" w:after="40" w:line="240" w:lineRule="auto"/>
              <w:jc w:val="center"/>
            </w:pPr>
            <w:r/>
            <w:r>
              <w:rPr>
                <w:rFonts w:ascii="Times New Roman" w:hAnsi="Times New Roman" w:eastAsia="Times New Roman" w:cs="Times New Roman"/>
                <w:b w:val="0"/>
                <w:i w:val="0"/>
                <w:sz w:val="18"/>
              </w:rPr>
              <w:t>0.655</w:t>
            </w:r>
          </w:p>
        </w:tc>
        <w:tc>
          <w:tcPr>
            <w:tcW w:type="dxa" w:w="1008"/>
          </w:tcPr>
          <w:p>
            <w:pPr>
              <w:spacing w:before="40" w:after="40" w:line="240" w:lineRule="auto"/>
              <w:jc w:val="center"/>
            </w:pPr>
            <w:r/>
            <w:r>
              <w:rPr>
                <w:rFonts w:ascii="Times New Roman" w:hAnsi="Times New Roman" w:eastAsia="Times New Roman" w:cs="Times New Roman"/>
                <w:b w:val="0"/>
                <w:i w:val="0"/>
                <w:sz w:val="18"/>
              </w:rPr>
              <w:t>0.0203</w:t>
            </w:r>
          </w:p>
        </w:tc>
        <w:tc>
          <w:tcPr>
            <w:tcW w:type="dxa" w:w="1008"/>
          </w:tcPr>
          <w:p>
            <w:pPr>
              <w:spacing w:before="40" w:after="40" w:line="240" w:lineRule="auto"/>
              <w:jc w:val="center"/>
            </w:pPr>
            <w:r/>
            <w:r>
              <w:rPr>
                <w:rFonts w:ascii="Times New Roman" w:hAnsi="Times New Roman" w:eastAsia="Times New Roman" w:cs="Times New Roman"/>
                <w:b w:val="0"/>
                <w:i w:val="0"/>
                <w:sz w:val="18"/>
              </w:rPr>
              <w:t>0.107</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0.902</w:t>
            </w:r>
          </w:p>
        </w:tc>
        <w:tc>
          <w:tcPr>
            <w:tcW w:type="dxa" w:w="1008"/>
          </w:tcPr>
          <w:p>
            <w:pPr>
              <w:spacing w:before="40" w:after="40" w:line="240" w:lineRule="auto"/>
              <w:jc w:val="center"/>
            </w:pPr>
            <w:r/>
            <w:r>
              <w:rPr>
                <w:rFonts w:ascii="Times New Roman" w:hAnsi="Times New Roman" w:eastAsia="Times New Roman" w:cs="Times New Roman"/>
                <w:b w:val="0"/>
                <w:i w:val="0"/>
                <w:sz w:val="18"/>
              </w:rPr>
              <w:t>0.0320</w:t>
            </w:r>
          </w:p>
        </w:tc>
        <w:tc>
          <w:tcPr>
            <w:tcW w:type="dxa" w:w="1008"/>
          </w:tcPr>
          <w:p>
            <w:pPr>
              <w:spacing w:before="40" w:after="40" w:line="240" w:lineRule="auto"/>
              <w:jc w:val="center"/>
            </w:pPr>
            <w:r/>
            <w:r>
              <w:rPr>
                <w:rFonts w:ascii="Times New Roman" w:hAnsi="Times New Roman" w:eastAsia="Times New Roman" w:cs="Times New Roman"/>
                <w:b w:val="0"/>
                <w:i w:val="0"/>
                <w:sz w:val="18"/>
              </w:rPr>
              <w:t>0.889 (0.833)</w:t>
            </w:r>
          </w:p>
        </w:tc>
        <w:tc>
          <w:tcPr>
            <w:tcW w:type="dxa" w:w="1008"/>
          </w:tcPr>
          <w:p>
            <w:pPr>
              <w:spacing w:before="40" w:after="40" w:line="240" w:lineRule="auto"/>
              <w:jc w:val="center"/>
            </w:pPr>
            <w:r/>
            <w:r>
              <w:rPr>
                <w:rFonts w:ascii="Times New Roman" w:hAnsi="Times New Roman" w:eastAsia="Times New Roman" w:cs="Times New Roman"/>
                <w:b w:val="0"/>
                <w:i w:val="0"/>
                <w:sz w:val="18"/>
              </w:rPr>
              <w:t>0.874</w:t>
            </w:r>
          </w:p>
        </w:tc>
        <w:tc>
          <w:tcPr>
            <w:tcW w:type="dxa" w:w="1008"/>
          </w:tcPr>
          <w:p>
            <w:pPr>
              <w:spacing w:before="40" w:after="40" w:line="240" w:lineRule="auto"/>
              <w:jc w:val="center"/>
            </w:pPr>
            <w:r/>
            <w:r>
              <w:rPr>
                <w:rFonts w:ascii="Times New Roman" w:hAnsi="Times New Roman" w:eastAsia="Times New Roman" w:cs="Times New Roman"/>
                <w:b w:val="0"/>
                <w:i w:val="0"/>
                <w:sz w:val="18"/>
              </w:rPr>
              <w:t>0.0414</w:t>
            </w:r>
          </w:p>
        </w:tc>
        <w:tc>
          <w:tcPr>
            <w:tcW w:type="dxa" w:w="1008"/>
          </w:tcPr>
          <w:p>
            <w:pPr>
              <w:spacing w:before="40" w:after="40" w:line="240" w:lineRule="auto"/>
              <w:jc w:val="center"/>
            </w:pPr>
            <w:r/>
            <w:r>
              <w:rPr>
                <w:rFonts w:ascii="Times New Roman" w:hAnsi="Times New Roman" w:eastAsia="Times New Roman" w:cs="Times New Roman"/>
                <w:b w:val="0"/>
                <w:i w:val="0"/>
                <w:sz w:val="18"/>
              </w:rPr>
              <w:t>0.149</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0.885</w:t>
            </w:r>
          </w:p>
        </w:tc>
        <w:tc>
          <w:tcPr>
            <w:tcW w:type="dxa" w:w="1008"/>
          </w:tcPr>
          <w:p>
            <w:pPr>
              <w:spacing w:before="40" w:after="40" w:line="240" w:lineRule="auto"/>
              <w:jc w:val="center"/>
            </w:pPr>
            <w:r/>
            <w:r>
              <w:rPr>
                <w:rFonts w:ascii="Times New Roman" w:hAnsi="Times New Roman" w:eastAsia="Times New Roman" w:cs="Times New Roman"/>
                <w:b w:val="0"/>
                <w:i w:val="0"/>
                <w:sz w:val="18"/>
              </w:rPr>
              <w:t>0.0330</w:t>
            </w:r>
          </w:p>
        </w:tc>
        <w:tc>
          <w:tcPr>
            <w:tcW w:type="dxa" w:w="1008"/>
          </w:tcPr>
          <w:p>
            <w:pPr>
              <w:spacing w:before="40" w:after="40" w:line="240" w:lineRule="auto"/>
              <w:jc w:val="center"/>
            </w:pPr>
            <w:r/>
            <w:r>
              <w:rPr>
                <w:rFonts w:ascii="Times New Roman" w:hAnsi="Times New Roman" w:eastAsia="Times New Roman" w:cs="Times New Roman"/>
                <w:b w:val="0"/>
                <w:i w:val="0"/>
                <w:sz w:val="18"/>
              </w:rPr>
              <w:t>0.750 (0.750)</w:t>
            </w:r>
          </w:p>
        </w:tc>
        <w:tc>
          <w:tcPr>
            <w:tcW w:type="dxa" w:w="1008"/>
          </w:tcPr>
          <w:p>
            <w:pPr>
              <w:spacing w:before="40" w:after="40" w:line="240" w:lineRule="auto"/>
              <w:jc w:val="center"/>
            </w:pPr>
            <w:r/>
            <w:r>
              <w:rPr>
                <w:rFonts w:ascii="Times New Roman" w:hAnsi="Times New Roman" w:eastAsia="Times New Roman" w:cs="Times New Roman"/>
                <w:b w:val="0"/>
                <w:i w:val="0"/>
                <w:sz w:val="18"/>
              </w:rPr>
              <w:t>0.824</w:t>
            </w:r>
          </w:p>
        </w:tc>
        <w:tc>
          <w:tcPr>
            <w:tcW w:type="dxa" w:w="1008"/>
          </w:tcPr>
          <w:p>
            <w:pPr>
              <w:spacing w:before="40" w:after="40" w:line="240" w:lineRule="auto"/>
              <w:jc w:val="center"/>
            </w:pPr>
            <w:r/>
            <w:r>
              <w:rPr>
                <w:rFonts w:ascii="Times New Roman" w:hAnsi="Times New Roman" w:eastAsia="Times New Roman" w:cs="Times New Roman"/>
                <w:b w:val="0"/>
                <w:i w:val="0"/>
                <w:sz w:val="18"/>
              </w:rPr>
              <w:t>0.0563</w:t>
            </w:r>
          </w:p>
        </w:tc>
        <w:tc>
          <w:tcPr>
            <w:tcW w:type="dxa" w:w="1008"/>
          </w:tcPr>
          <w:p>
            <w:pPr>
              <w:spacing w:before="40" w:after="40" w:line="240" w:lineRule="auto"/>
              <w:jc w:val="center"/>
            </w:pPr>
            <w:r/>
            <w:r>
              <w:rPr>
                <w:rFonts w:ascii="Times New Roman" w:hAnsi="Times New Roman" w:eastAsia="Times New Roman" w:cs="Times New Roman"/>
                <w:b w:val="0"/>
                <w:i w:val="0"/>
                <w:sz w:val="18"/>
              </w:rPr>
              <w:t>0.128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0.610</w:t>
            </w:r>
          </w:p>
        </w:tc>
        <w:tc>
          <w:tcPr>
            <w:tcW w:type="dxa" w:w="1008"/>
          </w:tcPr>
          <w:p>
            <w:pPr>
              <w:spacing w:before="40" w:after="40" w:line="240" w:lineRule="auto"/>
              <w:jc w:val="center"/>
            </w:pPr>
            <w:r/>
            <w:r>
              <w:rPr>
                <w:rFonts w:ascii="Times New Roman" w:hAnsi="Times New Roman" w:eastAsia="Times New Roman" w:cs="Times New Roman"/>
                <w:b w:val="0"/>
                <w:i w:val="0"/>
                <w:sz w:val="18"/>
              </w:rPr>
              <w:t>0.0161</w:t>
            </w:r>
          </w:p>
        </w:tc>
        <w:tc>
          <w:tcPr>
            <w:tcW w:type="dxa" w:w="1008"/>
          </w:tcPr>
          <w:p>
            <w:pPr>
              <w:spacing w:before="40" w:after="40" w:line="240" w:lineRule="auto"/>
              <w:jc w:val="center"/>
            </w:pPr>
            <w:r/>
            <w:r>
              <w:rPr>
                <w:rFonts w:ascii="Times New Roman" w:hAnsi="Times New Roman" w:eastAsia="Times New Roman" w:cs="Times New Roman"/>
                <w:b w:val="0"/>
                <w:i w:val="0"/>
                <w:sz w:val="18"/>
              </w:rPr>
              <w:t>0.611 (0.528)</w:t>
            </w:r>
          </w:p>
        </w:tc>
        <w:tc>
          <w:tcPr>
            <w:tcW w:type="dxa" w:w="1008"/>
          </w:tcPr>
          <w:p>
            <w:pPr>
              <w:spacing w:before="40" w:after="40" w:line="240" w:lineRule="auto"/>
              <w:jc w:val="center"/>
            </w:pPr>
            <w:r/>
            <w:r>
              <w:rPr>
                <w:rFonts w:ascii="Times New Roman" w:hAnsi="Times New Roman" w:eastAsia="Times New Roman" w:cs="Times New Roman"/>
                <w:b w:val="0"/>
                <w:i w:val="0"/>
                <w:sz w:val="18"/>
              </w:rPr>
              <w:t>0.711</w:t>
            </w:r>
          </w:p>
        </w:tc>
        <w:tc>
          <w:tcPr>
            <w:tcW w:type="dxa" w:w="1008"/>
          </w:tcPr>
          <w:p>
            <w:pPr>
              <w:spacing w:before="40" w:after="40" w:line="240" w:lineRule="auto"/>
              <w:jc w:val="center"/>
            </w:pPr>
            <w:r/>
            <w:r>
              <w:rPr>
                <w:rFonts w:ascii="Times New Roman" w:hAnsi="Times New Roman" w:eastAsia="Times New Roman" w:cs="Times New Roman"/>
                <w:b w:val="0"/>
                <w:i w:val="0"/>
                <w:sz w:val="18"/>
              </w:rPr>
              <w:t>0.0217</w:t>
            </w:r>
          </w:p>
        </w:tc>
        <w:tc>
          <w:tcPr>
            <w:tcW w:type="dxa" w:w="1008"/>
          </w:tcPr>
          <w:p>
            <w:pPr>
              <w:spacing w:before="40" w:after="40" w:line="240" w:lineRule="auto"/>
              <w:jc w:val="center"/>
            </w:pPr>
            <w:r/>
            <w:r>
              <w:rPr>
                <w:rFonts w:ascii="Times New Roman" w:hAnsi="Times New Roman" w:eastAsia="Times New Roman" w:cs="Times New Roman"/>
                <w:b w:val="0"/>
                <w:i w:val="0"/>
                <w:sz w:val="18"/>
              </w:rPr>
              <w:t>0.095</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0.649</w:t>
            </w:r>
          </w:p>
        </w:tc>
        <w:tc>
          <w:tcPr>
            <w:tcW w:type="dxa" w:w="1008"/>
          </w:tcPr>
          <w:p>
            <w:pPr>
              <w:spacing w:before="40" w:after="40" w:line="240" w:lineRule="auto"/>
              <w:jc w:val="center"/>
            </w:pPr>
            <w:r/>
            <w:r>
              <w:rPr>
                <w:rFonts w:ascii="Times New Roman" w:hAnsi="Times New Roman" w:eastAsia="Times New Roman" w:cs="Times New Roman"/>
                <w:b w:val="0"/>
                <w:i w:val="0"/>
                <w:sz w:val="18"/>
              </w:rPr>
              <w:t>0.0360</w:t>
            </w:r>
          </w:p>
        </w:tc>
        <w:tc>
          <w:tcPr>
            <w:tcW w:type="dxa" w:w="1008"/>
          </w:tcPr>
          <w:p>
            <w:pPr>
              <w:spacing w:before="40" w:after="40" w:line="240" w:lineRule="auto"/>
              <w:jc w:val="center"/>
            </w:pPr>
            <w:r/>
            <w:r>
              <w:rPr>
                <w:rFonts w:ascii="Times New Roman" w:hAnsi="Times New Roman" w:eastAsia="Times New Roman" w:cs="Times New Roman"/>
                <w:b w:val="0"/>
                <w:i w:val="0"/>
                <w:sz w:val="18"/>
              </w:rPr>
              <w:t>0.693 (0.604)</w:t>
            </w:r>
          </w:p>
        </w:tc>
        <w:tc>
          <w:tcPr>
            <w:tcW w:type="dxa" w:w="1008"/>
          </w:tcPr>
          <w:p>
            <w:pPr>
              <w:spacing w:before="40" w:after="40" w:line="240" w:lineRule="auto"/>
              <w:jc w:val="center"/>
            </w:pPr>
            <w:r/>
            <w:r>
              <w:rPr>
                <w:rFonts w:ascii="Times New Roman" w:hAnsi="Times New Roman" w:eastAsia="Times New Roman" w:cs="Times New Roman"/>
                <w:b w:val="0"/>
                <w:i w:val="0"/>
                <w:sz w:val="18"/>
              </w:rPr>
              <w:t>0.271</w:t>
            </w:r>
          </w:p>
        </w:tc>
        <w:tc>
          <w:tcPr>
            <w:tcW w:type="dxa" w:w="1008"/>
          </w:tcPr>
          <w:p>
            <w:pPr>
              <w:spacing w:before="40" w:after="40" w:line="240" w:lineRule="auto"/>
              <w:jc w:val="center"/>
            </w:pPr>
            <w:r/>
            <w:r>
              <w:rPr>
                <w:rFonts w:ascii="Times New Roman" w:hAnsi="Times New Roman" w:eastAsia="Times New Roman" w:cs="Times New Roman"/>
                <w:b w:val="0"/>
                <w:i w:val="0"/>
                <w:sz w:val="18"/>
              </w:rPr>
              <w:t>0.0420</w:t>
            </w:r>
          </w:p>
        </w:tc>
        <w:tc>
          <w:tcPr>
            <w:tcW w:type="dxa" w:w="1008"/>
          </w:tcPr>
          <w:p>
            <w:pPr>
              <w:spacing w:before="40" w:after="40" w:line="240" w:lineRule="auto"/>
              <w:jc w:val="center"/>
            </w:pPr>
            <w:r/>
            <w:r>
              <w:rPr>
                <w:rFonts w:ascii="Times New Roman" w:hAnsi="Times New Roman" w:eastAsia="Times New Roman" w:cs="Times New Roman"/>
                <w:b w:val="0"/>
                <w:i w:val="0"/>
                <w:sz w:val="18"/>
              </w:rPr>
              <w:t>0.213</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0.592</w:t>
            </w:r>
          </w:p>
        </w:tc>
        <w:tc>
          <w:tcPr>
            <w:tcW w:type="dxa" w:w="1008"/>
          </w:tcPr>
          <w:p>
            <w:pPr>
              <w:spacing w:before="40" w:after="40" w:line="240" w:lineRule="auto"/>
              <w:jc w:val="center"/>
            </w:pPr>
            <w:r/>
            <w:r>
              <w:rPr>
                <w:rFonts w:ascii="Times New Roman" w:hAnsi="Times New Roman" w:eastAsia="Times New Roman" w:cs="Times New Roman"/>
                <w:b w:val="0"/>
                <w:i w:val="0"/>
                <w:sz w:val="18"/>
              </w:rPr>
              <w:t>0.0364</w:t>
            </w:r>
          </w:p>
        </w:tc>
        <w:tc>
          <w:tcPr>
            <w:tcW w:type="dxa" w:w="1008"/>
          </w:tcPr>
          <w:p>
            <w:pPr>
              <w:spacing w:before="40" w:after="40" w:line="240" w:lineRule="auto"/>
              <w:jc w:val="center"/>
            </w:pPr>
            <w:r/>
            <w:r>
              <w:rPr>
                <w:rFonts w:ascii="Times New Roman" w:hAnsi="Times New Roman" w:eastAsia="Times New Roman" w:cs="Times New Roman"/>
                <w:b w:val="0"/>
                <w:i w:val="0"/>
                <w:sz w:val="18"/>
              </w:rPr>
              <w:t>0.649 (0.607)</w:t>
            </w:r>
          </w:p>
        </w:tc>
        <w:tc>
          <w:tcPr>
            <w:tcW w:type="dxa" w:w="1008"/>
          </w:tcPr>
          <w:p>
            <w:pPr>
              <w:spacing w:before="40" w:after="40" w:line="240" w:lineRule="auto"/>
              <w:jc w:val="center"/>
            </w:pPr>
            <w:r/>
            <w:r>
              <w:rPr>
                <w:rFonts w:ascii="Times New Roman" w:hAnsi="Times New Roman" w:eastAsia="Times New Roman" w:cs="Times New Roman"/>
                <w:b w:val="0"/>
                <w:i w:val="0"/>
                <w:sz w:val="18"/>
              </w:rPr>
              <w:t>0.531</w:t>
            </w:r>
          </w:p>
        </w:tc>
        <w:tc>
          <w:tcPr>
            <w:tcW w:type="dxa" w:w="1008"/>
          </w:tcPr>
          <w:p>
            <w:pPr>
              <w:spacing w:before="40" w:after="40" w:line="240" w:lineRule="auto"/>
              <w:jc w:val="center"/>
            </w:pPr>
            <w:r/>
            <w:r>
              <w:rPr>
                <w:rFonts w:ascii="Times New Roman" w:hAnsi="Times New Roman" w:eastAsia="Times New Roman" w:cs="Times New Roman"/>
                <w:b w:val="0"/>
                <w:i w:val="0"/>
                <w:sz w:val="18"/>
              </w:rPr>
              <w:t>0.0355</w:t>
            </w:r>
          </w:p>
        </w:tc>
        <w:tc>
          <w:tcPr>
            <w:tcW w:type="dxa" w:w="1008"/>
          </w:tcPr>
          <w:p>
            <w:pPr>
              <w:spacing w:before="40" w:after="40" w:line="240" w:lineRule="auto"/>
              <w:jc w:val="center"/>
            </w:pPr>
            <w:r/>
            <w:r>
              <w:rPr>
                <w:rFonts w:ascii="Times New Roman" w:hAnsi="Times New Roman" w:eastAsia="Times New Roman" w:cs="Times New Roman"/>
                <w:b w:val="0"/>
                <w:i w:val="0"/>
                <w:sz w:val="18"/>
              </w:rPr>
              <w:t>0.212</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0.353</w:t>
            </w:r>
          </w:p>
        </w:tc>
        <w:tc>
          <w:tcPr>
            <w:tcW w:type="dxa" w:w="1008"/>
          </w:tcPr>
          <w:p>
            <w:pPr>
              <w:spacing w:before="40" w:after="40" w:line="240" w:lineRule="auto"/>
              <w:jc w:val="center"/>
            </w:pPr>
            <w:r/>
            <w:r>
              <w:rPr>
                <w:rFonts w:ascii="Times New Roman" w:hAnsi="Times New Roman" w:eastAsia="Times New Roman" w:cs="Times New Roman"/>
                <w:b w:val="0"/>
                <w:i w:val="0"/>
                <w:sz w:val="18"/>
              </w:rPr>
              <w:t>0.0115</w:t>
            </w:r>
          </w:p>
        </w:tc>
        <w:tc>
          <w:tcPr>
            <w:tcW w:type="dxa" w:w="1008"/>
          </w:tcPr>
          <w:p>
            <w:pPr>
              <w:spacing w:before="40" w:after="40" w:line="240" w:lineRule="auto"/>
              <w:jc w:val="center"/>
            </w:pPr>
            <w:r/>
            <w:r>
              <w:rPr>
                <w:rFonts w:ascii="Times New Roman" w:hAnsi="Times New Roman" w:eastAsia="Times New Roman" w:cs="Times New Roman"/>
                <w:b w:val="0"/>
                <w:i w:val="0"/>
                <w:sz w:val="18"/>
              </w:rPr>
              <w:t>0.420 (0.292)</w:t>
            </w:r>
          </w:p>
        </w:tc>
        <w:tc>
          <w:tcPr>
            <w:tcW w:type="dxa" w:w="1008"/>
          </w:tcPr>
          <w:p>
            <w:pPr>
              <w:spacing w:before="40" w:after="40" w:line="240" w:lineRule="auto"/>
              <w:jc w:val="center"/>
            </w:pPr>
            <w:r/>
            <w:r>
              <w:rPr>
                <w:rFonts w:ascii="Times New Roman" w:hAnsi="Times New Roman" w:eastAsia="Times New Roman" w:cs="Times New Roman"/>
                <w:b w:val="0"/>
                <w:i w:val="0"/>
                <w:sz w:val="18"/>
              </w:rPr>
              <w:t>0.191</w:t>
            </w:r>
          </w:p>
        </w:tc>
        <w:tc>
          <w:tcPr>
            <w:tcW w:type="dxa" w:w="1008"/>
          </w:tcPr>
          <w:p>
            <w:pPr>
              <w:spacing w:before="40" w:after="40" w:line="240" w:lineRule="auto"/>
              <w:jc w:val="center"/>
            </w:pPr>
            <w:r/>
            <w:r>
              <w:rPr>
                <w:rFonts w:ascii="Times New Roman" w:hAnsi="Times New Roman" w:eastAsia="Times New Roman" w:cs="Times New Roman"/>
                <w:b w:val="0"/>
                <w:i w:val="0"/>
                <w:sz w:val="18"/>
              </w:rPr>
              <w:t>0.0127</w:t>
            </w:r>
          </w:p>
        </w:tc>
        <w:tc>
          <w:tcPr>
            <w:tcW w:type="dxa" w:w="1008"/>
          </w:tcPr>
          <w:p>
            <w:pPr>
              <w:spacing w:before="40" w:after="40" w:line="240" w:lineRule="auto"/>
              <w:jc w:val="center"/>
            </w:pPr>
            <w:r/>
            <w:r>
              <w:rPr>
                <w:rFonts w:ascii="Times New Roman" w:hAnsi="Times New Roman" w:eastAsia="Times New Roman" w:cs="Times New Roman"/>
                <w:b w:val="0"/>
                <w:i w:val="0"/>
                <w:sz w:val="18"/>
              </w:rPr>
              <w:t>0.248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0.385</w:t>
            </w:r>
          </w:p>
        </w:tc>
        <w:tc>
          <w:tcPr>
            <w:tcW w:type="dxa" w:w="1008"/>
          </w:tcPr>
          <w:p>
            <w:pPr>
              <w:spacing w:before="40" w:after="40" w:line="240" w:lineRule="auto"/>
              <w:jc w:val="center"/>
            </w:pPr>
            <w:r/>
            <w:r>
              <w:rPr>
                <w:rFonts w:ascii="Times New Roman" w:hAnsi="Times New Roman" w:eastAsia="Times New Roman" w:cs="Times New Roman"/>
                <w:b w:val="0"/>
                <w:i w:val="0"/>
                <w:sz w:val="18"/>
              </w:rPr>
              <w:t>0.0285</w:t>
            </w:r>
          </w:p>
        </w:tc>
        <w:tc>
          <w:tcPr>
            <w:tcW w:type="dxa" w:w="1008"/>
          </w:tcPr>
          <w:p>
            <w:pPr>
              <w:spacing w:before="40" w:after="40" w:line="240" w:lineRule="auto"/>
              <w:jc w:val="center"/>
            </w:pPr>
            <w:r/>
            <w:r>
              <w:rPr>
                <w:rFonts w:ascii="Times New Roman" w:hAnsi="Times New Roman" w:eastAsia="Times New Roman" w:cs="Times New Roman"/>
                <w:b w:val="0"/>
                <w:i w:val="0"/>
                <w:sz w:val="18"/>
              </w:rPr>
              <w:t>0.556 (0.406)</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0.371</w:t>
            </w:r>
          </w:p>
        </w:tc>
        <w:tc>
          <w:tcPr>
            <w:tcW w:type="dxa" w:w="1008"/>
          </w:tcPr>
          <w:p>
            <w:pPr>
              <w:spacing w:before="40" w:after="40" w:line="240" w:lineRule="auto"/>
              <w:jc w:val="center"/>
            </w:pPr>
            <w:r/>
            <w:r>
              <w:rPr>
                <w:rFonts w:ascii="Times New Roman" w:hAnsi="Times New Roman" w:eastAsia="Times New Roman" w:cs="Times New Roman"/>
                <w:b w:val="0"/>
                <w:i w:val="0"/>
                <w:sz w:val="18"/>
              </w:rPr>
              <w:t>0.0258</w:t>
            </w:r>
          </w:p>
        </w:tc>
        <w:tc>
          <w:tcPr>
            <w:tcW w:type="dxa" w:w="1008"/>
          </w:tcPr>
          <w:p>
            <w:pPr>
              <w:spacing w:before="40" w:after="40" w:line="240" w:lineRule="auto"/>
              <w:jc w:val="center"/>
            </w:pPr>
            <w:r/>
            <w:r>
              <w:rPr>
                <w:rFonts w:ascii="Times New Roman" w:hAnsi="Times New Roman" w:eastAsia="Times New Roman" w:cs="Times New Roman"/>
                <w:b w:val="0"/>
                <w:i w:val="0"/>
                <w:sz w:val="18"/>
              </w:rPr>
              <w:t>0.509 (0.425)</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0.458</w:t>
            </w:r>
          </w:p>
        </w:tc>
        <w:tc>
          <w:tcPr>
            <w:tcW w:type="dxa" w:w="1008"/>
          </w:tcPr>
          <w:p>
            <w:pPr>
              <w:spacing w:before="40" w:after="40" w:line="240" w:lineRule="auto"/>
              <w:jc w:val="center"/>
            </w:pPr>
            <w:r/>
            <w:r>
              <w:rPr>
                <w:rFonts w:ascii="Times New Roman" w:hAnsi="Times New Roman" w:eastAsia="Times New Roman" w:cs="Times New Roman"/>
                <w:b w:val="0"/>
                <w:i w:val="0"/>
                <w:sz w:val="18"/>
              </w:rPr>
              <w:t>0.0434</w:t>
            </w:r>
          </w:p>
        </w:tc>
        <w:tc>
          <w:tcPr>
            <w:tcW w:type="dxa" w:w="1008"/>
          </w:tcPr>
          <w:p>
            <w:pPr>
              <w:spacing w:before="40" w:after="40" w:line="240" w:lineRule="auto"/>
              <w:jc w:val="center"/>
            </w:pPr>
            <w:r/>
            <w:r>
              <w:rPr>
                <w:rFonts w:ascii="Times New Roman" w:hAnsi="Times New Roman" w:eastAsia="Times New Roman" w:cs="Times New Roman"/>
                <w:b w:val="0"/>
                <w:i w:val="0"/>
                <w:sz w:val="18"/>
              </w:rPr>
              <w:t>0.666 (0.503)</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The oracle parameterisation fits well on the BCI data (r = 0.99, MAE 0.013) and the model parameterisation fits less well (r = 0.86, MAE 0.057); the model's implied accuracy is 0.10 to 0.21 away from the observed aligned accuracy, which is a direct statement that the equal-variance assumption does not hold on these scores. Part of the oracle fit is built in, because c is read from BA_aligned and BA_aligned also enters the observed change. We therefore treat Equation (4) as a mechanism with a measured range of validity, not as a predictive law.</w:t>
      </w:r>
    </w:p>
    <w:p>
      <w:pPr>
        <w:spacing w:before="0" w:after="0" w:line="480" w:lineRule="auto"/>
        <w:ind w:firstLine="0" w:left="0"/>
        <w:jc w:val="left"/>
      </w:pPr>
      <w:r>
        <w:rPr>
          <w:rFonts w:ascii="Times New Roman" w:hAnsi="Times New Roman" w:eastAsia="Times New Roman" w:cs="Times New Roman"/>
          <w:b/>
          <w:i w:val="0"/>
          <w:sz w:val="24"/>
        </w:rPr>
        <w:t>The bound applies to the model, not to the data.</w:t>
      </w:r>
      <w:r>
        <w:rPr>
          <w:rFonts w:ascii="Times New Roman" w:hAnsi="Times New Roman" w:eastAsia="Times New Roman" w:cs="Times New Roman"/>
          <w:b w:val="0"/>
          <w:i w:val="0"/>
          <w:sz w:val="24"/>
        </w:rPr>
        <w:t xml:space="preserve"> The inequality |Δ| ≤ 0.1995|s| follows from the derivative of Equation (3). Over the 800 binary cells the prediction violates it in 0 of 800 cases and the observation violates it in 185, i.e. 23.1 per cent, with a median ratio |Δ_obs|/|s| of 0.29 among the violations and a maximum of 4.1: empirical balanced accuracy is a step function of the scores and can jump.</w:t>
      </w:r>
    </w:p>
    <w:p>
      <w:pPr>
        <w:spacing w:before="0" w:after="0" w:line="480" w:lineRule="auto"/>
        <w:ind w:firstLine="0" w:left="0"/>
        <w:jc w:val="left"/>
      </w:pPr>
      <w:r>
        <w:rPr>
          <w:rFonts w:ascii="Times New Roman" w:hAnsi="Times New Roman" w:eastAsia="Times New Roman" w:cs="Times New Roman"/>
          <w:b/>
          <w:i w:val="0"/>
          <w:sz w:val="24"/>
        </w:rPr>
        <w:t>The sign, with and without a held-out half.</w:t>
      </w:r>
      <w:r>
        <w:rPr>
          <w:rFonts w:ascii="Times New Roman" w:hAnsi="Times New Roman" w:eastAsia="Times New Roman" w:cs="Times New Roman"/>
          <w:b w:val="0"/>
          <w:i w:val="0"/>
          <w:sz w:val="24"/>
        </w:rPr>
        <w:t xml:space="preserve"> With t* estimated on one half of the target and the sign evaluated on the other half, the sign-discrimination AUC is 0.914 [0.853, 0.958] (BCI-2b, LDA), 0.848 [0.767, 0.917] (BCI-2b, logistic), 0.848 [0.705, 0.955] (BCI-2a, LDA), 0.786 [0.618, 0.924] (BCI-2a, logistic), 0.667 [0.606, 0.725] and 0.662 [0.599, 0.721] on grasp-and-lift. The support-vector machine is unstable across settings (0.571, 0.328, 0.478) and we do not claim the model for it. Raw sign accuracy is close to the majority rate, which is why we report the AUC.</w:t>
      </w:r>
    </w:p>
    <w:p>
      <w:pPr>
        <w:keepNext/>
        <w:spacing w:before="240" w:after="80" w:line="240" w:lineRule="auto"/>
        <w:jc w:val="center"/>
      </w:pPr>
      <w:r>
        <w:drawing>
          <wp:inline xmlns:a="http://schemas.openxmlformats.org/drawingml/2006/main" xmlns:pic="http://schemas.openxmlformats.org/drawingml/2006/picture">
            <wp:extent cx="5669280" cy="2371114"/>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669280" cy="2371114"/>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4.</w:t>
      </w:r>
      <w:r>
        <w:rPr>
          <w:rFonts w:ascii="Times New Roman" w:hAnsi="Times New Roman" w:eastAsia="Times New Roman" w:cs="Times New Roman"/>
          <w:b w:val="0"/>
          <w:i w:val="0"/>
          <w:sz w:val="21"/>
        </w:rPr>
        <w:t xml:space="preserve"> (a) Predicted change of Equation (4) against the observed change, one point per cell, LDA, the 800 binary cells; the dotted line is the identity. (b) Distribution of the prediction error.</w:t>
      </w:r>
    </w:p>
    <w:p>
      <w:pPr>
        <w:keepNext/>
        <w:spacing w:before="240" w:after="120" w:line="240" w:lineRule="auto"/>
      </w:pPr>
      <w:r>
        <w:rPr>
          <w:rFonts w:ascii="Times New Roman" w:hAnsi="Times New Roman" w:eastAsia="Times New Roman" w:cs="Times New Roman"/>
          <w:b/>
          <w:i/>
          <w:sz w:val="24"/>
        </w:rPr>
        <w:t>4.6. Variants, labels, and the decision-space form</w:t>
      </w:r>
    </w:p>
    <w:p>
      <w:pPr>
        <w:keepNext/>
        <w:spacing w:before="240" w:after="80" w:line="240" w:lineRule="auto"/>
      </w:pPr>
      <w:r>
        <w:rPr>
          <w:rFonts w:ascii="Times New Roman" w:hAnsi="Times New Roman" w:eastAsia="Times New Roman" w:cs="Times New Roman"/>
          <w:b/>
          <w:i w:val="0"/>
          <w:sz w:val="21"/>
        </w:rPr>
        <w:t xml:space="preserve">Table 8. </w:t>
      </w:r>
      <w:r>
        <w:rPr>
          <w:rFonts w:ascii="Times New Roman" w:hAnsi="Times New Roman" w:eastAsia="Times New Roman" w:cs="Times New Roman"/>
          <w:b w:val="0"/>
          <w:i w:val="0"/>
          <w:sz w:val="21"/>
        </w:rPr>
        <w:t xml:space="preserve">Alternatives to the mean correction. </w:t>
      </w:r>
      <w:r>
        <w:rPr>
          <w:rFonts w:ascii="Courier New" w:hAnsi="Courier New" w:eastAsia="Courier New" w:cs="Courier New"/>
          <w:b w:val="0"/>
          <w:i w:val="0"/>
          <w:sz w:val="21"/>
        </w:rPr>
        <w:t>proj</w:t>
      </w:r>
      <w:r>
        <w:rPr>
          <w:rFonts w:ascii="Times New Roman" w:hAnsi="Times New Roman" w:eastAsia="Times New Roman" w:cs="Times New Roman"/>
          <w:b w:val="0"/>
          <w:i w:val="0"/>
          <w:sz w:val="21"/>
        </w:rPr>
        <w:t xml:space="preserve"> subtracts the component of the offset in the row space of W; </w:t>
      </w:r>
      <w:r>
        <w:rPr>
          <w:rFonts w:ascii="Courier New" w:hAnsi="Courier New" w:eastAsia="Courier New" w:cs="Courier New"/>
          <w:b w:val="0"/>
          <w:i w:val="0"/>
          <w:sz w:val="21"/>
        </w:rPr>
        <w:t>shrink</w:t>
      </w:r>
      <w:r>
        <w:rPr>
          <w:rFonts w:ascii="Times New Roman" w:hAnsi="Times New Roman" w:eastAsia="Times New Roman" w:cs="Times New Roman"/>
          <w:b w:val="0"/>
          <w:i w:val="0"/>
          <w:sz w:val="21"/>
        </w:rPr>
        <w:t xml:space="preserve"> half the offset; </w:t>
      </w:r>
      <w:r>
        <w:rPr>
          <w:rFonts w:ascii="Courier New" w:hAnsi="Courier New" w:eastAsia="Courier New" w:cs="Courier New"/>
          <w:b w:val="0"/>
          <w:i w:val="0"/>
          <w:sz w:val="21"/>
        </w:rPr>
        <w:t>low5</w:t>
      </w:r>
      <w:r>
        <w:rPr>
          <w:rFonts w:ascii="Times New Roman" w:hAnsi="Times New Roman" w:eastAsia="Times New Roman" w:cs="Times New Roman"/>
          <w:b w:val="0"/>
          <w:i w:val="0"/>
          <w:sz w:val="21"/>
        </w:rPr>
        <w:t xml:space="preserve"> the projection onto the five leading source principal directions; </w:t>
      </w:r>
      <w:r>
        <w:rPr>
          <w:rFonts w:ascii="Courier New" w:hAnsi="Courier New" w:eastAsia="Courier New" w:cs="Courier New"/>
          <w:b w:val="0"/>
          <w:i w:val="0"/>
          <w:sz w:val="21"/>
        </w:rPr>
        <w:t>bal</w:t>
      </w:r>
      <w:r>
        <w:rPr>
          <w:rFonts w:ascii="Times New Roman" w:hAnsi="Times New Roman" w:eastAsia="Times New Roman" w:cs="Times New Roman"/>
          <w:b w:val="0"/>
          <w:i w:val="0"/>
          <w:sz w:val="21"/>
        </w:rPr>
        <w:t xml:space="preserve"> the class-balanced offset, using the target labels.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zero</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mean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proj</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shrink</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low5</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bal</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w:t>
            </w:r>
          </w:p>
        </w:tc>
        <w:tc>
          <w:tcPr>
            <w:tcW w:type="dxa" w:w="1134"/>
          </w:tcPr>
          <w:p>
            <w:pPr>
              <w:spacing w:before="40" w:after="40" w:line="240" w:lineRule="auto"/>
              <w:jc w:val="left"/>
            </w:pPr>
            <w:r/>
            <w:r>
              <w:rPr>
                <w:rFonts w:ascii="Times New Roman" w:hAnsi="Times New Roman" w:eastAsia="Times New Roman" w:cs="Times New Roman"/>
                <w:b w:val="0"/>
                <w:i w:val="0"/>
                <w:sz w:val="18"/>
              </w:rPr>
              <w:t>0.5656</w:t>
            </w:r>
          </w:p>
        </w:tc>
        <w:tc>
          <w:tcPr>
            <w:tcW w:type="dxa" w:w="1134"/>
          </w:tcPr>
          <w:p>
            <w:pPr>
              <w:spacing w:before="40" w:after="40" w:line="240" w:lineRule="auto"/>
              <w:jc w:val="center"/>
            </w:pPr>
            <w:r/>
            <w:r>
              <w:rPr>
                <w:rFonts w:ascii="Times New Roman" w:hAnsi="Times New Roman" w:eastAsia="Times New Roman" w:cs="Times New Roman"/>
                <w:b w:val="0"/>
                <w:i w:val="0"/>
                <w:sz w:val="18"/>
              </w:rPr>
              <w:t>0.5254</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0.5965</w:t>
            </w:r>
          </w:p>
        </w:tc>
        <w:tc>
          <w:tcPr>
            <w:tcW w:type="dxa" w:w="1134"/>
          </w:tcPr>
          <w:p>
            <w:pPr>
              <w:spacing w:before="40" w:after="40" w:line="240" w:lineRule="auto"/>
              <w:jc w:val="center"/>
            </w:pPr>
            <w:r/>
            <w:r>
              <w:rPr>
                <w:rFonts w:ascii="Times New Roman" w:hAnsi="Times New Roman" w:eastAsia="Times New Roman" w:cs="Times New Roman"/>
                <w:b w:val="0"/>
                <w:i w:val="0"/>
                <w:sz w:val="18"/>
              </w:rPr>
              <w:t>0.5873</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0.7260</w:t>
            </w:r>
          </w:p>
        </w:tc>
        <w:tc>
          <w:tcPr>
            <w:tcW w:type="dxa" w:w="1134"/>
          </w:tcPr>
          <w:p>
            <w:pPr>
              <w:spacing w:before="40" w:after="40" w:line="240" w:lineRule="auto"/>
              <w:jc w:val="center"/>
            </w:pPr>
            <w:r/>
            <w:r>
              <w:rPr>
                <w:rFonts w:ascii="Times New Roman" w:hAnsi="Times New Roman" w:eastAsia="Times New Roman" w:cs="Times New Roman"/>
                <w:b w:val="0"/>
                <w:i w:val="0"/>
                <w:sz w:val="18"/>
              </w:rPr>
              <w:t>0.7318</w:t>
            </w:r>
          </w:p>
        </w:tc>
        <w:tc>
          <w:tcPr>
            <w:tcW w:type="dxa" w:w="1134"/>
          </w:tcPr>
          <w:p>
            <w:pPr>
              <w:spacing w:before="40" w:after="40" w:line="240" w:lineRule="auto"/>
              <w:jc w:val="center"/>
            </w:pPr>
            <w:r/>
            <w:r>
              <w:rPr>
                <w:rFonts w:ascii="Times New Roman" w:hAnsi="Times New Roman" w:eastAsia="Times New Roman" w:cs="Times New Roman"/>
                <w:b w:val="0"/>
                <w:i w:val="0"/>
                <w:sz w:val="18"/>
              </w:rPr>
              <w:t>0.7373</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0.5551</w:t>
            </w:r>
          </w:p>
        </w:tc>
        <w:tc>
          <w:tcPr>
            <w:tcW w:type="dxa" w:w="1134"/>
          </w:tcPr>
          <w:p>
            <w:pPr>
              <w:spacing w:before="40" w:after="40" w:line="240" w:lineRule="auto"/>
              <w:jc w:val="center"/>
            </w:pPr>
            <w:r/>
            <w:r>
              <w:rPr>
                <w:rFonts w:ascii="Times New Roman" w:hAnsi="Times New Roman" w:eastAsia="Times New Roman" w:cs="Times New Roman"/>
                <w:b w:val="0"/>
                <w:i w:val="0"/>
                <w:sz w:val="18"/>
              </w:rPr>
              <w:t>0.4460</w:t>
            </w:r>
          </w:p>
        </w:tc>
        <w:tc>
          <w:tcPr>
            <w:tcW w:type="dxa" w:w="1134"/>
          </w:tcPr>
          <w:p>
            <w:pPr>
              <w:spacing w:before="40" w:after="40" w:line="240" w:lineRule="auto"/>
              <w:jc w:val="center"/>
            </w:pPr>
            <w:r/>
            <w:r>
              <w:rPr>
                <w:rFonts w:ascii="Times New Roman" w:hAnsi="Times New Roman" w:eastAsia="Times New Roman" w:cs="Times New Roman"/>
                <w:b w:val="0"/>
                <w:i w:val="0"/>
                <w:sz w:val="18"/>
              </w:rPr>
              <w:t>0.7092</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w:t>
            </w:r>
          </w:p>
        </w:tc>
        <w:tc>
          <w:tcPr>
            <w:tcW w:type="dxa" w:w="1134"/>
          </w:tcPr>
          <w:p>
            <w:pPr>
              <w:spacing w:before="40" w:after="40" w:line="240" w:lineRule="auto"/>
              <w:jc w:val="left"/>
            </w:pPr>
            <w:r/>
            <w:r>
              <w:rPr>
                <w:rFonts w:ascii="Times New Roman" w:hAnsi="Times New Roman" w:eastAsia="Times New Roman" w:cs="Times New Roman"/>
                <w:b w:val="0"/>
                <w:i w:val="0"/>
                <w:sz w:val="18"/>
              </w:rPr>
              <w:t>0.5886</w:t>
            </w:r>
          </w:p>
        </w:tc>
        <w:tc>
          <w:tcPr>
            <w:tcW w:type="dxa" w:w="1134"/>
          </w:tcPr>
          <w:p>
            <w:pPr>
              <w:spacing w:before="40" w:after="40" w:line="240" w:lineRule="auto"/>
              <w:jc w:val="center"/>
            </w:pPr>
            <w:r/>
            <w:r>
              <w:rPr>
                <w:rFonts w:ascii="Times New Roman" w:hAnsi="Times New Roman" w:eastAsia="Times New Roman" w:cs="Times New Roman"/>
                <w:b w:val="0"/>
                <w:i w:val="0"/>
                <w:sz w:val="18"/>
              </w:rPr>
              <w:t>0.5865</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0.5887</w:t>
            </w:r>
          </w:p>
        </w:tc>
        <w:tc>
          <w:tcPr>
            <w:tcW w:type="dxa" w:w="1134"/>
          </w:tcPr>
          <w:p>
            <w:pPr>
              <w:spacing w:before="40" w:after="40" w:line="240" w:lineRule="auto"/>
              <w:jc w:val="center"/>
            </w:pPr>
            <w:r/>
            <w:r>
              <w:rPr>
                <w:rFonts w:ascii="Times New Roman" w:hAnsi="Times New Roman" w:eastAsia="Times New Roman" w:cs="Times New Roman"/>
                <w:b w:val="0"/>
                <w:i w:val="0"/>
                <w:sz w:val="18"/>
              </w:rPr>
              <w:t>0.5873</w:t>
            </w:r>
          </w:p>
        </w:tc>
        <w:tc>
          <w:tcPr>
            <w:tcW w:type="dxa" w:w="1134"/>
          </w:tcPr>
          <w:p>
            <w:pPr>
              <w:spacing w:before="40" w:after="40" w:line="240" w:lineRule="auto"/>
              <w:jc w:val="center"/>
            </w:pPr>
            <w:r/>
            <w:r>
              <w:rPr>
                <w:rFonts w:ascii="Times New Roman" w:hAnsi="Times New Roman" w:eastAsia="Times New Roman" w:cs="Times New Roman"/>
                <w:b w:val="0"/>
                <w:i w:val="0"/>
                <w:sz w:val="18"/>
              </w:rPr>
              <w:t>0.6039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0.7817</w:t>
            </w:r>
          </w:p>
        </w:tc>
        <w:tc>
          <w:tcPr>
            <w:tcW w:type="dxa" w:w="1134"/>
          </w:tcPr>
          <w:p>
            <w:pPr>
              <w:spacing w:before="40" w:after="40" w:line="240" w:lineRule="auto"/>
              <w:jc w:val="center"/>
            </w:pPr>
            <w:r/>
            <w:r>
              <w:rPr>
                <w:rFonts w:ascii="Times New Roman" w:hAnsi="Times New Roman" w:eastAsia="Times New Roman" w:cs="Times New Roman"/>
                <w:b w:val="0"/>
                <w:i w:val="0"/>
                <w:sz w:val="18"/>
              </w:rPr>
              <w:t>0.7793</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projected correction returns predictions identical to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in 100.0 per cent of samples, as Proposition 3 requires. Halving the correction loses accuracy where it matters (0.015 on 2a, 0.012 on 2b, 0.154 on SEED), and the low-rank variant is the worst on SEED (0.446 against 0.709). The label-based correction changes nothing on the four balanced datasets (0.0000 on 2a and grasp-and-lift, −0.0002 on 2b and SEED) and gains 0.013 on NER2015, the dataset whose priors change substantially, which is what Section 2.4 predicts.</w:t>
      </w:r>
    </w:p>
    <w:p>
      <w:pPr>
        <w:spacing w:before="0" w:after="0" w:line="480" w:lineRule="auto"/>
        <w:ind w:firstLine="0" w:left="0"/>
        <w:jc w:val="left"/>
      </w:pPr>
      <w:r>
        <w:rPr>
          <w:rFonts w:ascii="Times New Roman" w:hAnsi="Times New Roman" w:eastAsia="Times New Roman" w:cs="Times New Roman"/>
          <w:b w:val="0"/>
          <w:i w:val="0"/>
          <w:sz w:val="24"/>
        </w:rPr>
        <w:t>The correction composes with second-order alignment: within the Euclidean-aligned representation the mean correction still gains +0.0725 on BCI-2a and +0.0236 on BCI-2b, within the tangent representation +0.0417 and +0.0452, within CSP +0.0575 and +0.0384, and within plain log power +0.0135 and +0.0245.</w:t>
      </w:r>
    </w:p>
    <w:p>
      <w:pPr>
        <w:spacing w:before="0" w:after="0" w:line="480" w:lineRule="auto"/>
        <w:ind w:firstLine="0" w:left="0"/>
        <w:jc w:val="left"/>
      </w:pPr>
      <w:r>
        <w:rPr>
          <w:rFonts w:ascii="Times New Roman" w:hAnsi="Times New Roman" w:eastAsia="Times New Roman" w:cs="Times New Roman"/>
          <w:b w:val="0"/>
          <w:i w:val="0"/>
          <w:sz w:val="24"/>
        </w:rPr>
        <w:t>For an affine model the correction can also be applied to the K scores instead of the D features, by subtracting δ_k = w_k'(μB − μA) from score k. We verified the equivalence on three linear families and three datasets: identical predictions in 100 per cent of samples, maximum discrepancy 0.0e+00, equal balanced accuracy to four decimals (0.7365 against 0.7365 for LDA on 2b; 0.7188 against 0.7188 for the SVM). The decision-space form needs the target scores and K numbers rather than the target features.</w:t>
      </w:r>
    </w:p>
    <w:p>
      <w:pPr>
        <w:keepNext/>
        <w:spacing w:before="240" w:after="120" w:line="240" w:lineRule="auto"/>
      </w:pPr>
      <w:r>
        <w:rPr>
          <w:rFonts w:ascii="Times New Roman" w:hAnsi="Times New Roman" w:eastAsia="Times New Roman" w:cs="Times New Roman"/>
          <w:b/>
          <w:i/>
          <w:sz w:val="24"/>
        </w:rPr>
        <w:t>4.7. Probability calibration</w:t>
      </w:r>
    </w:p>
    <w:p>
      <w:pPr>
        <w:keepNext/>
        <w:spacing w:before="240" w:after="80" w:line="240" w:lineRule="auto"/>
      </w:pPr>
      <w:r>
        <w:rPr>
          <w:rFonts w:ascii="Times New Roman" w:hAnsi="Times New Roman" w:eastAsia="Times New Roman" w:cs="Times New Roman"/>
          <w:b/>
          <w:i w:val="0"/>
          <w:sz w:val="21"/>
        </w:rPr>
        <w:t xml:space="preserve">Table 9. </w:t>
      </w:r>
      <w:r>
        <w:rPr>
          <w:rFonts w:ascii="Times New Roman" w:hAnsi="Times New Roman" w:eastAsia="Times New Roman" w:cs="Times New Roman"/>
          <w:b w:val="0"/>
          <w:i w:val="0"/>
          <w:sz w:val="21"/>
        </w:rPr>
        <w:t>Calibration, LDA, every development cell; ECE uses ten equal-width bins, is averaged within subject, and the interval is a bootstrap (5,000 resamples) over subjects of the mean. The paired differences are given in the text.</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pipeline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median ECE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95% CI</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Brier</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log loss</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0.0989</w:t>
            </w:r>
          </w:p>
        </w:tc>
        <w:tc>
          <w:tcPr>
            <w:tcW w:type="dxa" w:w="1134"/>
          </w:tcPr>
          <w:p>
            <w:pPr>
              <w:spacing w:before="40" w:after="40" w:line="240" w:lineRule="auto"/>
              <w:jc w:val="center"/>
            </w:pPr>
            <w:r/>
            <w:r>
              <w:rPr>
                <w:rFonts w:ascii="Times New Roman" w:hAnsi="Times New Roman" w:eastAsia="Times New Roman" w:cs="Times New Roman"/>
                <w:b w:val="0"/>
                <w:i w:val="0"/>
                <w:sz w:val="18"/>
              </w:rPr>
              <w:t>[0.0786, 0.1330]</w:t>
            </w:r>
          </w:p>
        </w:tc>
        <w:tc>
          <w:tcPr>
            <w:tcW w:type="dxa" w:w="1134"/>
          </w:tcPr>
          <w:p>
            <w:pPr>
              <w:spacing w:before="40" w:after="40" w:line="240" w:lineRule="auto"/>
              <w:jc w:val="center"/>
            </w:pPr>
            <w:r/>
            <w:r>
              <w:rPr>
                <w:rFonts w:ascii="Times New Roman" w:hAnsi="Times New Roman" w:eastAsia="Times New Roman" w:cs="Times New Roman"/>
                <w:b w:val="0"/>
                <w:i w:val="0"/>
                <w:sz w:val="18"/>
              </w:rPr>
              <w:t>0.3842</w:t>
            </w:r>
          </w:p>
        </w:tc>
        <w:tc>
          <w:tcPr>
            <w:tcW w:type="dxa" w:w="1134"/>
          </w:tcPr>
          <w:p>
            <w:pPr>
              <w:spacing w:before="40" w:after="40" w:line="240" w:lineRule="auto"/>
              <w:jc w:val="center"/>
            </w:pPr>
            <w:r/>
            <w:r>
              <w:rPr>
                <w:rFonts w:ascii="Times New Roman" w:hAnsi="Times New Roman" w:eastAsia="Times New Roman" w:cs="Times New Roman"/>
                <w:b w:val="0"/>
                <w:i w:val="0"/>
                <w:sz w:val="18"/>
              </w:rPr>
              <w:t>0.5690</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0.3468</w:t>
            </w:r>
          </w:p>
        </w:tc>
        <w:tc>
          <w:tcPr>
            <w:tcW w:type="dxa" w:w="1134"/>
          </w:tcPr>
          <w:p>
            <w:pPr>
              <w:spacing w:before="40" w:after="40" w:line="240" w:lineRule="auto"/>
              <w:jc w:val="center"/>
            </w:pPr>
            <w:r/>
            <w:r>
              <w:rPr>
                <w:rFonts w:ascii="Times New Roman" w:hAnsi="Times New Roman" w:eastAsia="Times New Roman" w:cs="Times New Roman"/>
                <w:b w:val="0"/>
                <w:i w:val="0"/>
                <w:sz w:val="18"/>
              </w:rPr>
              <w:t>[0.3391, 0.3815]</w:t>
            </w:r>
          </w:p>
        </w:tc>
        <w:tc>
          <w:tcPr>
            <w:tcW w:type="dxa" w:w="1134"/>
          </w:tcPr>
          <w:p>
            <w:pPr>
              <w:spacing w:before="40" w:after="40" w:line="240" w:lineRule="auto"/>
              <w:jc w:val="center"/>
            </w:pPr>
            <w:r/>
            <w:r>
              <w:rPr>
                <w:rFonts w:ascii="Times New Roman" w:hAnsi="Times New Roman" w:eastAsia="Times New Roman" w:cs="Times New Roman"/>
                <w:b w:val="0"/>
                <w:i w:val="0"/>
                <w:sz w:val="18"/>
              </w:rPr>
              <w:t>0.7224</w:t>
            </w:r>
          </w:p>
        </w:tc>
        <w:tc>
          <w:tcPr>
            <w:tcW w:type="dxa" w:w="1134"/>
          </w:tcPr>
          <w:p>
            <w:pPr>
              <w:spacing w:before="40" w:after="40" w:line="240" w:lineRule="auto"/>
              <w:jc w:val="center"/>
            </w:pPr>
            <w:r/>
            <w:r>
              <w:rPr>
                <w:rFonts w:ascii="Times New Roman" w:hAnsi="Times New Roman" w:eastAsia="Times New Roman" w:cs="Times New Roman"/>
                <w:b w:val="0"/>
                <w:i w:val="0"/>
                <w:sz w:val="18"/>
              </w:rPr>
              <w:t>4.7724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0.0987</w:t>
            </w:r>
          </w:p>
        </w:tc>
        <w:tc>
          <w:tcPr>
            <w:tcW w:type="dxa" w:w="1134"/>
          </w:tcPr>
          <w:p>
            <w:pPr>
              <w:spacing w:before="40" w:after="40" w:line="240" w:lineRule="auto"/>
              <w:jc w:val="center"/>
            </w:pPr>
            <w:r/>
            <w:r>
              <w:rPr>
                <w:rFonts w:ascii="Times New Roman" w:hAnsi="Times New Roman" w:eastAsia="Times New Roman" w:cs="Times New Roman"/>
                <w:b w:val="0"/>
                <w:i w:val="0"/>
                <w:sz w:val="18"/>
              </w:rPr>
              <w:t>[0.0710, 0.1086]</w:t>
            </w:r>
          </w:p>
        </w:tc>
        <w:tc>
          <w:tcPr>
            <w:tcW w:type="dxa" w:w="1134"/>
          </w:tcPr>
          <w:p>
            <w:pPr>
              <w:spacing w:before="40" w:after="40" w:line="240" w:lineRule="auto"/>
              <w:jc w:val="center"/>
            </w:pPr>
            <w:r/>
            <w:r>
              <w:rPr>
                <w:rFonts w:ascii="Times New Roman" w:hAnsi="Times New Roman" w:eastAsia="Times New Roman" w:cs="Times New Roman"/>
                <w:b w:val="0"/>
                <w:i w:val="0"/>
                <w:sz w:val="18"/>
              </w:rPr>
              <w:t>0.3437</w:t>
            </w:r>
          </w:p>
        </w:tc>
        <w:tc>
          <w:tcPr>
            <w:tcW w:type="dxa" w:w="1134"/>
          </w:tcPr>
          <w:p>
            <w:pPr>
              <w:spacing w:before="40" w:after="40" w:line="240" w:lineRule="auto"/>
              <w:jc w:val="center"/>
            </w:pPr>
            <w:r/>
            <w:r>
              <w:rPr>
                <w:rFonts w:ascii="Times New Roman" w:hAnsi="Times New Roman" w:eastAsia="Times New Roman" w:cs="Times New Roman"/>
                <w:b w:val="0"/>
                <w:i w:val="0"/>
                <w:sz w:val="18"/>
              </w:rPr>
              <w:t>0.5084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0.5467</w:t>
            </w:r>
          </w:p>
        </w:tc>
        <w:tc>
          <w:tcPr>
            <w:tcW w:type="dxa" w:w="1134"/>
          </w:tcPr>
          <w:p>
            <w:pPr>
              <w:spacing w:before="40" w:after="40" w:line="240" w:lineRule="auto"/>
              <w:jc w:val="center"/>
            </w:pPr>
            <w:r/>
            <w:r>
              <w:rPr>
                <w:rFonts w:ascii="Times New Roman" w:hAnsi="Times New Roman" w:eastAsia="Times New Roman" w:cs="Times New Roman"/>
                <w:b w:val="0"/>
                <w:i w:val="0"/>
                <w:sz w:val="18"/>
              </w:rPr>
              <w:t>[0.5086, 0.5692]</w:t>
            </w:r>
          </w:p>
        </w:tc>
        <w:tc>
          <w:tcPr>
            <w:tcW w:type="dxa" w:w="1134"/>
          </w:tcPr>
          <w:p>
            <w:pPr>
              <w:spacing w:before="40" w:after="40" w:line="240" w:lineRule="auto"/>
              <w:jc w:val="center"/>
            </w:pPr>
            <w:r/>
            <w:r>
              <w:rPr>
                <w:rFonts w:ascii="Times New Roman" w:hAnsi="Times New Roman" w:eastAsia="Times New Roman" w:cs="Times New Roman"/>
                <w:b w:val="0"/>
                <w:i w:val="0"/>
                <w:sz w:val="18"/>
              </w:rPr>
              <w:t>1.0781</w:t>
            </w:r>
          </w:p>
        </w:tc>
        <w:tc>
          <w:tcPr>
            <w:tcW w:type="dxa" w:w="1134"/>
          </w:tcPr>
          <w:p>
            <w:pPr>
              <w:spacing w:before="40" w:after="40" w:line="240" w:lineRule="auto"/>
              <w:jc w:val="center"/>
            </w:pPr>
            <w:r/>
            <w:r>
              <w:rPr>
                <w:rFonts w:ascii="Times New Roman" w:hAnsi="Times New Roman" w:eastAsia="Times New Roman" w:cs="Times New Roman"/>
                <w:b w:val="0"/>
                <w:i w:val="0"/>
                <w:sz w:val="18"/>
              </w:rPr>
              <w:t>14.8384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0.6716</w:t>
            </w:r>
          </w:p>
        </w:tc>
        <w:tc>
          <w:tcPr>
            <w:tcW w:type="dxa" w:w="1134"/>
          </w:tcPr>
          <w:p>
            <w:pPr>
              <w:spacing w:before="40" w:after="40" w:line="240" w:lineRule="auto"/>
              <w:jc w:val="center"/>
            </w:pPr>
            <w:r/>
            <w:r>
              <w:rPr>
                <w:rFonts w:ascii="Times New Roman" w:hAnsi="Times New Roman" w:eastAsia="Times New Roman" w:cs="Times New Roman"/>
                <w:b w:val="0"/>
                <w:i w:val="0"/>
                <w:sz w:val="18"/>
              </w:rPr>
              <w:t>[0.6617, 0.6725]</w:t>
            </w:r>
          </w:p>
        </w:tc>
        <w:tc>
          <w:tcPr>
            <w:tcW w:type="dxa" w:w="1134"/>
          </w:tcPr>
          <w:p>
            <w:pPr>
              <w:spacing w:before="40" w:after="40" w:line="240" w:lineRule="auto"/>
              <w:jc w:val="center"/>
            </w:pPr>
            <w:r/>
            <w:r>
              <w:rPr>
                <w:rFonts w:ascii="Times New Roman" w:hAnsi="Times New Roman" w:eastAsia="Times New Roman" w:cs="Times New Roman"/>
                <w:b w:val="0"/>
                <w:i w:val="0"/>
                <w:sz w:val="18"/>
              </w:rPr>
              <w:t>1.3355</w:t>
            </w:r>
          </w:p>
        </w:tc>
        <w:tc>
          <w:tcPr>
            <w:tcW w:type="dxa" w:w="1134"/>
          </w:tcPr>
          <w:p>
            <w:pPr>
              <w:spacing w:before="40" w:after="40" w:line="240" w:lineRule="auto"/>
              <w:jc w:val="center"/>
            </w:pPr>
            <w:r/>
            <w:r>
              <w:rPr>
                <w:rFonts w:ascii="Times New Roman" w:hAnsi="Times New Roman" w:eastAsia="Times New Roman" w:cs="Times New Roman"/>
                <w:b w:val="0"/>
                <w:i w:val="0"/>
                <w:sz w:val="18"/>
              </w:rPr>
              <w:t>18.4447</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0.2404</w:t>
            </w:r>
          </w:p>
        </w:tc>
        <w:tc>
          <w:tcPr>
            <w:tcW w:type="dxa" w:w="1134"/>
          </w:tcPr>
          <w:p>
            <w:pPr>
              <w:spacing w:before="40" w:after="40" w:line="240" w:lineRule="auto"/>
              <w:jc w:val="center"/>
            </w:pPr>
            <w:r/>
            <w:r>
              <w:rPr>
                <w:rFonts w:ascii="Times New Roman" w:hAnsi="Times New Roman" w:eastAsia="Times New Roman" w:cs="Times New Roman"/>
                <w:b w:val="0"/>
                <w:i w:val="0"/>
                <w:sz w:val="18"/>
              </w:rPr>
              <w:t>[0.2335, 0.3504]</w:t>
            </w:r>
          </w:p>
        </w:tc>
        <w:tc>
          <w:tcPr>
            <w:tcW w:type="dxa" w:w="1134"/>
          </w:tcPr>
          <w:p>
            <w:pPr>
              <w:spacing w:before="40" w:after="40" w:line="240" w:lineRule="auto"/>
              <w:jc w:val="center"/>
            </w:pPr>
            <w:r/>
            <w:r>
              <w:rPr>
                <w:rFonts w:ascii="Times New Roman" w:hAnsi="Times New Roman" w:eastAsia="Times New Roman" w:cs="Times New Roman"/>
                <w:b w:val="0"/>
                <w:i w:val="0"/>
                <w:sz w:val="18"/>
              </w:rPr>
              <w:t>0.5769</w:t>
            </w:r>
          </w:p>
        </w:tc>
        <w:tc>
          <w:tcPr>
            <w:tcW w:type="dxa" w:w="1134"/>
          </w:tcPr>
          <w:p>
            <w:pPr>
              <w:spacing w:before="40" w:after="40" w:line="240" w:lineRule="auto"/>
              <w:jc w:val="center"/>
            </w:pPr>
            <w:r/>
            <w:r>
              <w:rPr>
                <w:rFonts w:ascii="Times New Roman" w:hAnsi="Times New Roman" w:eastAsia="Times New Roman" w:cs="Times New Roman"/>
                <w:b w:val="0"/>
                <w:i w:val="0"/>
                <w:sz w:val="18"/>
              </w:rPr>
              <w:t>7.8051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0.1802</w:t>
            </w:r>
          </w:p>
        </w:tc>
        <w:tc>
          <w:tcPr>
            <w:tcW w:type="dxa" w:w="1134"/>
          </w:tcPr>
          <w:p>
            <w:pPr>
              <w:spacing w:before="40" w:after="40" w:line="240" w:lineRule="auto"/>
              <w:jc w:val="center"/>
            </w:pPr>
            <w:r/>
            <w:r>
              <w:rPr>
                <w:rFonts w:ascii="Times New Roman" w:hAnsi="Times New Roman" w:eastAsia="Times New Roman" w:cs="Times New Roman"/>
                <w:b w:val="0"/>
                <w:i w:val="0"/>
                <w:sz w:val="18"/>
              </w:rPr>
              <w:t>[0.1552, 0.2259]</w:t>
            </w:r>
          </w:p>
        </w:tc>
        <w:tc>
          <w:tcPr>
            <w:tcW w:type="dxa" w:w="1134"/>
          </w:tcPr>
          <w:p>
            <w:pPr>
              <w:spacing w:before="40" w:after="40" w:line="240" w:lineRule="auto"/>
              <w:jc w:val="center"/>
            </w:pPr>
            <w:r/>
            <w:r>
              <w:rPr>
                <w:rFonts w:ascii="Times New Roman" w:hAnsi="Times New Roman" w:eastAsia="Times New Roman" w:cs="Times New Roman"/>
                <w:b w:val="0"/>
                <w:i w:val="0"/>
                <w:sz w:val="18"/>
              </w:rPr>
              <w:t>0.3641</w:t>
            </w:r>
          </w:p>
        </w:tc>
        <w:tc>
          <w:tcPr>
            <w:tcW w:type="dxa" w:w="1134"/>
          </w:tcPr>
          <w:p>
            <w:pPr>
              <w:spacing w:before="40" w:after="40" w:line="240" w:lineRule="auto"/>
              <w:jc w:val="center"/>
            </w:pPr>
            <w:r/>
            <w:r>
              <w:rPr>
                <w:rFonts w:ascii="Times New Roman" w:hAnsi="Times New Roman" w:eastAsia="Times New Roman" w:cs="Times New Roman"/>
                <w:b w:val="0"/>
                <w:i w:val="0"/>
                <w:sz w:val="18"/>
              </w:rPr>
              <w:t>1.1935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0.2408</w:t>
            </w:r>
          </w:p>
        </w:tc>
        <w:tc>
          <w:tcPr>
            <w:tcW w:type="dxa" w:w="1134"/>
          </w:tcPr>
          <w:p>
            <w:pPr>
              <w:spacing w:before="40" w:after="40" w:line="240" w:lineRule="auto"/>
              <w:jc w:val="center"/>
            </w:pPr>
            <w:r/>
            <w:r>
              <w:rPr>
                <w:rFonts w:ascii="Times New Roman" w:hAnsi="Times New Roman" w:eastAsia="Times New Roman" w:cs="Times New Roman"/>
                <w:b w:val="0"/>
                <w:i w:val="0"/>
                <w:sz w:val="18"/>
              </w:rPr>
              <w:t>[0.1941, 0.2476]</w:t>
            </w:r>
          </w:p>
        </w:tc>
        <w:tc>
          <w:tcPr>
            <w:tcW w:type="dxa" w:w="1134"/>
          </w:tcPr>
          <w:p>
            <w:pPr>
              <w:spacing w:before="40" w:after="40" w:line="240" w:lineRule="auto"/>
              <w:jc w:val="center"/>
            </w:pPr>
            <w:r/>
            <w:r>
              <w:rPr>
                <w:rFonts w:ascii="Times New Roman" w:hAnsi="Times New Roman" w:eastAsia="Times New Roman" w:cs="Times New Roman"/>
                <w:b w:val="0"/>
                <w:i w:val="0"/>
                <w:sz w:val="18"/>
              </w:rPr>
              <w:t>0.4187</w:t>
            </w:r>
          </w:p>
        </w:tc>
        <w:tc>
          <w:tcPr>
            <w:tcW w:type="dxa" w:w="1134"/>
          </w:tcPr>
          <w:p>
            <w:pPr>
              <w:spacing w:before="40" w:after="40" w:line="240" w:lineRule="auto"/>
              <w:jc w:val="center"/>
            </w:pPr>
            <w:r/>
            <w:r>
              <w:rPr>
                <w:rFonts w:ascii="Times New Roman" w:hAnsi="Times New Roman" w:eastAsia="Times New Roman" w:cs="Times New Roman"/>
                <w:b w:val="0"/>
                <w:i w:val="0"/>
                <w:sz w:val="18"/>
              </w:rPr>
              <w:t>1.4418</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0.1671</w:t>
            </w:r>
          </w:p>
        </w:tc>
        <w:tc>
          <w:tcPr>
            <w:tcW w:type="dxa" w:w="1134"/>
          </w:tcPr>
          <w:p>
            <w:pPr>
              <w:spacing w:before="40" w:after="40" w:line="240" w:lineRule="auto"/>
              <w:jc w:val="center"/>
            </w:pPr>
            <w:r/>
            <w:r>
              <w:rPr>
                <w:rFonts w:ascii="Times New Roman" w:hAnsi="Times New Roman" w:eastAsia="Times New Roman" w:cs="Times New Roman"/>
                <w:b w:val="0"/>
                <w:i w:val="0"/>
                <w:sz w:val="18"/>
              </w:rPr>
              <w:t>[0.1494, 0.2201]</w:t>
            </w:r>
          </w:p>
        </w:tc>
        <w:tc>
          <w:tcPr>
            <w:tcW w:type="dxa" w:w="1134"/>
          </w:tcPr>
          <w:p>
            <w:pPr>
              <w:spacing w:before="40" w:after="40" w:line="240" w:lineRule="auto"/>
              <w:jc w:val="center"/>
            </w:pPr>
            <w:r/>
            <w:r>
              <w:rPr>
                <w:rFonts w:ascii="Times New Roman" w:hAnsi="Times New Roman" w:eastAsia="Times New Roman" w:cs="Times New Roman"/>
                <w:b w:val="0"/>
                <w:i w:val="0"/>
                <w:sz w:val="18"/>
              </w:rPr>
              <w:t>0.3545</w:t>
            </w:r>
          </w:p>
        </w:tc>
        <w:tc>
          <w:tcPr>
            <w:tcW w:type="dxa" w:w="1134"/>
          </w:tcPr>
          <w:p>
            <w:pPr>
              <w:spacing w:before="40" w:after="40" w:line="240" w:lineRule="auto"/>
              <w:jc w:val="center"/>
            </w:pPr>
            <w:r/>
            <w:r>
              <w:rPr>
                <w:rFonts w:ascii="Times New Roman" w:hAnsi="Times New Roman" w:eastAsia="Times New Roman" w:cs="Times New Roman"/>
                <w:b w:val="0"/>
                <w:i w:val="0"/>
                <w:sz w:val="18"/>
              </w:rPr>
              <w:t>1.1277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Because the pipelines are evaluated on the same subjects we also report the paired difference per subject. The one-sided minus uncorrected difference is +0.254 [+0.229, +0.282] on BCI-2b, +0.129 [+0.098, +0.160] on SEED and +0.030 [+0.013, +0.047] on grasp-and-lift: the one-sided pipeline is worse on all three. The two-sided minus uncorrected difference is −0.014 [−0.036, +0.006] on BCI-2b, which is a tie, −0.251 [−0.296, −0.205] on SEED and −0.006 [−0.010, −0.002] on grasp-and-lift. The correction therefore restores the calibration that the one-sided pipeline destroys on BCI-2b, improves on doing nothing on SEED, and does little on grasp-and-lift.</w:t>
      </w:r>
    </w:p>
    <w:p>
      <w:pPr>
        <w:keepNext/>
        <w:spacing w:before="240" w:after="120" w:line="240" w:lineRule="auto"/>
      </w:pPr>
      <w:r>
        <w:rPr>
          <w:rFonts w:ascii="Times New Roman" w:hAnsi="Times New Roman" w:eastAsia="Times New Roman" w:cs="Times New Roman"/>
          <w:b/>
          <w:i/>
          <w:sz w:val="24"/>
        </w:rPr>
        <w:t>4.8. Collapse, and the difference between chance and collapse</w:t>
      </w:r>
    </w:p>
    <w:p>
      <w:pPr>
        <w:spacing w:before="0" w:after="0" w:line="480" w:lineRule="auto"/>
        <w:ind w:firstLine="0" w:left="0"/>
        <w:jc w:val="left"/>
      </w:pPr>
      <w:r>
        <w:rPr>
          <w:rFonts w:ascii="Times New Roman" w:hAnsi="Times New Roman" w:eastAsia="Times New Roman" w:cs="Times New Roman"/>
          <w:b w:val="0"/>
          <w:i w:val="0"/>
          <w:sz w:val="24"/>
        </w:rPr>
        <w:t>The identity of Section 2.5 is exact by construction: on all 845 cells it agrees with the observed collapse — every prediction equal — in 124 of 124 collapsing cells and 721 of 721 non-collapsing cells. Its substantive use is that it separates collapse from chance-level accuracy. Of the 845 cells, 180 report balanced accuracy exactly 1/K after the one-sided pipeline and only 124 have collapsed; the difference is concentrated in the imbalanced dataset (NER2015: 66 cells at chance, 16 collapsed). A target whose class priors are 0.17 and 0.83 can reach a balanced accuracy of 0.5 without returning a single class.</w:t>
      </w:r>
    </w:p>
    <w:p>
      <w:pPr>
        <w:keepNext/>
        <w:spacing w:before="240" w:after="120" w:line="240" w:lineRule="auto"/>
      </w:pPr>
      <w:r>
        <w:rPr>
          <w:rFonts w:ascii="Times New Roman" w:hAnsi="Times New Roman" w:eastAsia="Times New Roman" w:cs="Times New Roman"/>
          <w:b/>
          <w:i/>
          <w:sz w:val="24"/>
        </w:rPr>
        <w:t>4.9. What is left</w:t>
      </w:r>
    </w:p>
    <w:p>
      <w:pPr>
        <w:spacing w:before="0" w:after="0" w:line="480" w:lineRule="auto"/>
        <w:ind w:firstLine="0" w:left="0"/>
        <w:jc w:val="left"/>
      </w:pPr>
      <w:r>
        <w:rPr>
          <w:rFonts w:ascii="Times New Roman" w:hAnsi="Times New Roman" w:eastAsia="Times New Roman" w:cs="Times New Roman"/>
          <w:b w:val="0"/>
          <w:i w:val="0"/>
          <w:sz w:val="24"/>
        </w:rPr>
        <w:t>After the correction a residual gap to the within-session reference remains: 0.0198 on BCI-2b, 0.0770 on SEED, 0.0257 on NER2015 and 0.0294 on grasp-and-lift. It is not an origin effect: across all 845 cells the correlation between z_T and the residual is +0.06, and within datasets it has no consistent sign. The residual is weakly associated with the class-conditional offset h_k of Equation (5) in units of the score spread: +0.21 on BCI-2a, −0.36 on BCI-2b, +0.33 on SEED, +0.30 on NER2015, +0.55 on grasp-and-lift (pooled +0.26, four of five in the same direction). The correlation is descriptive: the class-conditional offset is computed with the target labels and so is the residual, and we do not read it as a causal decomposition. A change of the within-session covariance explains less (pooled +0.10).</w:t>
      </w:r>
    </w:p>
    <w:p>
      <w:pPr>
        <w:keepNext/>
        <w:spacing w:before="240" w:after="120" w:line="240" w:lineRule="auto"/>
      </w:pPr>
      <w:r>
        <w:rPr>
          <w:rFonts w:ascii="Times New Roman" w:hAnsi="Times New Roman" w:eastAsia="Times New Roman" w:cs="Times New Roman"/>
          <w:b/>
          <w:i/>
          <w:sz w:val="24"/>
        </w:rPr>
        <w:t>4.10. Implementation details and the invariance checks</w:t>
      </w:r>
    </w:p>
    <w:p>
      <w:pPr>
        <w:spacing w:before="0" w:after="0" w:line="480" w:lineRule="auto"/>
        <w:ind w:firstLine="0" w:left="0"/>
        <w:jc w:val="left"/>
      </w:pPr>
      <w:r>
        <w:rPr>
          <w:rFonts w:ascii="Times New Roman" w:hAnsi="Times New Roman" w:eastAsia="Times New Roman" w:cs="Times New Roman"/>
          <w:b/>
          <w:i w:val="0"/>
          <w:sz w:val="24"/>
        </w:rPr>
        <w:t>The invariances of the statistic.</w:t>
      </w:r>
      <w:r>
        <w:rPr>
          <w:rFonts w:ascii="Times New Roman" w:hAnsi="Times New Roman" w:eastAsia="Times New Roman" w:cs="Times New Roman"/>
          <w:b w:val="0"/>
          <w:i w:val="0"/>
          <w:sz w:val="24"/>
        </w:rPr>
        <w:t xml:space="preserve"> With the scale taken from the centred scores, z_w is invariant to (i) adding a class-common linear term to all scores, (ii) adding a constant to all scores, and (iii) translating the features in the null space of P W. We verified (i) to 4.4 × 10⁻¹⁶, and (ii) and (iii) to 1.4 × 10⁻¹⁴ and 2.5 × 10⁻¹³ over 60 cells. Taking the scale from the uncentred scores instead breaks (i) and can change the statistic on a decision-equivalent classifier; that convention is not used anywhere in the paper.</w:t>
      </w:r>
    </w:p>
    <w:p>
      <w:pPr>
        <w:spacing w:before="0" w:after="0" w:line="480" w:lineRule="auto"/>
        <w:ind w:firstLine="0" w:left="0"/>
        <w:jc w:val="left"/>
      </w:pPr>
      <w:r>
        <w:rPr>
          <w:rFonts w:ascii="Times New Roman" w:hAnsi="Times New Roman" w:eastAsia="Times New Roman" w:cs="Times New Roman"/>
          <w:b/>
          <w:i w:val="0"/>
          <w:sz w:val="24"/>
        </w:rPr>
        <w:t>The mean/dbl identity.</w:t>
      </w:r>
      <w:r>
        <w:rPr>
          <w:rFonts w:ascii="Times New Roman" w:hAnsi="Times New Roman" w:eastAsia="Times New Roman" w:cs="Times New Roman"/>
          <w:b w:val="0"/>
          <w:i w:val="0"/>
          <w:sz w:val="24"/>
        </w:rPr>
        <w:t xml:space="preserve"> Exact for every fit with an unpenalised intercept; verified on all 845 cells.</w:t>
      </w:r>
    </w:p>
    <w:p>
      <w:pPr>
        <w:spacing w:before="0" w:after="0" w:line="480" w:lineRule="auto"/>
        <w:ind w:firstLine="0" w:left="0"/>
        <w:jc w:val="left"/>
      </w:pPr>
      <w:r>
        <w:rPr>
          <w:rFonts w:ascii="Times New Roman" w:hAnsi="Times New Roman" w:eastAsia="Times New Roman" w:cs="Times New Roman"/>
          <w:b/>
          <w:i w:val="0"/>
          <w:sz w:val="24"/>
        </w:rPr>
        <w:t>The z-score/none agreement.</w:t>
      </w:r>
      <w:r>
        <w:rPr>
          <w:rFonts w:ascii="Times New Roman" w:hAnsi="Times New Roman" w:eastAsia="Times New Roman" w:cs="Times New Roman"/>
          <w:b w:val="0"/>
          <w:i w:val="0"/>
          <w:sz w:val="24"/>
        </w:rPr>
        <w:t xml:space="preserve"> 100.0 per cent on BCI-2a, BCI-2b and grasp-and-lift with Ledoit-Wolf shrinkage, 51.8 per cent with shrinkage set to zero on grasp-and-lift, where the 256-dimensional covariance is rank-deficient. The agreement is empirical; a pipeline that relies on standardisation for equivariance should verify it.</w:t>
      </w:r>
    </w:p>
    <w:p>
      <w:pPr>
        <w:spacing w:before="0" w:after="0" w:line="480" w:lineRule="auto"/>
        <w:ind w:firstLine="0" w:left="0"/>
        <w:jc w:val="left"/>
      </w:pPr>
      <w:r>
        <w:rPr>
          <w:rFonts w:ascii="Times New Roman" w:hAnsi="Times New Roman" w:eastAsia="Times New Roman" w:cs="Times New Roman"/>
          <w:b/>
          <w:i w:val="0"/>
          <w:sz w:val="24"/>
        </w:rPr>
        <w:t>The held-out dataset.</w:t>
      </w:r>
      <w:r>
        <w:rPr>
          <w:rFonts w:ascii="Times New Roman" w:hAnsi="Times New Roman" w:eastAsia="Times New Roman" w:cs="Times New Roman"/>
          <w:b w:val="0"/>
          <w:i w:val="0"/>
          <w:sz w:val="24"/>
        </w:rPr>
        <w:t xml:space="preserve"> SEED-IV was converted from the distributed features with the session labels in its ReadMe, cached per session, and evaluated with the models and thresholds fixed beforehand. No parameter was tuned on it.</w:t>
      </w:r>
    </w:p>
    <w:p>
      <w:pPr>
        <w:keepNext/>
        <w:spacing w:before="240" w:after="120" w:line="240" w:lineRule="auto"/>
      </w:pPr>
      <w:r>
        <w:rPr>
          <w:rFonts w:ascii="Times New Roman" w:hAnsi="Times New Roman" w:eastAsia="Times New Roman" w:cs="Times New Roman"/>
          <w:b/>
          <w:i/>
          <w:sz w:val="24"/>
        </w:rPr>
        <w:t>4.11. A small audit of released preprocessing components</w:t>
      </w:r>
    </w:p>
    <w:p>
      <w:pPr>
        <w:spacing w:before="0" w:after="0" w:line="480" w:lineRule="auto"/>
        <w:ind w:firstLine="0" w:left="0"/>
        <w:jc w:val="left"/>
      </w:pPr>
      <w:r>
        <w:rPr>
          <w:rFonts w:ascii="Times New Roman" w:hAnsi="Times New Roman" w:eastAsia="Times New Roman" w:cs="Times New Roman"/>
          <w:b w:val="0"/>
          <w:i w:val="0"/>
          <w:sz w:val="24"/>
        </w:rPr>
        <w:t>The paper's practical premise is that a pipeline can be built with a reference that is fixed at prediction time. We inspected the components of three widely used frameworks that a cross-session pipeline actually uses, and recorded which data each one takes its reference from.</w:t>
      </w:r>
    </w:p>
    <w:p>
      <w:pPr>
        <w:spacing w:before="0" w:after="0" w:line="480" w:lineRule="auto"/>
        <w:ind w:firstLine="0" w:left="0"/>
        <w:jc w:val="left"/>
      </w:pPr>
      <w:r>
        <w:rPr>
          <w:rFonts w:ascii="Times New Roman" w:hAnsi="Times New Roman" w:eastAsia="Times New Roman" w:cs="Times New Roman"/>
          <w:b w:val="0"/>
          <w:i w:val="0"/>
          <w:sz w:val="24"/>
        </w:rPr>
        <w:t>public sources; the audit is small and reported as such (</w:t>
      </w:r>
      <w:r>
        <w:rPr>
          <w:rFonts w:ascii="Courier New" w:hAnsi="Courier New" w:eastAsia="Courier New" w:cs="Courier New"/>
          <w:b w:val="0"/>
          <w:i w:val="0"/>
          <w:sz w:val="24"/>
        </w:rPr>
        <w:t>results/code_audit.txt</w:t>
      </w:r>
      <w:r>
        <w:rPr>
          <w:rFonts w:ascii="Times New Roman" w:hAnsi="Times New Roman" w:eastAsia="Times New Roman" w:cs="Times New Roman"/>
          <w:b w:val="0"/>
          <w:i w:val="0"/>
          <w:sz w:val="24"/>
        </w:rPr>
        <w:t xml:space="preserve"> in the archive).</w:t>
      </w:r>
    </w:p>
    <w:p>
      <w:pPr>
        <w:keepNext/>
        <w:spacing w:before="240" w:after="80" w:line="240" w:lineRule="auto"/>
      </w:pPr>
      <w:r>
        <w:rPr>
          <w:rFonts w:ascii="Times New Roman" w:hAnsi="Times New Roman" w:eastAsia="Times New Roman" w:cs="Times New Roman"/>
          <w:b/>
          <w:i w:val="0"/>
          <w:sz w:val="21"/>
        </w:rPr>
        <w:t xml:space="preserve">Table 10. </w:t>
      </w:r>
      <w:r>
        <w:rPr>
          <w:rFonts w:ascii="Times New Roman" w:hAnsi="Times New Roman" w:eastAsia="Times New Roman" w:cs="Times New Roman"/>
          <w:b w:val="0"/>
          <w:i w:val="0"/>
          <w:sz w:val="21"/>
        </w:rPr>
        <w:t>What the inspected components centre on. Quoted lines are from the</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2268"/>
        <w:gridCol w:w="2268"/>
        <w:gridCol w:w="2268"/>
        <w:gridCol w:w="2268"/>
      </w:tblGrid>
      <w:tr>
        <w:trPr>
          <w:tblHeader/>
        </w:trPr>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component</w:t>
            </w:r>
          </w:p>
        </w:tc>
        <w:tc>
          <w:tcPr>
            <w:tcW w:type="dxa" w:w="226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what it does</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reference taken from</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exposed at prediction time?</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MOABB cross-session example [18]</w:t>
            </w:r>
          </w:p>
        </w:tc>
        <w:tc>
          <w:tcPr>
            <w:tcW w:type="dxa" w:w="2268"/>
          </w:tcPr>
          <w:p>
            <w:pPr>
              <w:spacing w:before="40" w:after="40" w:line="240" w:lineRule="auto"/>
              <w:jc w:val="left"/>
            </w:pPr>
            <w:r/>
            <w:r>
              <w:rPr>
                <w:rFonts w:ascii="Courier New" w:hAnsi="Courier New" w:eastAsia="Courier New" w:cs="Courier New"/>
                <w:b w:val="0"/>
                <w:i w:val="0"/>
                <w:sz w:val="18"/>
              </w:rPr>
              <w:t>CrossSessionEvaluation</w:t>
            </w:r>
            <w:r>
              <w:rPr>
                <w:rFonts w:ascii="Times New Roman" w:hAnsi="Times New Roman" w:eastAsia="Times New Roman" w:cs="Times New Roman"/>
                <w:b w:val="0"/>
                <w:i w:val="0"/>
                <w:sz w:val="18"/>
              </w:rPr>
              <w:t xml:space="preserve"> with CSP+LDA and tangent-space+logistic pipelines</w:t>
            </w:r>
          </w:p>
        </w:tc>
        <w:tc>
          <w:tcPr>
            <w:tcW w:type="dxa" w:w="2268"/>
          </w:tcPr>
          <w:p>
            <w:pPr>
              <w:spacing w:before="40" w:after="40" w:line="240" w:lineRule="auto"/>
              <w:jc w:val="center"/>
            </w:pPr>
            <w:r/>
            <w:r>
              <w:rPr>
                <w:rFonts w:ascii="Times New Roman" w:hAnsi="Times New Roman" w:eastAsia="Times New Roman" w:cs="Times New Roman"/>
                <w:b w:val="0"/>
                <w:i w:val="0"/>
                <w:sz w:val="18"/>
              </w:rPr>
              <w:t>every transform is fitted inside the training fold</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 xml:space="preserve">MNE </w:t>
            </w:r>
            <w:r>
              <w:rPr>
                <w:rFonts w:ascii="Courier New" w:hAnsi="Courier New" w:eastAsia="Courier New" w:cs="Courier New"/>
                <w:b w:val="0"/>
                <w:i w:val="0"/>
                <w:sz w:val="18"/>
              </w:rPr>
              <w:t>Scaler</w:t>
            </w:r>
            <w:r>
              <w:rPr>
                <w:rFonts w:ascii="Times New Roman" w:hAnsi="Times New Roman" w:eastAsia="Times New Roman" w:cs="Times New Roman"/>
                <w:b w:val="0"/>
                <w:i w:val="0"/>
                <w:sz w:val="18"/>
              </w:rPr>
              <w:t xml:space="preserve"> [mne/decoding/transformer.py]</w:t>
            </w:r>
          </w:p>
        </w:tc>
        <w:tc>
          <w:tcPr>
            <w:tcW w:type="dxa" w:w="2268"/>
          </w:tcPr>
          <w:p>
            <w:pPr>
              <w:spacing w:before="40" w:after="40" w:line="240" w:lineRule="auto"/>
              <w:jc w:val="left"/>
            </w:pPr>
            <w:r/>
            <w:r>
              <w:rPr>
                <w:rFonts w:ascii="Times New Roman" w:hAnsi="Times New Roman" w:eastAsia="Times New Roman" w:cs="Times New Roman"/>
                <w:b w:val="0"/>
                <w:i w:val="0"/>
                <w:sz w:val="18"/>
              </w:rPr>
              <w:t xml:space="preserve">wraps scikit-learn </w:t>
            </w:r>
            <w:r>
              <w:rPr>
                <w:rFonts w:ascii="Courier New" w:hAnsi="Courier New" w:eastAsia="Courier New" w:cs="Courier New"/>
                <w:b w:val="0"/>
                <w:i w:val="0"/>
                <w:sz w:val="18"/>
              </w:rPr>
              <w:t>StandardScaler</w:t>
            </w:r>
            <w:r>
              <w:rPr>
                <w:rFonts w:ascii="Times New Roman" w:hAnsi="Times New Roman" w:eastAsia="Times New Roman" w:cs="Times New Roman"/>
                <w:b w:val="0"/>
                <w:i w:val="0"/>
                <w:sz w:val="18"/>
              </w:rPr>
              <w:t xml:space="preserve">; </w:t>
            </w:r>
            <w:r>
              <w:rPr>
                <w:rFonts w:ascii="Courier New" w:hAnsi="Courier New" w:eastAsia="Courier New" w:cs="Courier New"/>
                <w:b w:val="0"/>
                <w:i w:val="0"/>
                <w:sz w:val="18"/>
              </w:rPr>
              <w:t>fit</w:t>
            </w:r>
            <w:r>
              <w:rPr>
                <w:rFonts w:ascii="Times New Roman" w:hAnsi="Times New Roman" w:eastAsia="Times New Roman" w:cs="Times New Roman"/>
                <w:b w:val="0"/>
                <w:i w:val="0"/>
                <w:sz w:val="18"/>
              </w:rPr>
              <w:t xml:space="preserve"> then </w:t>
            </w:r>
            <w:r>
              <w:rPr>
                <w:rFonts w:ascii="Courier New" w:hAnsi="Courier New" w:eastAsia="Courier New" w:cs="Courier New"/>
                <w:b w:val="0"/>
                <w:i w:val="0"/>
                <w:sz w:val="18"/>
              </w:rPr>
              <w:t>transform</w:t>
            </w:r>
          </w:p>
        </w:tc>
        <w:tc>
          <w:tcPr>
            <w:tcW w:type="dxa" w:w="2268"/>
          </w:tcPr>
          <w:p>
            <w:pPr>
              <w:spacing w:before="40" w:after="40" w:line="240" w:lineRule="auto"/>
              <w:jc w:val="center"/>
            </w:pPr>
            <w:r/>
            <w:r>
              <w:rPr>
                <w:rFonts w:ascii="Times New Roman" w:hAnsi="Times New Roman" w:eastAsia="Times New Roman" w:cs="Times New Roman"/>
                <w:b w:val="0"/>
                <w:i w:val="0"/>
                <w:sz w:val="18"/>
              </w:rPr>
              <w:t xml:space="preserve">the data passed to </w:t>
            </w:r>
            <w:r>
              <w:rPr>
                <w:rFonts w:ascii="Courier New" w:hAnsi="Courier New" w:eastAsia="Courier New" w:cs="Courier New"/>
                <w:b w:val="0"/>
                <w:i w:val="0"/>
                <w:sz w:val="18"/>
              </w:rPr>
              <w:t>fit</w:t>
            </w:r>
            <w:r>
              <w:rPr>
                <w:rFonts w:ascii="Times New Roman" w:hAnsi="Times New Roman" w:eastAsia="Times New Roman" w:cs="Times New Roman"/>
                <w:b w:val="0"/>
                <w:i w:val="0"/>
                <w:sz w:val="18"/>
              </w:rPr>
              <w:t>, i.e. the training fold</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 xml:space="preserve">Braindecode </w:t>
            </w:r>
            <w:r>
              <w:rPr>
                <w:rFonts w:ascii="Courier New" w:hAnsi="Courier New" w:eastAsia="Courier New" w:cs="Courier New"/>
                <w:b w:val="0"/>
                <w:i w:val="0"/>
                <w:sz w:val="18"/>
              </w:rPr>
              <w:t>exponential_moving_demean</w:t>
            </w:r>
            <w:r>
              <w:rPr>
                <w:rFonts w:ascii="Times New Roman" w:hAnsi="Times New Roman" w:eastAsia="Times New Roman" w:cs="Times New Roman"/>
                <w:b w:val="0"/>
                <w:i w:val="0"/>
                <w:sz w:val="18"/>
              </w:rPr>
              <w:t xml:space="preserve"> [braindecode/preprocessing/preprocess.py]</w:t>
            </w:r>
          </w:p>
        </w:tc>
        <w:tc>
          <w:tcPr>
            <w:tcW w:type="dxa" w:w="2268"/>
          </w:tcPr>
          <w:p>
            <w:pPr>
              <w:spacing w:before="40" w:after="40" w:line="240" w:lineRule="auto"/>
              <w:jc w:val="left"/>
            </w:pPr>
            <w:r/>
            <w:r>
              <w:rPr>
                <w:rFonts w:ascii="Times New Roman" w:hAnsi="Times New Roman" w:eastAsia="Times New Roman" w:cs="Times New Roman"/>
                <w:b w:val="0"/>
                <w:i w:val="0"/>
                <w:sz w:val="18"/>
              </w:rPr>
              <w:t>causal exponential moving average, initialised from the first block of each trial</w:t>
            </w:r>
          </w:p>
        </w:tc>
        <w:tc>
          <w:tcPr>
            <w:tcW w:type="dxa" w:w="2268"/>
          </w:tcPr>
          <w:p>
            <w:pPr>
              <w:spacing w:before="40" w:after="40" w:line="240" w:lineRule="auto"/>
              <w:jc w:val="center"/>
            </w:pPr>
            <w:r/>
            <w:r>
              <w:rPr>
                <w:rFonts w:ascii="Times New Roman" w:hAnsi="Times New Roman" w:eastAsia="Times New Roman" w:cs="Times New Roman"/>
                <w:b w:val="0"/>
                <w:i w:val="0"/>
                <w:sz w:val="18"/>
              </w:rPr>
              <w:t>the signal up to the current sample</w:t>
            </w:r>
          </w:p>
        </w:tc>
        <w:tc>
          <w:tcPr>
            <w:tcW w:type="dxa" w:w="2268"/>
          </w:tcPr>
          <w:p>
            <w:pPr>
              <w:spacing w:before="40" w:after="40" w:line="240" w:lineRule="auto"/>
              <w:jc w:val="center"/>
            </w:pPr>
            <w:r/>
            <w:r>
              <w:rPr>
                <w:rFonts w:ascii="Times New Roman" w:hAnsi="Times New Roman" w:eastAsia="Times New Roman" w:cs="Times New Roman"/>
                <w:b w:val="0"/>
                <w:i w:val="0"/>
                <w:sz w:val="18"/>
              </w:rPr>
              <w:t>no, if the running window covers the session offset</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None of the three centres the target session at prediction time, and all three therefore satisfy the invariance of Proposition 1 by construction: the reference is the training fold, or a causal running mean that sees the session offset as part of the signal. The failure mode audited in this paper is consequently not present in the framework components we inspected; it belongs to code that patches a normalisation step onto features at prediction time, outside the fold. We did not audit that population, and the audit above is too small to estimate its size.</w:t>
      </w:r>
    </w:p>
    <w:p>
      <w:pPr>
        <w:keepNext/>
        <w:spacing w:before="360" w:after="120" w:line="240" w:lineRule="auto"/>
      </w:pPr>
      <w:r>
        <w:rPr>
          <w:rFonts w:ascii="Times New Roman" w:hAnsi="Times New Roman" w:eastAsia="Times New Roman" w:cs="Times New Roman"/>
          <w:b/>
          <w:i w:val="0"/>
          <w:sz w:val="24"/>
        </w:rPr>
        <w:t>5. The audit procedure</w:t>
      </w:r>
    </w:p>
    <w:p>
      <w:pPr>
        <w:spacing w:before="0" w:after="0" w:line="480" w:lineRule="auto"/>
        <w:ind w:firstLine="0" w:left="0"/>
        <w:jc w:val="left"/>
      </w:pPr>
      <w:r>
        <w:rPr>
          <w:rFonts w:ascii="Times New Roman" w:hAnsi="Times New Roman" w:eastAsia="Times New Roman" w:cs="Times New Roman"/>
          <w:b w:val="0"/>
          <w:i w:val="0"/>
          <w:sz w:val="24"/>
        </w:rPr>
        <w:t>The results reduce to a procedure with three measurements, one correction and one test.</w:t>
      </w:r>
    </w:p>
    <w:p>
      <w:pPr>
        <w:spacing w:before="0" w:after="0" w:line="480" w:lineRule="auto"/>
        <w:ind w:firstLine="0" w:left="0"/>
        <w:jc w:val="left"/>
      </w:pPr>
      <w:r>
        <w:rPr>
          <w:rFonts w:ascii="Times New Roman" w:hAnsi="Times New Roman" w:eastAsia="Times New Roman" w:cs="Times New Roman"/>
          <w:b/>
          <w:i w:val="0"/>
          <w:sz w:val="24"/>
        </w:rPr>
        <w:t>Measure the origin distance of the feature family.</w:t>
      </w:r>
      <w:r>
        <w:rPr>
          <w:rFonts w:ascii="Times New Roman" w:hAnsi="Times New Roman" w:eastAsia="Times New Roman" w:cs="Times New Roman"/>
          <w:b w:val="0"/>
          <w:i w:val="0"/>
          <w:sz w:val="24"/>
        </w:rPr>
        <w:t xml:space="preserve"> z_w of Equation (2) needs only the training session: the fitted weights, the source mean and the centred score spread. In our units, below z_w = 0.35 the penalty of the one-sided form is between +0.024 and −0.015; above z_w = 4 it is between −0.03 and −0.19. These are the ranges observed on the eleven development units, not thresholds; the held-out test shows that a value computed this way does not transfer as an operating rule.</w:t>
      </w:r>
    </w:p>
    <w:p>
      <w:pPr>
        <w:spacing w:before="0" w:after="0" w:line="480" w:lineRule="auto"/>
        <w:ind w:firstLine="0" w:left="0"/>
        <w:jc w:val="left"/>
      </w:pPr>
      <w:r>
        <w:rPr>
          <w:rFonts w:ascii="Times New Roman" w:hAnsi="Times New Roman" w:eastAsia="Times New Roman" w:cs="Times New Roman"/>
          <w:b/>
          <w:i w:val="0"/>
          <w:sz w:val="24"/>
        </w:rPr>
        <w:t>Correct both sides and fit on the centred training data.</w:t>
      </w:r>
      <w:r>
        <w:rPr>
          <w:rFonts w:ascii="Times New Roman" w:hAnsi="Times New Roman" w:eastAsia="Times New Roman" w:cs="Times New Roman"/>
          <w:b w:val="0"/>
          <w:i w:val="0"/>
          <w:sz w:val="24"/>
        </w:rPr>
        <w:t xml:space="preserve"> This makes the pipeline equivariant (Proposition 1). Standardising with training statistics also makes it equivariant but does not implement the two-sided correction; a pipeline that standardises and then centres either way obtains the two-sided result. If the model is frozen, subtract w_k'(μB − μA) from score k instead.</w:t>
      </w:r>
    </w:p>
    <w:p>
      <w:pPr>
        <w:spacing w:before="0" w:after="0" w:line="480" w:lineRule="auto"/>
        <w:ind w:firstLine="0" w:left="0"/>
        <w:jc w:val="left"/>
      </w:pPr>
      <w:r>
        <w:rPr>
          <w:rFonts w:ascii="Times New Roman" w:hAnsi="Times New Roman" w:eastAsia="Times New Roman" w:cs="Times New Roman"/>
          <w:b/>
          <w:i w:val="0"/>
          <w:sz w:val="24"/>
        </w:rPr>
        <w:t>Check the collapse identity before believing an accuracy.</w:t>
      </w:r>
      <w:r>
        <w:rPr>
          <w:rFonts w:ascii="Times New Roman" w:hAnsi="Times New Roman" w:eastAsia="Times New Roman" w:cs="Times New Roman"/>
          <w:b w:val="0"/>
          <w:i w:val="0"/>
          <w:sz w:val="24"/>
        </w:rPr>
        <w:t xml:space="preserve"> If all target predictions are equal the classifier has collapsed, and its balanced accuracy is 1/K by identity.</w:t>
      </w:r>
    </w:p>
    <w:p>
      <w:pPr>
        <w:spacing w:before="0" w:after="0" w:line="480" w:lineRule="auto"/>
        <w:ind w:firstLine="0" w:left="0"/>
        <w:jc w:val="left"/>
      </w:pPr>
      <w:r>
        <w:rPr>
          <w:rFonts w:ascii="Times New Roman" w:hAnsi="Times New Roman" w:eastAsia="Times New Roman" w:cs="Times New Roman"/>
          <w:b/>
          <w:i w:val="0"/>
          <w:sz w:val="24"/>
        </w:rPr>
        <w:t>The invariance test.</w:t>
      </w:r>
      <w:r>
        <w:rPr>
          <w:rFonts w:ascii="Times New Roman" w:hAnsi="Times New Roman" w:eastAsia="Times New Roman" w:cs="Times New Roman"/>
          <w:b w:val="0"/>
          <w:i w:val="0"/>
          <w:sz w:val="24"/>
        </w:rPr>
        <w:t xml:space="preserve"> Translate every feature by a constant, refit, and check that the predictions are unchanged. The test is one line of code and needs no labels. It has two blind spots that follow from Proposition 3: a translation in the null space of P W changes nothing, and a target sample that does not cross the moved boundary changes no label. The test is therefore a sufficient but not a necessary detector, and it should be run with a translation large relative to the score range; we use ten within-session standard deviations in the sweep of Section 4.2.</w:t>
      </w:r>
    </w:p>
    <w:p>
      <w:pPr>
        <w:spacing w:before="0" w:after="0" w:line="480" w:lineRule="auto"/>
        <w:ind w:firstLine="0" w:left="0"/>
        <w:jc w:val="left"/>
      </w:pPr>
      <w:r>
        <w:rPr>
          <w:rFonts w:ascii="Times New Roman" w:hAnsi="Times New Roman" w:eastAsia="Times New Roman" w:cs="Times New Roman"/>
          <w:b/>
          <w:i w:val="0"/>
          <w:sz w:val="24"/>
        </w:rPr>
        <w:t>Report the residual separately.</w:t>
      </w:r>
      <w:r>
        <w:rPr>
          <w:rFonts w:ascii="Times New Roman" w:hAnsi="Times New Roman" w:eastAsia="Times New Roman" w:cs="Times New Roman"/>
          <w:b w:val="0"/>
          <w:i w:val="0"/>
          <w:sz w:val="24"/>
        </w:rPr>
        <w:t xml:space="preserve"> The correction recovers the origin component; the rest is the label-information gap of Section 2.4, and reporting the two separately prevents a corrected pipeline from being credited with the whole gap.</w:t>
      </w:r>
    </w:p>
    <w:p>
      <w:pPr>
        <w:keepNext/>
        <w:spacing w:before="360" w:after="120" w:line="240" w:lineRule="auto"/>
      </w:pPr>
      <w:r>
        <w:rPr>
          <w:rFonts w:ascii="Times New Roman" w:hAnsi="Times New Roman" w:eastAsia="Times New Roman" w:cs="Times New Roman"/>
          <w:b/>
          <w:i w:val="0"/>
          <w:sz w:val="24"/>
        </w:rPr>
        <w:t>6. Discussion</w:t>
      </w:r>
    </w:p>
    <w:p>
      <w:pPr>
        <w:keepNext/>
        <w:spacing w:before="240" w:after="120" w:line="240" w:lineRule="auto"/>
      </w:pPr>
      <w:r>
        <w:rPr>
          <w:rFonts w:ascii="Times New Roman" w:hAnsi="Times New Roman" w:eastAsia="Times New Roman" w:cs="Times New Roman"/>
          <w:b/>
          <w:i/>
          <w:sz w:val="24"/>
        </w:rPr>
        <w:t>6.1. What the audit establishes, and what it does not</w:t>
      </w:r>
    </w:p>
    <w:p>
      <w:pPr>
        <w:spacing w:before="0" w:after="0" w:line="480" w:lineRule="auto"/>
        <w:ind w:firstLine="0" w:left="0"/>
        <w:jc w:val="left"/>
      </w:pPr>
      <w:r>
        <w:rPr>
          <w:rFonts w:ascii="Times New Roman" w:hAnsi="Times New Roman" w:eastAsia="Times New Roman" w:cs="Times New Roman"/>
          <w:b w:val="0"/>
          <w:i w:val="0"/>
          <w:sz w:val="24"/>
        </w:rPr>
        <w:t>Three kinds of statement are mixed in a paper of this shape, and only the second is specific to EEG. The first is a corollary of linear discriminant theory: a constant added to a feature vector moves the intercept, the prediction-relevant content of a reference is its projection onto the weights, and score differences are unchanged by class-constant shifts. We prove these and do not claim them as discoveries. The second is an empirical regularity of cross-session EEG features: which feature families carry a free origin, how large the resulting damage is on six public datasets, how the damage depends on the classifier's threshold error, and in what ways a source-level statistic fails. The third is a change in practice: centre both sides, run the invariance test, and do not use a norm-based origin statistic. The paper's contribution is the second and the third; the first is the scaffolding.</w:t>
      </w:r>
    </w:p>
    <w:p>
      <w:pPr>
        <w:keepNext/>
        <w:spacing w:before="240" w:after="120" w:line="240" w:lineRule="auto"/>
      </w:pPr>
      <w:r>
        <w:rPr>
          <w:rFonts w:ascii="Times New Roman" w:hAnsi="Times New Roman" w:eastAsia="Times New Roman" w:cs="Times New Roman"/>
          <w:b/>
          <w:i/>
          <w:sz w:val="24"/>
        </w:rPr>
        <w:t>6.2. Why some features are exposed and others are not</w:t>
      </w:r>
    </w:p>
    <w:p>
      <w:pPr>
        <w:spacing w:before="0" w:after="0" w:line="480" w:lineRule="auto"/>
        <w:ind w:firstLine="0" w:left="0"/>
        <w:jc w:val="left"/>
      </w:pPr>
      <w:r>
        <w:rPr>
          <w:rFonts w:ascii="Times New Roman" w:hAnsi="Times New Roman" w:eastAsia="Times New Roman" w:cs="Times New Roman"/>
          <w:b w:val="0"/>
          <w:i w:val="0"/>
          <w:sz w:val="24"/>
        </w:rPr>
        <w:t>z_T is large when the feature carries a free additive constant. Log power has three: the logarithm of a reference power, a floor added before the logarithm, and a change of the reference electrode that adds an offset to the potential before a non-linear transform. Differential entropy inherits all three. A difference of two conditions measured within the same trial has none, which is why the time-domain contrast features of NER2015 have z_T = 0.20 and a penalty of 0.000. This is a statement about measurement conventions, not about neurophysiology: the origin is set by the amplifier, the montage and the code, and none of the three is reported in a typical methods section.</w:t>
      </w:r>
    </w:p>
    <w:p>
      <w:pPr>
        <w:spacing w:before="0" w:after="0" w:line="480" w:lineRule="auto"/>
        <w:ind w:firstLine="0" w:left="0"/>
        <w:jc w:val="left"/>
      </w:pPr>
      <w:r>
        <w:rPr>
          <w:rFonts w:ascii="Times New Roman" w:hAnsi="Times New Roman" w:eastAsia="Times New Roman" w:cs="Times New Roman"/>
          <w:b w:val="0"/>
          <w:i w:val="0"/>
          <w:sz w:val="24"/>
        </w:rPr>
        <w:t>The electrical reading should not be pushed far. An amplifier gain change and a reference-electrode change both alter the covariance of the raw signal, and a reference change is not a pure translation of the feature vector; what is additive after a log transform is the magnitude of a gain change, not every consequence of a montage change.</w:t>
      </w:r>
    </w:p>
    <w:p>
      <w:pPr>
        <w:keepNext/>
        <w:spacing w:before="240" w:after="120" w:line="240" w:lineRule="auto"/>
      </w:pPr>
      <w:r>
        <w:rPr>
          <w:rFonts w:ascii="Times New Roman" w:hAnsi="Times New Roman" w:eastAsia="Times New Roman" w:cs="Times New Roman"/>
          <w:b/>
          <w:i/>
          <w:sz w:val="24"/>
        </w:rPr>
        <w:t>6.3. Relation to alignment methods</w:t>
      </w:r>
    </w:p>
    <w:p>
      <w:pPr>
        <w:spacing w:before="0" w:after="0" w:line="480" w:lineRule="auto"/>
        <w:ind w:firstLine="0" w:left="0"/>
        <w:jc w:val="left"/>
      </w:pPr>
      <w:r>
        <w:rPr>
          <w:rFonts w:ascii="Times New Roman" w:hAnsi="Times New Roman" w:eastAsia="Times New Roman" w:cs="Times New Roman"/>
          <w:b w:val="0"/>
          <w:i w:val="0"/>
          <w:sz w:val="24"/>
        </w:rPr>
        <w:t>Euclidean and Riemannian alignment [5-8] act on second-order structure, and the Riemannian Gaussian–Laplace framework of [16] is a recent example of the same programme. An alignment matrix that is a multiple of the identity performs no alignment, so the first-order correction is not a special case of the second-order one, and Section 4.6 shows that the two compose in all four BCI representations. Where the two intersect is the label-shift problem of Section 2.4: aligning a covariance implicitly assumes that the class mixture is unchanged, and re-weighting the classes changes the average covariance in a way that alignment cannot distinguish from a change of state. Under the label-shift assumption the prior is estimable [12]; without it the same ambiguity applies to both families.</w:t>
      </w:r>
    </w:p>
    <w:p>
      <w:pPr>
        <w:keepNext/>
        <w:spacing w:before="240" w:after="120" w:line="240" w:lineRule="auto"/>
      </w:pPr>
      <w:r>
        <w:rPr>
          <w:rFonts w:ascii="Times New Roman" w:hAnsi="Times New Roman" w:eastAsia="Times New Roman" w:cs="Times New Roman"/>
          <w:b/>
          <w:i/>
          <w:sz w:val="24"/>
        </w:rPr>
        <w:t>6.4. Limitations</w:t>
      </w:r>
    </w:p>
    <w:p>
      <w:pPr>
        <w:spacing w:before="0" w:after="0" w:line="480" w:lineRule="auto"/>
        <w:ind w:firstLine="0" w:left="0"/>
        <w:jc w:val="left"/>
      </w:pPr>
      <w:r>
        <w:rPr>
          <w:rFonts w:ascii="Times New Roman" w:hAnsi="Times New Roman" w:eastAsia="Times New Roman" w:cs="Times New Roman"/>
          <w:b/>
          <w:i w:val="0"/>
          <w:sz w:val="24"/>
        </w:rPr>
        <w:t>Prevalence is measured on three components, not on the field.</w:t>
      </w:r>
      <w:r>
        <w:rPr>
          <w:rFonts w:ascii="Times New Roman" w:hAnsi="Times New Roman" w:eastAsia="Times New Roman" w:cs="Times New Roman"/>
          <w:b w:val="0"/>
          <w:i w:val="0"/>
          <w:sz w:val="24"/>
        </w:rPr>
        <w:t xml:space="preserve"> Section 4.11 audits the MOABB cross-session example, the MNE </w:t>
      </w:r>
      <w:r>
        <w:rPr>
          <w:rFonts w:ascii="Courier New" w:hAnsi="Courier New" w:eastAsia="Courier New" w:cs="Courier New"/>
          <w:b w:val="0"/>
          <w:i w:val="0"/>
          <w:sz w:val="24"/>
        </w:rPr>
        <w:t>Scaler</w:t>
      </w:r>
      <w:r>
        <w:rPr>
          <w:rFonts w:ascii="Times New Roman" w:hAnsi="Times New Roman" w:eastAsia="Times New Roman" w:cs="Times New Roman"/>
          <w:b w:val="0"/>
          <w:i w:val="0"/>
          <w:sz w:val="24"/>
        </w:rPr>
        <w:t xml:space="preserve"> and the Braindecode causal demean; all three take their reference from the training fold or from a causal running mean, so none of them can exhibit the failure, and we put no number on the frequency of the mistake in custom code. The audit is small by design: it establishes that the failure is an implementation choice and not a property of the frameworks, and the invariance test of Section 5 is the instrument that would settle any particular codebase.</w:t>
      </w:r>
    </w:p>
    <w:p>
      <w:pPr>
        <w:spacing w:before="0" w:after="0" w:line="480" w:lineRule="auto"/>
        <w:ind w:firstLine="0" w:left="0"/>
        <w:jc w:val="left"/>
      </w:pPr>
      <w:r>
        <w:rPr>
          <w:rFonts w:ascii="Times New Roman" w:hAnsi="Times New Roman" w:eastAsia="Times New Roman" w:cs="Times New Roman"/>
          <w:b/>
          <w:i w:val="0"/>
          <w:sz w:val="24"/>
        </w:rPr>
        <w:t>The source-level statistic is not a screen.</w:t>
      </w:r>
      <w:r>
        <w:rPr>
          <w:rFonts w:ascii="Times New Roman" w:hAnsi="Times New Roman" w:eastAsia="Times New Roman" w:cs="Times New Roman"/>
          <w:b w:val="0"/>
          <w:i w:val="0"/>
          <w:sz w:val="24"/>
        </w:rPr>
        <w:t xml:space="preserve"> It ranks feature families within the development data and fails at the dataset level (rho = −0.77, exact p = 0.103), on the held-out dataset (specificity 0.000) and within SEED (AUC 0.332). We report it because the quantity is the right first thing to compute, not because it decides.</w:t>
      </w:r>
    </w:p>
    <w:p>
      <w:pPr>
        <w:spacing w:before="0" w:after="0" w:line="480" w:lineRule="auto"/>
        <w:ind w:firstLine="0" w:left="0"/>
        <w:jc w:val="left"/>
      </w:pPr>
      <w:r>
        <w:rPr>
          <w:rFonts w:ascii="Times New Roman" w:hAnsi="Times New Roman" w:eastAsia="Times New Roman" w:cs="Times New Roman"/>
          <w:b/>
          <w:i w:val="0"/>
          <w:sz w:val="24"/>
        </w:rPr>
        <w:t>The displacement model has a measured range.</w:t>
      </w:r>
      <w:r>
        <w:rPr>
          <w:rFonts w:ascii="Times New Roman" w:hAnsi="Times New Roman" w:eastAsia="Times New Roman" w:cs="Times New Roman"/>
          <w:b w:val="0"/>
          <w:i w:val="0"/>
          <w:sz w:val="24"/>
        </w:rPr>
        <w:t xml:space="preserve"> It is quantitative for mean-calibrated linear classifiers under the oracle parameterisation, less so under the parameterisation the Gaussian assumption implies, and not applicable to the margin-based classifier. We do not have a label-free estimator of t*, and the sign analysis therefore remains descriptive.</w:t>
      </w:r>
    </w:p>
    <w:p>
      <w:pPr>
        <w:spacing w:before="0" w:after="0" w:line="480" w:lineRule="auto"/>
        <w:ind w:firstLine="0" w:left="0"/>
        <w:jc w:val="left"/>
      </w:pPr>
      <w:r>
        <w:rPr>
          <w:rFonts w:ascii="Times New Roman" w:hAnsi="Times New Roman" w:eastAsia="Times New Roman" w:cs="Times New Roman"/>
          <w:b/>
          <w:i w:val="0"/>
          <w:sz w:val="24"/>
        </w:rPr>
        <w:t>The protocol is transductive.</w:t>
      </w:r>
      <w:r>
        <w:rPr>
          <w:rFonts w:ascii="Times New Roman" w:hAnsi="Times New Roman" w:eastAsia="Times New Roman" w:cs="Times New Roman"/>
          <w:b w:val="0"/>
          <w:i w:val="0"/>
          <w:sz w:val="24"/>
        </w:rPr>
        <w:t xml:space="preserve"> Both forms of the correction use the whole target session to estimate μB. That is legitimate under a protocol that allows unlabelled target data and is not available in a strictly inductive deployment. The running-mean experiment shows the limit: with the trials in a random order five trials suffice (0.7334 against 0.7365 on BCI-2b), while with the recorded order the same pipeline is exact on BCI-2b (0.7409) and clearly worse on the block-structured datasets (0.6724 against 0.7094 on SEED; 0.6781 against 0.7938 on grasp-and-lift). A running reference does not remove the need for a calibration block.</w:t>
      </w:r>
    </w:p>
    <w:p>
      <w:pPr>
        <w:spacing w:before="0" w:after="0" w:line="480" w:lineRule="auto"/>
        <w:ind w:firstLine="0" w:left="0"/>
        <w:jc w:val="left"/>
      </w:pPr>
      <w:r>
        <w:rPr>
          <w:rFonts w:ascii="Times New Roman" w:hAnsi="Times New Roman" w:eastAsia="Times New Roman" w:cs="Times New Roman"/>
          <w:b/>
          <w:i w:val="0"/>
          <w:sz w:val="24"/>
        </w:rPr>
        <w:t>The statistics are hierarchical.</w:t>
      </w:r>
      <w:r>
        <w:rPr>
          <w:rFonts w:ascii="Times New Roman" w:hAnsi="Times New Roman" w:eastAsia="Times New Roman" w:cs="Times New Roman"/>
          <w:b w:val="0"/>
          <w:i w:val="0"/>
          <w:sz w:val="24"/>
        </w:rPr>
        <w:t xml:space="preserve"> The 845 cells come from 76 subjects and 737 distinct session pairs; subject-level aggregation and the cluster bootstrap are used where they matter, and cell-level correlations are labelled descriptive. The dataset-level tests rest on five or six observations and have little power.</w:t>
      </w:r>
    </w:p>
    <w:p>
      <w:pPr>
        <w:keepNext/>
        <w:spacing w:before="360" w:after="120" w:line="240" w:lineRule="auto"/>
      </w:pPr>
      <w:r>
        <w:rPr>
          <w:rFonts w:ascii="Times New Roman" w:hAnsi="Times New Roman" w:eastAsia="Times New Roman" w:cs="Times New Roman"/>
          <w:b/>
          <w:i w:val="0"/>
          <w:sz w:val="24"/>
        </w:rPr>
        <w:t>7. Conclusion</w:t>
      </w:r>
    </w:p>
    <w:p>
      <w:pPr>
        <w:spacing w:before="0" w:after="0" w:line="480" w:lineRule="auto"/>
        <w:ind w:firstLine="0" w:left="0"/>
        <w:jc w:val="left"/>
      </w:pPr>
      <w:r>
        <w:rPr>
          <w:rFonts w:ascii="Times New Roman" w:hAnsi="Times New Roman" w:eastAsia="Times New Roman" w:cs="Times New Roman"/>
          <w:b w:val="0"/>
          <w:i w:val="0"/>
          <w:sz w:val="24"/>
        </w:rPr>
        <w:t>The two centrings are different operations. The two-sided form is invariant to the coordinate origin, the invariant family is wider than the sample mean, and two corrections leave every score difference unchanged exactly when their projections onto the centred weights agree. The failure of the one-sided form is a threshold displacement; its sign is set by the threshold error the training session already carries, and on six public datasets the resulting damage ranges from nothing on time-domain contrast features to a collapse to chance on log-power and differential-entropy features with a large free origin.</w:t>
      </w:r>
    </w:p>
    <w:p>
      <w:pPr>
        <w:spacing w:before="0" w:after="0" w:line="480" w:lineRule="auto"/>
        <w:ind w:firstLine="0" w:left="0"/>
        <w:jc w:val="left"/>
      </w:pPr>
      <w:r>
        <w:rPr>
          <w:rFonts w:ascii="Times New Roman" w:hAnsi="Times New Roman" w:eastAsia="Times New Roman" w:cs="Times New Roman"/>
          <w:b w:val="0"/>
          <w:i w:val="0"/>
          <w:sz w:val="24"/>
        </w:rPr>
        <w:t>What the audit adds to a textbook statement is a measured boundary. The correction is exact for its own component, it composes with second-order alignment, it can be transported to the decision space of a frozen model, and it restores neither the residual label-information gap nor a calibration that the wrong convention destroyed. A source-only statistic computed before the target session exists ranks feature families but does not screen sessions, and we report that as the open problem this audit leaves.</w:t>
      </w:r>
    </w:p>
    <w:p>
      <w:pPr>
        <w:keepNext/>
        <w:spacing w:before="360" w:after="120" w:line="240" w:lineRule="auto"/>
      </w:pPr>
      <w:r>
        <w:rPr>
          <w:rFonts w:ascii="Times New Roman" w:hAnsi="Times New Roman" w:eastAsia="Times New Roman" w:cs="Times New Roman"/>
          <w:b/>
          <w:i w:val="0"/>
          <w:sz w:val="24"/>
        </w:rPr>
        <w:t>CRediT authorship contribution statement</w:t>
      </w:r>
    </w:p>
    <w:p>
      <w:pPr>
        <w:spacing w:before="0" w:after="0" w:line="480" w:lineRule="auto"/>
        <w:ind w:firstLine="0" w:left="0"/>
        <w:jc w:val="left"/>
      </w:pPr>
      <w:r>
        <w:rPr>
          <w:rFonts w:ascii="Times New Roman" w:hAnsi="Times New Roman" w:eastAsia="Times New Roman" w:cs="Times New Roman"/>
          <w:b/>
          <w:i w:val="0"/>
          <w:sz w:val="24"/>
        </w:rPr>
        <w:t>Zihao Gong:</w:t>
      </w:r>
      <w:r>
        <w:rPr>
          <w:rFonts w:ascii="Times New Roman" w:hAnsi="Times New Roman" w:eastAsia="Times New Roman" w:cs="Times New Roman"/>
          <w:b w:val="0"/>
          <w:i w:val="0"/>
          <w:sz w:val="24"/>
        </w:rPr>
        <w:t xml:space="preserve"> Conceptualization, Methodology, Software, Formal analysis, Investigation, Writing – original draft, Visualization. </w:t>
      </w:r>
      <w:r>
        <w:rPr>
          <w:rFonts w:ascii="Times New Roman" w:hAnsi="Times New Roman" w:eastAsia="Times New Roman" w:cs="Times New Roman"/>
          <w:b/>
          <w:i w:val="0"/>
          <w:sz w:val="24"/>
        </w:rPr>
        <w:t>Jiran Li:</w:t>
      </w:r>
      <w:r>
        <w:rPr>
          <w:rFonts w:ascii="Times New Roman" w:hAnsi="Times New Roman" w:eastAsia="Times New Roman" w:cs="Times New Roman"/>
          <w:b w:val="0"/>
          <w:i w:val="0"/>
          <w:sz w:val="24"/>
        </w:rPr>
        <w:t xml:space="preserve"> Conceptualization, Methodology, Validation, Writing – review &amp; editing. </w:t>
      </w:r>
      <w:r>
        <w:rPr>
          <w:rFonts w:ascii="Times New Roman" w:hAnsi="Times New Roman" w:eastAsia="Times New Roman" w:cs="Times New Roman"/>
          <w:b/>
          <w:i w:val="0"/>
          <w:sz w:val="24"/>
        </w:rPr>
        <w:t>Ke Huo:</w:t>
      </w:r>
      <w:r>
        <w:rPr>
          <w:rFonts w:ascii="Times New Roman" w:hAnsi="Times New Roman" w:eastAsia="Times New Roman" w:cs="Times New Roman"/>
          <w:b w:val="0"/>
          <w:i w:val="0"/>
          <w:sz w:val="24"/>
        </w:rPr>
        <w:t xml:space="preserve"> Software, Data curation, Investigation. </w:t>
      </w:r>
      <w:r>
        <w:rPr>
          <w:rFonts w:ascii="Times New Roman" w:hAnsi="Times New Roman" w:eastAsia="Times New Roman" w:cs="Times New Roman"/>
          <w:b/>
          <w:i w:val="0"/>
          <w:sz w:val="24"/>
        </w:rPr>
        <w:t>Yubin Han:</w:t>
      </w:r>
      <w:r>
        <w:rPr>
          <w:rFonts w:ascii="Times New Roman" w:hAnsi="Times New Roman" w:eastAsia="Times New Roman" w:cs="Times New Roman"/>
          <w:b w:val="0"/>
          <w:i w:val="0"/>
          <w:sz w:val="24"/>
        </w:rPr>
        <w:t xml:space="preserve"> Formal analysis, Validation, Visualization. </w:t>
      </w:r>
      <w:r>
        <w:rPr>
          <w:rFonts w:ascii="Times New Roman" w:hAnsi="Times New Roman" w:eastAsia="Times New Roman" w:cs="Times New Roman"/>
          <w:b/>
          <w:i w:val="0"/>
          <w:sz w:val="24"/>
        </w:rPr>
        <w:t>Guangyu Shi:</w:t>
      </w:r>
      <w:r>
        <w:rPr>
          <w:rFonts w:ascii="Times New Roman" w:hAnsi="Times New Roman" w:eastAsia="Times New Roman" w:cs="Times New Roman"/>
          <w:b w:val="0"/>
          <w:i w:val="0"/>
          <w:sz w:val="24"/>
        </w:rPr>
        <w:t xml:space="preserve"> Data curation, Resources, Validation. </w:t>
      </w:r>
      <w:r>
        <w:rPr>
          <w:rFonts w:ascii="Times New Roman" w:hAnsi="Times New Roman" w:eastAsia="Times New Roman" w:cs="Times New Roman"/>
          <w:b/>
          <w:i w:val="0"/>
          <w:sz w:val="24"/>
        </w:rPr>
        <w:t>Yongqiang Xie:</w:t>
      </w:r>
      <w:r>
        <w:rPr>
          <w:rFonts w:ascii="Times New Roman" w:hAnsi="Times New Roman" w:eastAsia="Times New Roman" w:cs="Times New Roman"/>
          <w:b w:val="0"/>
          <w:i w:val="0"/>
          <w:sz w:val="24"/>
        </w:rPr>
        <w:t xml:space="preserve"> Conceptualization, Supervision, Writing – review &amp; editing, Project administration.</w:t>
      </w:r>
    </w:p>
    <w:p>
      <w:pPr>
        <w:keepNext/>
        <w:spacing w:before="360" w:after="120" w:line="240" w:lineRule="auto"/>
      </w:pPr>
      <w:r>
        <w:rPr>
          <w:rFonts w:ascii="Times New Roman" w:hAnsi="Times New Roman" w:eastAsia="Times New Roman" w:cs="Times New Roman"/>
          <w:b/>
          <w:i w:val="0"/>
          <w:sz w:val="24"/>
        </w:rPr>
        <w:t>Declaration of competing interest</w:t>
      </w:r>
    </w:p>
    <w:p>
      <w:pPr>
        <w:spacing w:before="0" w:after="0" w:line="480" w:lineRule="auto"/>
        <w:ind w:firstLine="0" w:left="0"/>
        <w:jc w:val="left"/>
      </w:pPr>
      <w:r>
        <w:rPr>
          <w:rFonts w:ascii="Times New Roman" w:hAnsi="Times New Roman" w:eastAsia="Times New Roman" w:cs="Times New Roman"/>
          <w:b w:val="0"/>
          <w:i w:val="0"/>
          <w:sz w:val="24"/>
        </w:rPr>
        <w:t>The authors declare that they have no known competing financial interests or personal relationships that could have appeared to influence the work reported in this paper.</w:t>
      </w:r>
    </w:p>
    <w:p>
      <w:pPr>
        <w:keepNext/>
        <w:spacing w:before="360" w:after="120" w:line="240" w:lineRule="auto"/>
      </w:pPr>
      <w:r>
        <w:rPr>
          <w:rFonts w:ascii="Times New Roman" w:hAnsi="Times New Roman" w:eastAsia="Times New Roman" w:cs="Times New Roman"/>
          <w:b/>
          <w:i w:val="0"/>
          <w:sz w:val="24"/>
        </w:rPr>
        <w:t>Data availability</w:t>
      </w:r>
    </w:p>
    <w:p>
      <w:pPr>
        <w:spacing w:before="0" w:after="0" w:line="480" w:lineRule="auto"/>
        <w:ind w:firstLine="0" w:left="0"/>
        <w:jc w:val="left"/>
      </w:pPr>
      <w:r>
        <w:rPr>
          <w:rFonts w:ascii="Times New Roman" w:hAnsi="Times New Roman" w:eastAsia="Times New Roman" w:cs="Times New Roman"/>
          <w:b w:val="0"/>
          <w:i w:val="0"/>
          <w:sz w:val="24"/>
        </w:rPr>
        <w:t>BCI Competition IV datasets 2a and 2b are available from the competition organisers. SEED and SEED-IV are available from the BCMI Laboratory, Shanghai Jiao Tong University, on request for academic use; the present study used the differential-entropy features distributed with those releases, unmodified. NER2015 and grasp-and-lift are Kaggle competition datasets and are publicly available. The analysis code, the feature-cache schema and the plain-text output of every number reported in this paper are archived at https://github.com/gzhgzy1234567890-lang/EEG-BSPC/tree/main/origin_equivariance, which is the version of record for the code.</w:t>
      </w:r>
    </w:p>
    <w:p>
      <w:pPr>
        <w:keepNext/>
        <w:spacing w:before="360" w:after="120" w:line="240" w:lineRule="auto"/>
      </w:pPr>
      <w:r>
        <w:rPr>
          <w:rFonts w:ascii="Times New Roman" w:hAnsi="Times New Roman" w:eastAsia="Times New Roman" w:cs="Times New Roman"/>
          <w:b/>
          <w:i w:val="0"/>
          <w:sz w:val="24"/>
        </w:rPr>
        <w:t>Acknowledgements</w:t>
      </w:r>
    </w:p>
    <w:p>
      <w:pPr>
        <w:spacing w:before="0" w:after="0" w:line="480" w:lineRule="auto"/>
        <w:ind w:firstLine="0" w:left="0"/>
        <w:jc w:val="left"/>
      </w:pPr>
      <w:r>
        <w:rPr>
          <w:rFonts w:ascii="Times New Roman" w:hAnsi="Times New Roman" w:eastAsia="Times New Roman" w:cs="Times New Roman"/>
          <w:b w:val="0"/>
          <w:i w:val="0"/>
          <w:sz w:val="24"/>
        </w:rPr>
        <w:t>This research did not receive any specific grant from funding agencies in the public, commercial, or not-for-profit sectors.</w:t>
      </w:r>
    </w:p>
    <w:p>
      <w:pPr>
        <w:keepNext/>
        <w:spacing w:before="360" w:after="120" w:line="240" w:lineRule="auto"/>
      </w:pPr>
      <w:r>
        <w:rPr>
          <w:rFonts w:ascii="Times New Roman" w:hAnsi="Times New Roman" w:eastAsia="Times New Roman" w:cs="Times New Roman"/>
          <w:b/>
          <w:i w:val="0"/>
          <w:sz w:val="24"/>
        </w:rPr>
        <w:t>References</w:t>
      </w:r>
    </w:p>
    <w:p>
      <w:pPr>
        <w:spacing w:before="0" w:after="80" w:line="360" w:lineRule="auto"/>
        <w:ind w:hanging="432" w:left="432"/>
        <w:jc w:val="left"/>
      </w:pPr>
      <w:r>
        <w:rPr>
          <w:rFonts w:ascii="Times New Roman" w:hAnsi="Times New Roman" w:eastAsia="Times New Roman" w:cs="Times New Roman"/>
          <w:b w:val="0"/>
          <w:i w:val="0"/>
          <w:sz w:val="22"/>
        </w:rPr>
        <w:t>[1] M. Krauledat, M. Tangermann, B. Blankertz, K.-R. Müller, Towards zero training for brain-computer interfacing, PLoS ONE 3 (2008) e2967.</w:t>
      </w:r>
    </w:p>
    <w:p>
      <w:pPr>
        <w:spacing w:before="0" w:after="80" w:line="360" w:lineRule="auto"/>
        <w:ind w:hanging="432" w:left="432"/>
        <w:jc w:val="left"/>
      </w:pPr>
      <w:r>
        <w:rPr>
          <w:rFonts w:ascii="Times New Roman" w:hAnsi="Times New Roman" w:eastAsia="Times New Roman" w:cs="Times New Roman"/>
          <w:b w:val="0"/>
          <w:i w:val="0"/>
          <w:sz w:val="22"/>
        </w:rPr>
        <w:t>[2] F. Lotte, Signal processing approaches to minimize or suppress calibration time in oscillatory activity-based brain-computer interfaces, Proc. IEEE 103 (2015) 871–890.</w:t>
      </w:r>
    </w:p>
    <w:p>
      <w:pPr>
        <w:spacing w:before="0" w:after="80" w:line="360" w:lineRule="auto"/>
        <w:ind w:hanging="432" w:left="432"/>
        <w:jc w:val="left"/>
      </w:pPr>
      <w:r>
        <w:rPr>
          <w:rFonts w:ascii="Times New Roman" w:hAnsi="Times New Roman" w:eastAsia="Times New Roman" w:cs="Times New Roman"/>
          <w:b w:val="0"/>
          <w:i w:val="0"/>
          <w:sz w:val="22"/>
        </w:rPr>
        <w:t>[3] C. Vidaurre, C. Sannelli, K.-R. Müller, B. Blankertz, Machine-learning-based coadaptive calibration for brain-computer interfaces, Neural Comput. 23 (2011) 791–816.</w:t>
      </w:r>
    </w:p>
    <w:p>
      <w:pPr>
        <w:spacing w:before="0" w:after="80" w:line="360" w:lineRule="auto"/>
        <w:ind w:hanging="432" w:left="432"/>
        <w:jc w:val="left"/>
      </w:pPr>
      <w:r>
        <w:rPr>
          <w:rFonts w:ascii="Times New Roman" w:hAnsi="Times New Roman" w:eastAsia="Times New Roman" w:cs="Times New Roman"/>
          <w:b w:val="0"/>
          <w:i w:val="0"/>
          <w:sz w:val="22"/>
        </w:rPr>
        <w:t>[4] R. Apicella, F. Isgrò, A. Pollastro, R. Prevete, On the effects of data normalisation on EEG-based BCI classification, IEEE Trans. Neural Syst. Rehabil. Eng. 31 (2023) 4591–4601.</w:t>
      </w:r>
    </w:p>
    <w:p>
      <w:pPr>
        <w:spacing w:before="0" w:after="80" w:line="360" w:lineRule="auto"/>
        <w:ind w:hanging="432" w:left="432"/>
        <w:jc w:val="left"/>
      </w:pPr>
      <w:r>
        <w:rPr>
          <w:rFonts w:ascii="Times New Roman" w:hAnsi="Times New Roman" w:eastAsia="Times New Roman" w:cs="Times New Roman"/>
          <w:b w:val="0"/>
          <w:i w:val="0"/>
          <w:sz w:val="22"/>
        </w:rPr>
        <w:t>[5] A. Barachant, S. Bonnet, M. Congedo, C. Jutten, Riemannian geometry for EEG-based brain-computer interfaces: a primer and a review, Brain-Comput. Interfaces 4 (2017) 155–174.</w:t>
      </w:r>
    </w:p>
    <w:p>
      <w:pPr>
        <w:spacing w:before="0" w:after="80" w:line="360" w:lineRule="auto"/>
        <w:ind w:hanging="432" w:left="432"/>
        <w:jc w:val="left"/>
      </w:pPr>
      <w:r>
        <w:rPr>
          <w:rFonts w:ascii="Times New Roman" w:hAnsi="Times New Roman" w:eastAsia="Times New Roman" w:cs="Times New Roman"/>
          <w:b w:val="0"/>
          <w:i w:val="0"/>
          <w:sz w:val="22"/>
        </w:rPr>
        <w:t>[6] H. He, D. Wu, Transfer learning for brain-computer interfaces: a Euclidean space data alignment approach, IEEE Trans. Biomed. Eng. 67 (2020) 399–410.</w:t>
      </w:r>
    </w:p>
    <w:p>
      <w:pPr>
        <w:spacing w:before="0" w:after="80" w:line="360" w:lineRule="auto"/>
        <w:ind w:hanging="432" w:left="432"/>
        <w:jc w:val="left"/>
      </w:pPr>
      <w:r>
        <w:rPr>
          <w:rFonts w:ascii="Times New Roman" w:hAnsi="Times New Roman" w:eastAsia="Times New Roman" w:cs="Times New Roman"/>
          <w:b w:val="0"/>
          <w:i w:val="0"/>
          <w:sz w:val="22"/>
        </w:rPr>
        <w:t>[7] F. Yger, M. Berar, F. Lotte, Riemannian approaches in brain-computer interfaces: a review, IEEE Trans. Neural Syst. Rehabil. Eng. 25 (2017) 1753–1762.</w:t>
      </w:r>
    </w:p>
    <w:p>
      <w:pPr>
        <w:spacing w:before="0" w:after="80" w:line="360" w:lineRule="auto"/>
        <w:ind w:hanging="432" w:left="432"/>
        <w:jc w:val="left"/>
      </w:pPr>
      <w:r>
        <w:rPr>
          <w:rFonts w:ascii="Times New Roman" w:hAnsi="Times New Roman" w:eastAsia="Times New Roman" w:cs="Times New Roman"/>
          <w:b w:val="0"/>
          <w:i w:val="0"/>
          <w:sz w:val="22"/>
        </w:rPr>
        <w:t>[8] P. Zanini, M. Congedo, C. Jutten, S. Said, Y. Berthoumieu, Transfer learning: a Riemannian geometry framework with applications to brain-computer interfaces, IEEE Trans. Biomed. Eng. 65 (2018) 1107–1116.</w:t>
      </w:r>
    </w:p>
    <w:p>
      <w:pPr>
        <w:spacing w:before="0" w:after="80" w:line="360" w:lineRule="auto"/>
        <w:ind w:hanging="432" w:left="432"/>
        <w:jc w:val="left"/>
      </w:pPr>
      <w:r>
        <w:rPr>
          <w:rFonts w:ascii="Times New Roman" w:hAnsi="Times New Roman" w:eastAsia="Times New Roman" w:cs="Times New Roman"/>
          <w:b w:val="0"/>
          <w:i w:val="0"/>
          <w:sz w:val="22"/>
        </w:rPr>
        <w:t>[9] W. Samek, K.-R. Müller, T. Kawanabe, M. Kawanabe, Brain-computer interfacing in discriminative and stationary subspaces, in: Proc. IEEE EMBS, 2012, pp. 2873–2876.</w:t>
      </w:r>
    </w:p>
    <w:p>
      <w:pPr>
        <w:spacing w:before="0" w:after="80" w:line="360" w:lineRule="auto"/>
        <w:ind w:hanging="432" w:left="432"/>
        <w:jc w:val="left"/>
      </w:pPr>
      <w:r>
        <w:rPr>
          <w:rFonts w:ascii="Times New Roman" w:hAnsi="Times New Roman" w:eastAsia="Times New Roman" w:cs="Times New Roman"/>
          <w:b w:val="0"/>
          <w:i w:val="0"/>
          <w:sz w:val="22"/>
        </w:rPr>
        <w:t>[10] B. Blankertz, M. Kawanabe, R. Tomioka, F. U. Hohlefeld, V. V. Nikulin, K.-R. Müller, Invariant common spatial patterns: alleviating nonstationarities in brain-computer interfacing, in: Adv. Neural Inf. Process. Syst. 20, 2008, pp. 113–120.</w:t>
      </w:r>
    </w:p>
    <w:p>
      <w:pPr>
        <w:spacing w:before="0" w:after="80" w:line="360" w:lineRule="auto"/>
        <w:ind w:hanging="432" w:left="432"/>
        <w:jc w:val="left"/>
      </w:pPr>
      <w:r>
        <w:rPr>
          <w:rFonts w:ascii="Times New Roman" w:hAnsi="Times New Roman" w:eastAsia="Times New Roman" w:cs="Times New Roman"/>
          <w:b w:val="0"/>
          <w:i w:val="0"/>
          <w:sz w:val="22"/>
        </w:rPr>
        <w:t>[11] O. Ledoit, M. Wolf, A well-conditioned estimator for large-dimensional covariance matrices, J. Multivar. Anal. 88 (2004) 365–411.</w:t>
      </w:r>
    </w:p>
    <w:p>
      <w:pPr>
        <w:spacing w:before="0" w:after="80" w:line="360" w:lineRule="auto"/>
        <w:ind w:hanging="432" w:left="432"/>
        <w:jc w:val="left"/>
      </w:pPr>
      <w:r>
        <w:rPr>
          <w:rFonts w:ascii="Times New Roman" w:hAnsi="Times New Roman" w:eastAsia="Times New Roman" w:cs="Times New Roman"/>
          <w:b w:val="0"/>
          <w:i w:val="0"/>
          <w:sz w:val="22"/>
        </w:rPr>
        <w:t>[12] M. Saerens, P. Latinne, C. Decaestecker, Adjusting the outputs of a classifier to new a priori probabilities: a simple procedure, Neural Comput. 14 (2002) 21–41.</w:t>
      </w:r>
    </w:p>
    <w:p>
      <w:pPr>
        <w:spacing w:before="0" w:after="80" w:line="360" w:lineRule="auto"/>
        <w:ind w:hanging="432" w:left="432"/>
        <w:jc w:val="left"/>
      </w:pPr>
      <w:r>
        <w:rPr>
          <w:rFonts w:ascii="Times New Roman" w:hAnsi="Times New Roman" w:eastAsia="Times New Roman" w:cs="Times New Roman"/>
          <w:b w:val="0"/>
          <w:i w:val="0"/>
          <w:sz w:val="22"/>
        </w:rPr>
        <w:t>[13] M. Tangermann, K.-R. Müller, A. Aertsen, et al., Review of the BCI competition IV, Front. Neurosci. 6 (2012) 55.</w:t>
      </w:r>
    </w:p>
    <w:p>
      <w:pPr>
        <w:spacing w:before="0" w:after="80" w:line="360" w:lineRule="auto"/>
        <w:ind w:hanging="432" w:left="432"/>
        <w:jc w:val="left"/>
      </w:pPr>
      <w:r>
        <w:rPr>
          <w:rFonts w:ascii="Times New Roman" w:hAnsi="Times New Roman" w:eastAsia="Times New Roman" w:cs="Times New Roman"/>
          <w:b w:val="0"/>
          <w:i w:val="0"/>
          <w:sz w:val="22"/>
        </w:rPr>
        <w:t>[14] W.-L. Zheng, B.-L. Lu, Investigating critical frequency bands and channels for EEG-based emotion recognition with deep neural networks, IEEE Trans. Auton. Ment. Dev. 7 (2015) 162–175.</w:t>
      </w:r>
    </w:p>
    <w:p>
      <w:pPr>
        <w:spacing w:before="0" w:after="80" w:line="360" w:lineRule="auto"/>
        <w:ind w:hanging="432" w:left="432"/>
        <w:jc w:val="left"/>
      </w:pPr>
      <w:r>
        <w:rPr>
          <w:rFonts w:ascii="Times New Roman" w:hAnsi="Times New Roman" w:eastAsia="Times New Roman" w:cs="Times New Roman"/>
          <w:b w:val="0"/>
          <w:i w:val="0"/>
          <w:sz w:val="22"/>
        </w:rPr>
        <w:t>[15] R.-N. Duan, J.-Y. Zhu, B.-L. Lu, Differential entropy feature for EEG-based emotion classification, in: Proc. 6th Int. IEEE/EMBS Conf. Neural Eng., 2013, pp. 81–84.</w:t>
      </w:r>
    </w:p>
    <w:p>
      <w:pPr>
        <w:spacing w:before="0" w:after="80" w:line="360" w:lineRule="auto"/>
        <w:ind w:hanging="432" w:left="432"/>
        <w:jc w:val="left"/>
      </w:pPr>
      <w:r>
        <w:rPr>
          <w:rFonts w:ascii="Times New Roman" w:hAnsi="Times New Roman" w:eastAsia="Times New Roman" w:cs="Times New Roman"/>
          <w:b w:val="0"/>
          <w:i w:val="0"/>
          <w:sz w:val="22"/>
        </w:rPr>
        <w:t>[16] M. Congedo, A. Barachant, A. Andreev, A Riemannian Gauss–Laplace distribution on the manifold of symmetric positive definite matrices, with application to anomaly detection and clustering, arXiv:2306.10543 (2023).</w:t>
      </w:r>
    </w:p>
    <w:p>
      <w:pPr>
        <w:spacing w:before="0" w:after="80" w:line="360" w:lineRule="auto"/>
        <w:ind w:hanging="432" w:left="432"/>
        <w:jc w:val="left"/>
      </w:pPr>
      <w:r>
        <w:rPr>
          <w:rFonts w:ascii="Times New Roman" w:hAnsi="Times New Roman" w:eastAsia="Times New Roman" w:cs="Times New Roman"/>
          <w:b w:val="0"/>
          <w:i w:val="0"/>
          <w:sz w:val="22"/>
        </w:rPr>
        <w:t>[17] F. Lotte, L. Bougrain, A. Cichocki, M. Clerc, M. Congedo, A. Rakotomamonjy, F. Yger, A review of classification algorithms for EEG-based brain-computer interfaces: a 10 year update, J. Neural Eng. 15 (2018) 031005.</w:t>
      </w:r>
    </w:p>
    <w:p>
      <w:pPr>
        <w:spacing w:before="0" w:after="80" w:line="360" w:lineRule="auto"/>
        <w:ind w:hanging="432" w:left="432"/>
        <w:jc w:val="left"/>
      </w:pPr>
      <w:r>
        <w:rPr>
          <w:rFonts w:ascii="Times New Roman" w:hAnsi="Times New Roman" w:eastAsia="Times New Roman" w:cs="Times New Roman"/>
          <w:b w:val="0"/>
          <w:i w:val="0"/>
          <w:sz w:val="22"/>
        </w:rPr>
        <w:t>[18] MOABB developers, Cross-session motor imagery example (CSP+LDA and Riemannian geometry + logistic regression, leave-one-session-out), NeuroTechX/moabb, 2024. https://github.com/NeuroTechX/moabb</w:t>
      </w:r>
    </w:p>
    <w:p>
      <w:pPr>
        <w:spacing w:before="0" w:after="80" w:line="360" w:lineRule="auto"/>
        <w:ind w:hanging="432" w:left="432"/>
        <w:jc w:val="left"/>
      </w:pPr>
      <w:r>
        <w:rPr>
          <w:rFonts w:ascii="Times New Roman" w:hAnsi="Times New Roman" w:eastAsia="Times New Roman" w:cs="Times New Roman"/>
          <w:b w:val="0"/>
          <w:i w:val="0"/>
          <w:sz w:val="22"/>
        </w:rPr>
        <w:t>[19] W.-L. Zheng, W. Liu, Y. Lu, B.-L. Lu, A. Cichocki, EmotionMeter: a multimodal framework for recognizing human emotions, IEEE Trans. Cybern. 49 (2019) 1110–1122.</w:t>
      </w:r>
    </w:p>
    <w:sectPr w:rsidR="00FC693F" w:rsidRPr="0006063C" w:rsidSect="00034616">
      <w:footerReference w:type="default" r:id="rId9"/>
      <w:pgSz w:w="11906" w:h="16838"/>
      <w:pgMar w:top="1417" w:right="1417" w:bottom="1417" w:left="1417"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