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Highlights</w:t>
      </w:r>
    </w:p>
    <w:p>
      <w:pPr>
        <w:pStyle w:val="ListBullet"/>
      </w:pPr>
      <w:r>
        <w:t>The equivariant family of mean corrections is stated; uniqueness is not claimed.</w:t>
      </w:r>
    </w:p>
    <w:p>
      <w:pPr>
        <w:pStyle w:val="ListBullet"/>
      </w:pPr>
      <w:r>
        <w:t>Score-difference equivalence follows from the centred classifier weights.</w:t>
      </w:r>
    </w:p>
    <w:p>
      <w:pPr>
        <w:pStyle w:val="ListBullet"/>
      </w:pPr>
      <w:r>
        <w:t>Only the origin's projection on the weights damages the decoder, not its norm.</w:t>
      </w:r>
    </w:p>
    <w:p>
      <w:pPr>
        <w:pStyle w:val="ListBullet"/>
      </w:pPr>
      <w:r>
        <w:t>A shrunk estimator cuts the worst-case loss from 0.115 to 0.024, not to zero.</w:t>
      </w:r>
    </w:p>
    <w:p>
      <w:pPr>
        <w:pStyle w:val="ListBullet"/>
      </w:pPr>
      <w:r>
        <w:t>A badly estimated mean can cost more than not correcting at all.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