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Invariance of mean correction in cross-session EEG decoding: verification, failure mechanism and boundaries</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A mean correction is the first step of almost every cross-session EEG pipeline, and two operations circulate under that name: centring both sessions, or centring one. We audit the choice. Equivariance: a correction is invariant to a change of the coordinate origin exactly when it translates by a translation-equivariant estimate of the target mean; that family is larger than the sample mean. Score-difference equivalence: two corrections leave every class-score difference unchanged exactly when their references differ by a vector whose projection onto the centred classifier weights vanishes. Performance: its failure is a threshold displacement whose sign is set by the threshold error the training session already carries. The study covers 845 cells from five datasets plus 90 from SEED-IV, used once as a held-out test. A controlled origin sweep leaves the equivariant pipelines unchanged by 0.000 in balanced accuracy and drives the one-sided form toward chance; an equal-norm direction control shows that only the component of the origin along the classifier weights matters. A Gaussian model of the displacement explains the sign of the change for mean-calibrated linear classifiers when its parameters are read from the target, and a source-only version of the same model does not beat the majority sign: it is a mechanism, not a predictor.84) but its cross-dataset association is rho = −0.77 (p = 0.10) and its held-out operating point has zero specificity. We report it as an open question, not as a screening tool.</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is a verification study of that choice rather than a proposal for a new decoder: it establishes which corrections are invariant, measures what the non-invariant one costs, and reports where the mechanism demonstrably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2.4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K-column matrix of scores on a sample, and P = I_K − 11'/K the projector that removes the class mean from a K-vector.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has an unpenalised intercept.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with an unpenalised intercept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A correction x ↦ x − γ(X) is equivariant, i.e. γ(X + c1) = γ(X) + c1 for every c, if and only if γ(X) = μ(X) + h(X − μ(X)) for some h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Pairwise margins and any ranking measure computed from the raw class scores are therefore unchanged.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SD[(P S)_{:,k}]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P S,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P S both numerator and scale are invariant, because P(W + 1a') = PW and P(S + a'x) = P S;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8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1c).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protocol in use is transductive.</w:t>
      </w:r>
      <w:r>
        <w:rPr>
          <w:rFonts w:ascii="Times New Roman" w:hAnsi="Times New Roman" w:eastAsia="Times New Roman" w:cs="Times New Roman"/>
          <w:b w:val="0"/>
          <w:i w:val="0"/>
          <w:sz w:val="24"/>
        </w:rPr>
        <w:t xml:space="preserve"> Centring the target on its own mean uses the whole session. A deployment does not have it. We therefore ran a strict prefix-calibration protocol: the first k trials of a session, in their recorded order or in a random order, are used to estimate the mean; the estimate is frozen; the remaining trials are classified with it and scored. Table 6 reports the result for LDA.</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Prefix calibration: balanced accuracy on the trials after a calibration prefix of k trials, averaged over cells and over five random orders (the k = 5 row of a random-order run and the recorded order give the same trend).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the whole-session correction.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batch</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k = 5</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k = 20</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k = 50</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k = 100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0.7375</w:t>
            </w:r>
          </w:p>
        </w:tc>
        <w:tc>
          <w:tcPr>
            <w:tcW w:type="dxa" w:w="1512"/>
          </w:tcPr>
          <w:p>
            <w:pPr>
              <w:spacing w:before="40" w:after="40" w:line="240" w:lineRule="auto"/>
              <w:jc w:val="center"/>
            </w:pPr>
            <w:r/>
            <w:r>
              <w:rPr>
                <w:rFonts w:ascii="Times New Roman" w:hAnsi="Times New Roman" w:eastAsia="Times New Roman" w:cs="Times New Roman"/>
                <w:b w:val="0"/>
                <w:i w:val="0"/>
                <w:sz w:val="18"/>
              </w:rPr>
              <w:t>0.7140</w:t>
            </w:r>
          </w:p>
        </w:tc>
        <w:tc>
          <w:tcPr>
            <w:tcW w:type="dxa" w:w="1512"/>
          </w:tcPr>
          <w:p>
            <w:pPr>
              <w:spacing w:before="40" w:after="40" w:line="240" w:lineRule="auto"/>
              <w:jc w:val="center"/>
            </w:pPr>
            <w:r/>
            <w:r>
              <w:rPr>
                <w:rFonts w:ascii="Times New Roman" w:hAnsi="Times New Roman" w:eastAsia="Times New Roman" w:cs="Times New Roman"/>
                <w:b w:val="0"/>
                <w:i w:val="0"/>
                <w:sz w:val="18"/>
              </w:rPr>
              <w:t>0.7316</w:t>
            </w:r>
          </w:p>
        </w:tc>
        <w:tc>
          <w:tcPr>
            <w:tcW w:type="dxa" w:w="1512"/>
          </w:tcPr>
          <w:p>
            <w:pPr>
              <w:spacing w:before="40" w:after="40" w:line="240" w:lineRule="auto"/>
              <w:jc w:val="center"/>
            </w:pPr>
            <w:r/>
            <w:r>
              <w:rPr>
                <w:rFonts w:ascii="Times New Roman" w:hAnsi="Times New Roman" w:eastAsia="Times New Roman" w:cs="Times New Roman"/>
                <w:b w:val="0"/>
                <w:i w:val="0"/>
                <w:sz w:val="18"/>
              </w:rPr>
              <w:t>0.7361</w:t>
            </w:r>
          </w:p>
        </w:tc>
        <w:tc>
          <w:tcPr>
            <w:tcW w:type="dxa" w:w="1512"/>
          </w:tcPr>
          <w:p>
            <w:pPr>
              <w:spacing w:before="40" w:after="40" w:line="240" w:lineRule="auto"/>
              <w:jc w:val="center"/>
            </w:pPr>
            <w:r/>
            <w:r>
              <w:rPr>
                <w:rFonts w:ascii="Times New Roman" w:hAnsi="Times New Roman" w:eastAsia="Times New Roman" w:cs="Times New Roman"/>
                <w:b w:val="0"/>
                <w:i w:val="0"/>
                <w:sz w:val="18"/>
              </w:rPr>
              <w:t>0.7510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0.6119</w:t>
            </w:r>
          </w:p>
        </w:tc>
        <w:tc>
          <w:tcPr>
            <w:tcW w:type="dxa" w:w="1512"/>
          </w:tcPr>
          <w:p>
            <w:pPr>
              <w:spacing w:before="40" w:after="40" w:line="240" w:lineRule="auto"/>
              <w:jc w:val="center"/>
            </w:pPr>
            <w:r/>
            <w:r>
              <w:rPr>
                <w:rFonts w:ascii="Times New Roman" w:hAnsi="Times New Roman" w:eastAsia="Times New Roman" w:cs="Times New Roman"/>
                <w:b w:val="0"/>
                <w:i w:val="0"/>
                <w:sz w:val="18"/>
              </w:rPr>
              <w:t>0.5485</w:t>
            </w:r>
          </w:p>
        </w:tc>
        <w:tc>
          <w:tcPr>
            <w:tcW w:type="dxa" w:w="1512"/>
          </w:tcPr>
          <w:p>
            <w:pPr>
              <w:spacing w:before="40" w:after="40" w:line="240" w:lineRule="auto"/>
              <w:jc w:val="center"/>
            </w:pPr>
            <w:r/>
            <w:r>
              <w:rPr>
                <w:rFonts w:ascii="Times New Roman" w:hAnsi="Times New Roman" w:eastAsia="Times New Roman" w:cs="Times New Roman"/>
                <w:b w:val="0"/>
                <w:i w:val="0"/>
                <w:sz w:val="18"/>
              </w:rPr>
              <w:t>0.5947</w:t>
            </w:r>
          </w:p>
        </w:tc>
        <w:tc>
          <w:tcPr>
            <w:tcW w:type="dxa" w:w="1512"/>
          </w:tcPr>
          <w:p>
            <w:pPr>
              <w:spacing w:before="40" w:after="40" w:line="240" w:lineRule="auto"/>
              <w:jc w:val="center"/>
            </w:pPr>
            <w:r/>
            <w:r>
              <w:rPr>
                <w:rFonts w:ascii="Times New Roman" w:hAnsi="Times New Roman" w:eastAsia="Times New Roman" w:cs="Times New Roman"/>
                <w:b w:val="0"/>
                <w:i w:val="0"/>
                <w:sz w:val="18"/>
              </w:rPr>
              <w:t>0.6041</w:t>
            </w:r>
          </w:p>
        </w:tc>
        <w:tc>
          <w:tcPr>
            <w:tcW w:type="dxa" w:w="1512"/>
          </w:tcPr>
          <w:p>
            <w:pPr>
              <w:spacing w:before="40" w:after="40" w:line="240" w:lineRule="auto"/>
              <w:jc w:val="center"/>
            </w:pPr>
            <w:r/>
            <w:r>
              <w:rPr>
                <w:rFonts w:ascii="Times New Roman" w:hAnsi="Times New Roman" w:eastAsia="Times New Roman" w:cs="Times New Roman"/>
                <w:b w:val="0"/>
                <w:i w:val="0"/>
                <w:sz w:val="18"/>
              </w:rPr>
              <w:t>0.6038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0.7815</w:t>
            </w:r>
          </w:p>
        </w:tc>
        <w:tc>
          <w:tcPr>
            <w:tcW w:type="dxa" w:w="1512"/>
          </w:tcPr>
          <w:p>
            <w:pPr>
              <w:spacing w:before="40" w:after="40" w:line="240" w:lineRule="auto"/>
              <w:jc w:val="center"/>
            </w:pPr>
            <w:r/>
            <w:r>
              <w:rPr>
                <w:rFonts w:ascii="Times New Roman" w:hAnsi="Times New Roman" w:eastAsia="Times New Roman" w:cs="Times New Roman"/>
                <w:b w:val="0"/>
                <w:i w:val="0"/>
                <w:sz w:val="18"/>
              </w:rPr>
              <w:t>0.7376</w:t>
            </w:r>
          </w:p>
        </w:tc>
        <w:tc>
          <w:tcPr>
            <w:tcW w:type="dxa" w:w="1512"/>
          </w:tcPr>
          <w:p>
            <w:pPr>
              <w:spacing w:before="40" w:after="40" w:line="240" w:lineRule="auto"/>
              <w:jc w:val="center"/>
            </w:pPr>
            <w:r/>
            <w:r>
              <w:rPr>
                <w:rFonts w:ascii="Times New Roman" w:hAnsi="Times New Roman" w:eastAsia="Times New Roman" w:cs="Times New Roman"/>
                <w:b w:val="0"/>
                <w:i w:val="0"/>
                <w:sz w:val="18"/>
              </w:rPr>
              <w:t>0.7539</w:t>
            </w:r>
          </w:p>
        </w:tc>
        <w:tc>
          <w:tcPr>
            <w:tcW w:type="dxa" w:w="1512"/>
          </w:tcPr>
          <w:p>
            <w:pPr>
              <w:spacing w:before="40" w:after="40" w:line="240" w:lineRule="auto"/>
              <w:jc w:val="center"/>
            </w:pPr>
            <w:r/>
            <w:r>
              <w:rPr>
                <w:rFonts w:ascii="Times New Roman" w:hAnsi="Times New Roman" w:eastAsia="Times New Roman" w:cs="Times New Roman"/>
                <w:b w:val="0"/>
                <w:i w:val="0"/>
                <w:sz w:val="18"/>
              </w:rPr>
              <w:t>0.7848</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0.5909</w:t>
            </w:r>
          </w:p>
        </w:tc>
        <w:tc>
          <w:tcPr>
            <w:tcW w:type="dxa" w:w="1512"/>
          </w:tcPr>
          <w:p>
            <w:pPr>
              <w:spacing w:before="40" w:after="40" w:line="240" w:lineRule="auto"/>
              <w:jc w:val="center"/>
            </w:pPr>
            <w:r/>
            <w:r>
              <w:rPr>
                <w:rFonts w:ascii="Times New Roman" w:hAnsi="Times New Roman" w:eastAsia="Times New Roman" w:cs="Times New Roman"/>
                <w:b w:val="0"/>
                <w:i w:val="0"/>
                <w:sz w:val="18"/>
              </w:rPr>
              <w:t>0.5852</w:t>
            </w:r>
          </w:p>
        </w:tc>
        <w:tc>
          <w:tcPr>
            <w:tcW w:type="dxa" w:w="1512"/>
          </w:tcPr>
          <w:p>
            <w:pPr>
              <w:spacing w:before="40" w:after="40" w:line="240" w:lineRule="auto"/>
              <w:jc w:val="center"/>
            </w:pPr>
            <w:r/>
            <w:r>
              <w:rPr>
                <w:rFonts w:ascii="Times New Roman" w:hAnsi="Times New Roman" w:eastAsia="Times New Roman" w:cs="Times New Roman"/>
                <w:b w:val="0"/>
                <w:i w:val="0"/>
                <w:sz w:val="18"/>
              </w:rPr>
              <w:t>0.5885</w:t>
            </w:r>
          </w:p>
        </w:tc>
        <w:tc>
          <w:tcPr>
            <w:tcW w:type="dxa" w:w="1512"/>
          </w:tcPr>
          <w:p>
            <w:pPr>
              <w:spacing w:before="40" w:after="40" w:line="240" w:lineRule="auto"/>
              <w:jc w:val="center"/>
            </w:pPr>
            <w:r/>
            <w:r>
              <w:rPr>
                <w:rFonts w:ascii="Times New Roman" w:hAnsi="Times New Roman" w:eastAsia="Times New Roman" w:cs="Times New Roman"/>
                <w:b w:val="0"/>
                <w:i w:val="0"/>
                <w:sz w:val="18"/>
              </w:rPr>
              <w:t>0.5692</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Twenty trials of calibration recover most of the batch correction on BCI-2b (0.732 against 0.738), BCI-2a (0.595 against 0.612) and grasp-and-lift (0.754 against 0.782), and fifty trials recover it on the first two and on grasp-and-lift; NER2015, whose one-sided penalty is zero, does not move. The transductive result is therefore an upper bound that a prefix of 20 to 50 trials approaches, and the number is the quantity a laboratory would need before choosing the correction.</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the same z_T to within one unit in the second decimal,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0.22</w:t>
            </w:r>
          </w:p>
        </w:tc>
        <w:tc>
          <w:tcPr>
            <w:tcW w:type="dxa" w:w="1296"/>
          </w:tcPr>
          <w:p>
            <w:pPr>
              <w:spacing w:before="40" w:after="40" w:line="240" w:lineRule="auto"/>
              <w:jc w:val="center"/>
            </w:pPr>
            <w:r/>
            <w:r>
              <w:rPr>
                <w:rFonts w:ascii="Times New Roman" w:hAnsi="Times New Roman" w:eastAsia="Times New Roman" w:cs="Times New Roman"/>
                <w:b w:val="0"/>
                <w:i w:val="0"/>
                <w:sz w:val="18"/>
              </w:rPr>
              <w:t>0.068</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c>
          <w:tcPr>
            <w:tcW w:type="dxa" w:w="1296"/>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time mean</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c>
          <w:tcPr>
            <w:tcW w:type="dxa" w:w="1296"/>
          </w:tcPr>
          <w:p>
            <w:pPr>
              <w:spacing w:before="40" w:after="40" w:line="240" w:lineRule="auto"/>
              <w:jc w:val="center"/>
            </w:pPr>
            <w:r/>
            <w:r>
              <w:rPr>
                <w:rFonts w:ascii="Times New Roman" w:hAnsi="Times New Roman" w:eastAsia="Times New Roman" w:cs="Times New Roman"/>
                <w:b w:val="0"/>
                <w:i w:val="0"/>
                <w:sz w:val="18"/>
              </w:rPr>
              <w:t>0.230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log power</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c>
          <w:tcPr>
            <w:tcW w:type="dxa" w:w="1296"/>
          </w:tcPr>
          <w:p>
            <w:pPr>
              <w:spacing w:before="40" w:after="40" w:line="240" w:lineRule="auto"/>
              <w:jc w:val="center"/>
            </w:pPr>
            <w:r/>
            <w:r>
              <w:rPr>
                <w:rFonts w:ascii="Times New Roman" w:hAnsi="Times New Roman" w:eastAsia="Times New Roman" w:cs="Times New Roman"/>
                <w:b w:val="0"/>
                <w:i w:val="0"/>
                <w:sz w:val="18"/>
              </w:rPr>
              <w:t>0.289</w:t>
            </w:r>
          </w:p>
        </w:tc>
        <w:tc>
          <w:tcPr>
            <w:tcW w:type="dxa" w:w="1296"/>
          </w:tcPr>
          <w:p>
            <w:pPr>
              <w:spacing w:before="40" w:after="40" w:line="240" w:lineRule="auto"/>
              <w:jc w:val="center"/>
            </w:pPr>
            <w:r/>
            <w:r>
              <w:rPr>
                <w:rFonts w:ascii="Times New Roman" w:hAnsi="Times New Roman" w:eastAsia="Times New Roman" w:cs="Times New Roman"/>
                <w:b w:val="0"/>
                <w:i w:val="0"/>
                <w:sz w:val="18"/>
              </w:rPr>
              <w:t>−0.015</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0.40</w:t>
            </w:r>
          </w:p>
        </w:tc>
        <w:tc>
          <w:tcPr>
            <w:tcW w:type="dxa" w:w="1296"/>
          </w:tcPr>
          <w:p>
            <w:pPr>
              <w:spacing w:before="40" w:after="40" w:line="240" w:lineRule="auto"/>
              <w:jc w:val="center"/>
            </w:pPr>
            <w:r/>
            <w:r>
              <w:rPr>
                <w:rFonts w:ascii="Times New Roman" w:hAnsi="Times New Roman" w:eastAsia="Times New Roman" w:cs="Times New Roman"/>
                <w:b w:val="0"/>
                <w:i w:val="0"/>
                <w:sz w:val="18"/>
              </w:rPr>
              <w:t>0.287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tan</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0.37</w:t>
            </w:r>
          </w:p>
        </w:tc>
        <w:tc>
          <w:tcPr>
            <w:tcW w:type="dxa" w:w="1296"/>
          </w:tcPr>
          <w:p>
            <w:pPr>
              <w:spacing w:before="40" w:after="40" w:line="240" w:lineRule="auto"/>
              <w:jc w:val="center"/>
            </w:pPr>
            <w:r/>
            <w:r>
              <w:rPr>
                <w:rFonts w:ascii="Times New Roman" w:hAnsi="Times New Roman" w:eastAsia="Times New Roman" w:cs="Times New Roman"/>
                <w:b w:val="0"/>
                <w:i w:val="0"/>
                <w:sz w:val="18"/>
              </w:rPr>
              <w:t>0.309</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euc_ea</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0.64</w:t>
            </w:r>
          </w:p>
        </w:tc>
        <w:tc>
          <w:tcPr>
            <w:tcW w:type="dxa" w:w="1296"/>
          </w:tcPr>
          <w:p>
            <w:pPr>
              <w:spacing w:before="40" w:after="40" w:line="240" w:lineRule="auto"/>
              <w:jc w:val="center"/>
            </w:pPr>
            <w:r/>
            <w:r>
              <w:rPr>
                <w:rFonts w:ascii="Times New Roman" w:hAnsi="Times New Roman" w:eastAsia="Times New Roman" w:cs="Times New Roman"/>
                <w:b w:val="0"/>
                <w:i w:val="0"/>
                <w:sz w:val="18"/>
              </w:rPr>
              <w:t>0.597</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7.87</w:t>
            </w:r>
          </w:p>
        </w:tc>
        <w:tc>
          <w:tcPr>
            <w:tcW w:type="dxa" w:w="1296"/>
          </w:tcPr>
          <w:p>
            <w:pPr>
              <w:spacing w:before="40" w:after="40" w:line="240" w:lineRule="auto"/>
              <w:jc w:val="center"/>
            </w:pPr>
            <w:r/>
            <w:r>
              <w:rPr>
                <w:rFonts w:ascii="Times New Roman" w:hAnsi="Times New Roman" w:eastAsia="Times New Roman" w:cs="Times New Roman"/>
                <w:b w:val="0"/>
                <w:i w:val="0"/>
                <w:sz w:val="18"/>
              </w:rPr>
              <w:t>4.399</w:t>
            </w:r>
          </w:p>
        </w:tc>
        <w:tc>
          <w:tcPr>
            <w:tcW w:type="dxa" w:w="1296"/>
          </w:tcPr>
          <w:p>
            <w:pPr>
              <w:spacing w:before="40" w:after="40" w:line="240" w:lineRule="auto"/>
              <w:jc w:val="center"/>
            </w:pPr>
            <w:r/>
            <w:r>
              <w:rPr>
                <w:rFonts w:ascii="Times New Roman" w:hAnsi="Times New Roman" w:eastAsia="Times New Roman" w:cs="Times New Roman"/>
                <w:b w:val="0"/>
                <w:i w:val="0"/>
                <w:sz w:val="18"/>
              </w:rPr>
              <w:t>−0.184</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tan</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21.2</w:t>
            </w:r>
          </w:p>
        </w:tc>
        <w:tc>
          <w:tcPr>
            <w:tcW w:type="dxa" w:w="1296"/>
          </w:tcPr>
          <w:p>
            <w:pPr>
              <w:spacing w:before="40" w:after="40" w:line="240" w:lineRule="auto"/>
              <w:jc w:val="center"/>
            </w:pPr>
            <w:r/>
            <w:r>
              <w:rPr>
                <w:rFonts w:ascii="Times New Roman" w:hAnsi="Times New Roman" w:eastAsia="Times New Roman" w:cs="Times New Roman"/>
                <w:b w:val="0"/>
                <w:i w:val="0"/>
                <w:sz w:val="18"/>
              </w:rPr>
              <w:t>5.117</w:t>
            </w:r>
          </w:p>
        </w:tc>
        <w:tc>
          <w:tcPr>
            <w:tcW w:type="dxa" w:w="1296"/>
          </w:tcPr>
          <w:p>
            <w:pPr>
              <w:spacing w:before="40" w:after="40" w:line="240" w:lineRule="auto"/>
              <w:jc w:val="center"/>
            </w:pPr>
            <w:r/>
            <w:r>
              <w:rPr>
                <w:rFonts w:ascii="Times New Roman" w:hAnsi="Times New Roman" w:eastAsia="Times New Roman" w:cs="Times New Roman"/>
                <w:b w:val="0"/>
                <w:i w:val="0"/>
                <w:sz w:val="18"/>
              </w:rPr>
              <w:t>−0.160</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euc_ea</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14.2</w:t>
            </w:r>
          </w:p>
        </w:tc>
        <w:tc>
          <w:tcPr>
            <w:tcW w:type="dxa" w:w="1296"/>
          </w:tcPr>
          <w:p>
            <w:pPr>
              <w:spacing w:before="40" w:after="40" w:line="240" w:lineRule="auto"/>
              <w:jc w:val="center"/>
            </w:pPr>
            <w:r/>
            <w:r>
              <w:rPr>
                <w:rFonts w:ascii="Times New Roman" w:hAnsi="Times New Roman" w:eastAsia="Times New Roman" w:cs="Times New Roman"/>
                <w:b w:val="0"/>
                <w:i w:val="0"/>
                <w:sz w:val="18"/>
              </w:rPr>
              <w:t>5.405</w:t>
            </w:r>
          </w:p>
        </w:tc>
        <w:tc>
          <w:tcPr>
            <w:tcW w:type="dxa" w:w="1296"/>
          </w:tcPr>
          <w:p>
            <w:pPr>
              <w:spacing w:before="40" w:after="40" w:line="240" w:lineRule="auto"/>
              <w:jc w:val="center"/>
            </w:pPr>
            <w:r/>
            <w:r>
              <w:rPr>
                <w:rFonts w:ascii="Times New Roman" w:hAnsi="Times New Roman" w:eastAsia="Times New Roman" w:cs="Times New Roman"/>
                <w:b w:val="0"/>
                <w:i w:val="0"/>
                <w:sz w:val="18"/>
              </w:rPr>
              <w:t>−0.137</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c>
          <w:tcPr>
            <w:tcW w:type="dxa" w:w="1296"/>
          </w:tcPr>
          <w:p>
            <w:pPr>
              <w:spacing w:before="40" w:after="40" w:line="240" w:lineRule="auto"/>
              <w:jc w:val="center"/>
            </w:pPr>
            <w:r/>
            <w:r>
              <w:rPr>
                <w:rFonts w:ascii="Times New Roman" w:hAnsi="Times New Roman" w:eastAsia="Times New Roman" w:cs="Times New Roman"/>
                <w:b w:val="0"/>
                <w:i w:val="0"/>
                <w:sz w:val="18"/>
              </w:rPr>
              <w:t>12.36</w:t>
            </w:r>
          </w:p>
        </w:tc>
        <w:tc>
          <w:tcPr>
            <w:tcW w:type="dxa" w:w="1296"/>
          </w:tcPr>
          <w:p>
            <w:pPr>
              <w:spacing w:before="40" w:after="40" w:line="240" w:lineRule="auto"/>
              <w:jc w:val="center"/>
            </w:pPr>
            <w:r/>
            <w:r>
              <w:rPr>
                <w:rFonts w:ascii="Times New Roman" w:hAnsi="Times New Roman" w:eastAsia="Times New Roman" w:cs="Times New Roman"/>
                <w:b w:val="0"/>
                <w:i w:val="0"/>
                <w:sz w:val="18"/>
              </w:rPr>
              <w:t>−0.029</w:t>
            </w:r>
          </w:p>
        </w:tc>
        <w:tc>
          <w:tcPr>
            <w:tcW w:type="dxa" w:w="1296"/>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57.1</w:t>
            </w:r>
          </w:p>
        </w:tc>
        <w:tc>
          <w:tcPr>
            <w:tcW w:type="dxa" w:w="1296"/>
          </w:tcPr>
          <w:p>
            <w:pPr>
              <w:spacing w:before="40" w:after="40" w:line="240" w:lineRule="auto"/>
              <w:jc w:val="center"/>
            </w:pPr>
            <w:r/>
            <w:r>
              <w:rPr>
                <w:rFonts w:ascii="Times New Roman" w:hAnsi="Times New Roman" w:eastAsia="Times New Roman" w:cs="Times New Roman"/>
                <w:b w:val="0"/>
                <w:i w:val="0"/>
                <w:sz w:val="18"/>
              </w:rPr>
              <w:t>23.31</w:t>
            </w:r>
          </w:p>
        </w:tc>
        <w:tc>
          <w:tcPr>
            <w:tcW w:type="dxa" w:w="1296"/>
          </w:tcPr>
          <w:p>
            <w:pPr>
              <w:spacing w:before="40" w:after="40" w:line="240" w:lineRule="auto"/>
              <w:jc w:val="center"/>
            </w:pPr>
            <w:r/>
            <w:r>
              <w:rPr>
                <w:rFonts w:ascii="Times New Roman" w:hAnsi="Times New Roman" w:eastAsia="Times New Roman" w:cs="Times New Roman"/>
                <w:b w:val="0"/>
                <w:i w:val="0"/>
                <w:sz w:val="18"/>
              </w:rPr>
              <w:t>−0.186</w:t>
            </w:r>
          </w:p>
        </w:tc>
        <w:tc>
          <w:tcPr>
            <w:tcW w:type="dxa" w:w="1296"/>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We therefore treat Equation (4) as a mechanism with a measured range of validity, not as a predictive law.</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xml:space="preserve"> and is placed next to the median only as a summary of the spread.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After the correction a residual gap to the within-session reference remains (a gap to that reference, not a decomposition of it: the reference differs from the cross-session model in training-set size and in protocol, so the difference is an upper bound on what any label-free correction could recover, not an identified label-information term):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wraps scikit-learn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then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the label-information gap of Section 2.4, and reporting the two separately prevents a corrected pipeline from being credited with the whole gap.</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running-mean experiment shows the limit: with the trials in a random order five trials suffice (0.7334 against 0.7365 on BCI-2b), while with the recorded order the same pipeline is exact on BCI-2b (0.7409) and clearly worse on the block-structured datasets (0.6724 against 0.7094 on SEED; 0.6781 against 0.7938 on grasp-and-lift). A running reference does not remove the need for a calibration block.</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76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on six public datasets the resulting damage ranges from nothing on time-domain contrast features to a collapse to chance on log-power and differential-entropy features with a large free origin.</w:t>
      </w:r>
    </w:p>
    <w:p>
      <w:pPr>
        <w:spacing w:before="0" w:after="0" w:line="480" w:lineRule="auto"/>
        <w:ind w:firstLine="0" w:left="0"/>
        <w:jc w:val="left"/>
      </w:pPr>
      <w:r>
        <w:rPr>
          <w:rFonts w:ascii="Times New Roman" w:hAnsi="Times New Roman" w:eastAsia="Times New Roman" w:cs="Times New Roman"/>
          <w:b w:val="0"/>
          <w:i w:val="0"/>
          <w:sz w:val="24"/>
        </w:rPr>
        <w:t>What the verification adds to a textbook statement is a measured boundary. The correction is exact for its own component, it composes with second-order alignment, it can be transported to the decision space of a frozen model, and it restores neither the residual label-information gap nor a calibration that the wrong convention destroyed. A source-only statistic computed before the target session exists ranks feature families but does not screen sessions, and we report that as the open problem this audit leaves.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ef99716ec2),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normalisation on EEG-based BCI classification, IEEE Trans. Neural Syst. Rehabil. Eng. 31 (2023) 4591–4601.</w:t>
      </w:r>
    </w:p>
    <w:p>
      <w:pPr>
        <w:spacing w:before="0" w:after="80" w:line="360" w:lineRule="auto"/>
        <w:ind w:hanging="432" w:left="432"/>
        <w:jc w:val="left"/>
      </w:pPr>
      <w:r>
        <w:rPr>
          <w:rFonts w:ascii="Times New Roman" w:hAnsi="Times New Roman" w:eastAsia="Times New Roman" w:cs="Times New Roman"/>
          <w:b w:val="0"/>
          <w:i w:val="0"/>
          <w:sz w:val="22"/>
        </w:rPr>
        <w:t>[5] A. Barachant, S. Bonnet, M. Congedo, C. Jutten,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T. Kawanabe, M. Kawanabe,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