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Failure regimes of causal mean correction in cross-session EEG decoding</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 xml:space="preserve">Removing a session mean is the first step of almost every cross-session EEG pipeline, and in deployment the mean has to be estimated from the trials that have already arrived. We ask why the same correction helps on one benchmark and hurts on another. Three layers of evidence are separated. The theory says which shifts can matter at all: a correction is origin-equivariant exactly when it translates by a translation-equivariant estimate of the target mean, and only the projection of the displacement onto the centred classifier weights can change any score difference. On 845 cells from five development datasets plus 90 held-out cells from SEED-IV, under one strictly causal protocol, the </w:t>
      </w:r>
      <w:r>
        <w:rPr>
          <w:rFonts w:ascii="Times New Roman" w:hAnsi="Times New Roman" w:eastAsia="Times New Roman" w:cs="Times New Roman"/>
          <w:b w:val="0"/>
          <w:i/>
          <w:sz w:val="24"/>
        </w:rPr>
        <w:t>strength</w:t>
      </w:r>
      <w:r>
        <w:rPr>
          <w:rFonts w:ascii="Times New Roman" w:hAnsi="Times New Roman" w:eastAsia="Times New Roman" w:cs="Times New Roman"/>
          <w:b w:val="0"/>
          <w:i w:val="0"/>
          <w:sz w:val="24"/>
        </w:rPr>
        <w:t xml:space="preserve"> of the correction sets the sign: grasp-and-lift falls from 0.773 to 0.665 (change −0.108 [−0.131, −0.083], negative in 12 of 12 subjects) while SEED rises from 0.459 to 0.674 (+0.214 [+0.167, +0.260], negative in 0 of 15); the BCI datasets rise slightly and NER2015 is flat. The estimator matters much less than the strength it produces. The temporal structure of the measured displacement covaries with that loss: a linear ramp explains 80 per cent of the variance of the grasp-and-lift block means against 25 per cent expected from block order alone, and the excess correlates with the loss across subjects (rho = 0.78, p = 0.003; 0.71 with the four equal blocks; 0.73 to 0.86 leaving one subject out), weakly within the other datasets and only 0.43 when they are pooled and centred. Controlled simulations separate constant offset, drift, step change and class-prior change, and reproduce the pattern without any estimator dominating; they are mechanistic hypotheses, not identified causes of the shifts in these recordings.</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Two different operations are called by the same name: centring both sessions on their own means, or centring one. The first is consistent with the model that is fitted; the second shifts every score by a constant that the model never saw.</w:t>
      </w:r>
    </w:p>
    <w:p>
      <w:pPr>
        <w:spacing w:before="0" w:after="0" w:line="480" w:lineRule="auto"/>
        <w:ind w:firstLine="0" w:left="0"/>
        <w:jc w:val="left"/>
      </w:pPr>
      <w:r>
        <w:rPr>
          <w:rFonts w:ascii="Times New Roman" w:hAnsi="Times New Roman" w:eastAsia="Times New Roman" w:cs="Times New Roman"/>
          <w:b w:val="0"/>
          <w:i w:val="0"/>
          <w:sz w:val="24"/>
        </w:rPr>
        <w:t>It is natural to read the second one as a bug to be avoided and the first as the fix, and the literature mostly does. This paper started from that reading and ended somewhere else. On a feedback-error dataset the correction recovers 0.22 of balanced accuracy; on a movement dataset recorded within one session it loses 0.11; on two motor-imagery datasets it is worth about 0.03; on a time-domain contrast dataset it is worth nothing. The sign of the effect is not a property of the correction, and it is not a property of how accurately the target mean is estimated: the estimators we compare track the same quantity and differ far less from each other than the effect they produce. What differs across the datasets is how the target mean moves during the session, and what differs across models is whether that movement reaches the decision at all.</w:t>
      </w:r>
    </w:p>
    <w:p>
      <w:pPr>
        <w:spacing w:before="0" w:after="0" w:line="480" w:lineRule="auto"/>
        <w:ind w:firstLine="0" w:left="0"/>
        <w:jc w:val="left"/>
      </w:pPr>
      <w:r>
        <w:rPr>
          <w:rFonts w:ascii="Times New Roman" w:hAnsi="Times New Roman" w:eastAsia="Times New Roman" w:cs="Times New Roman"/>
          <w:b w:val="0"/>
          <w:i w:val="0"/>
          <w:sz w:val="24"/>
        </w:rPr>
        <w:t>The paper is organised around three statements, each supported by a different kind of evidence.</w:t>
      </w:r>
    </w:p>
    <w:p>
      <w:pPr>
        <w:spacing w:before="0" w:after="0" w:line="480" w:lineRule="auto"/>
        <w:ind w:firstLine="0" w:left="0"/>
        <w:jc w:val="left"/>
      </w:pPr>
      <w:r>
        <w:rPr>
          <w:rFonts w:ascii="Times New Roman" w:hAnsi="Times New Roman" w:eastAsia="Times New Roman" w:cs="Times New Roman"/>
          <w:b/>
          <w:i w:val="0"/>
          <w:sz w:val="24"/>
        </w:rPr>
        <w:t>Decision geometry.</w:t>
      </w:r>
      <w:r>
        <w:rPr>
          <w:rFonts w:ascii="Times New Roman" w:hAnsi="Times New Roman" w:eastAsia="Times New Roman" w:cs="Times New Roman"/>
          <w:b w:val="0"/>
          <w:i w:val="0"/>
          <w:sz w:val="24"/>
        </w:rPr>
        <w:t xml:space="preserve"> A shift of the feature origin changes decisions only through its projection onto the classifier weights, and it changes nothing at all if the projection is class-constant. This is a statement about affine decision functions (Propositions 1–4) and it is checked rather than asserted: an origin injected orthogonally to the discriminant leaves every prediction unchanged while a norm-based statistic of the same origin is blind to the difference (Section 4.3), and a correction built on the raw feature mean and one built on the projected mean give identical predictions to machine precision.</w:t>
      </w:r>
    </w:p>
    <w:p>
      <w:pPr>
        <w:spacing w:before="0" w:after="0" w:line="480" w:lineRule="auto"/>
        <w:ind w:firstLine="0" w:left="0"/>
        <w:jc w:val="left"/>
      </w:pPr>
      <w:r>
        <w:rPr>
          <w:rFonts w:ascii="Times New Roman" w:hAnsi="Times New Roman" w:eastAsia="Times New Roman" w:cs="Times New Roman"/>
          <w:b/>
          <w:i w:val="0"/>
          <w:sz w:val="24"/>
        </w:rPr>
        <w:t>Correction strength.</w:t>
      </w:r>
      <w:r>
        <w:rPr>
          <w:rFonts w:ascii="Times New Roman" w:hAnsi="Times New Roman" w:eastAsia="Times New Roman" w:cs="Times New Roman"/>
          <w:b w:val="0"/>
          <w:i w:val="0"/>
          <w:sz w:val="24"/>
        </w:rPr>
        <w:t xml:space="preserve"> Given that a shift does reach the decision, how much of it to remove is a separate question, and it dominates the choice of estimator. Sweeping a single weight from 0 to 1 — every method correcting by the same displacement — moves grasp-and-lift down by 0.108 and SEED up by 0.214, with every subject of each benchmark on the same side of zero (Section 4.13). The estimators compared in Section 4.2 differ by at most a few hundredths on the same data. It is therefore the </w:t>
      </w:r>
      <w:r>
        <w:rPr>
          <w:rFonts w:ascii="Times New Roman" w:hAnsi="Times New Roman" w:eastAsia="Times New Roman" w:cs="Times New Roman"/>
          <w:b w:val="0"/>
          <w:i/>
          <w:sz w:val="24"/>
        </w:rPr>
        <w:t>strength</w:t>
      </w:r>
      <w:r>
        <w:rPr>
          <w:rFonts w:ascii="Times New Roman" w:hAnsi="Times New Roman" w:eastAsia="Times New Roman" w:cs="Times New Roman"/>
          <w:b w:val="0"/>
          <w:i w:val="0"/>
          <w:sz w:val="24"/>
        </w:rPr>
        <w:t xml:space="preserve"> of the correction, not the rule that computes it, that decides whether a deployment gains or loses.</w:t>
      </w:r>
    </w:p>
    <w:p>
      <w:pPr>
        <w:spacing w:before="0" w:after="0" w:line="480" w:lineRule="auto"/>
        <w:ind w:firstLine="0" w:left="0"/>
        <w:jc w:val="left"/>
      </w:pPr>
      <w:r>
        <w:rPr>
          <w:rFonts w:ascii="Times New Roman" w:hAnsi="Times New Roman" w:eastAsia="Times New Roman" w:cs="Times New Roman"/>
          <w:b/>
          <w:i w:val="0"/>
          <w:sz w:val="24"/>
        </w:rPr>
        <w:t>Temporal structure.</w:t>
      </w:r>
      <w:r>
        <w:rPr>
          <w:rFonts w:ascii="Times New Roman" w:hAnsi="Times New Roman" w:eastAsia="Times New Roman" w:cs="Times New Roman"/>
          <w:b w:val="0"/>
          <w:i w:val="0"/>
          <w:sz w:val="24"/>
        </w:rPr>
        <w:t xml:space="preserve"> If the right strength is a property of the recording, it should be visible in how the recording moves. It is, at least for the benchmark where the effect is largest: the share of the variance of the grasp-and-lift block displacements that a linear ramp explains is 0.80 against 0.25 expected from block order alone, and that excess correlates with the correction loss across the twelve subjects (rho = 0.776, Section 4.14). The relation is weak or absent in the other datasets, and it is an association, not an identification of what moved the mean.</w:t>
      </w:r>
    </w:p>
    <w:p>
      <w:pPr>
        <w:spacing w:before="0" w:after="0" w:line="480" w:lineRule="auto"/>
        <w:ind w:firstLine="0" w:left="0"/>
        <w:jc w:val="left"/>
      </w:pPr>
      <w:r>
        <w:rPr>
          <w:rFonts w:ascii="Times New Roman" w:hAnsi="Times New Roman" w:eastAsia="Times New Roman" w:cs="Times New Roman"/>
          <w:b w:val="0"/>
          <w:i w:val="0"/>
          <w:sz w:val="24"/>
        </w:rPr>
        <w:t>Two further results bound the claims. First, the one-sided form is not merely inconsistent, it is damaging in a way that can be predicted from the threshold the training session already carries (Theorem 1), and the size of the damage is an order of magnitude larger than the differences between good estimators. Second, a source-level statistic computed before the target session exists orders feature families but does not screen sessions, and four threshold-based decision rules we tried fail (Sections 4.4 and 4.12); we report them as failures rather than as a method.</w:t>
      </w:r>
    </w:p>
    <w:p>
      <w:pPr>
        <w:spacing w:before="0" w:after="0" w:line="480" w:lineRule="auto"/>
        <w:ind w:firstLine="0" w:left="0"/>
        <w:jc w:val="left"/>
      </w:pPr>
      <w:r>
        <w:rPr>
          <w:rFonts w:ascii="Times New Roman" w:hAnsi="Times New Roman" w:eastAsia="Times New Roman" w:cs="Times New Roman"/>
          <w:b/>
          <w:i w:val="0"/>
          <w:sz w:val="24"/>
        </w:rPr>
        <w:t>What this paper is not.</w:t>
      </w:r>
      <w:r>
        <w:rPr>
          <w:rFonts w:ascii="Times New Roman" w:hAnsi="Times New Roman" w:eastAsia="Times New Roman" w:cs="Times New Roman"/>
          <w:b w:val="0"/>
          <w:i w:val="0"/>
          <w:sz w:val="24"/>
        </w:rPr>
        <w:t xml:space="preserve"> It does not propose a new correction that is safe in general, and it does not identify the cause of the session shifts it measures. Its contribution is the separation of three questions that are usually answered together — whether a shift reaches the decision, how much of it to remove, and what in the recording predicts the answer — and the measurement of each on six public datasets under one strictly causal protocol.</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say that the </w:t>
      </w:r>
      <w:r>
        <w:rPr>
          <w:rFonts w:ascii="Times New Roman" w:hAnsi="Times New Roman" w:eastAsia="Times New Roman" w:cs="Times New Roman"/>
          <w:b w:val="0"/>
          <w:i/>
          <w:sz w:val="24"/>
        </w:rPr>
        <w:t>amount</w:t>
      </w:r>
      <w:r>
        <w:rPr>
          <w:rFonts w:ascii="Times New Roman" w:hAnsi="Times New Roman" w:eastAsia="Times New Roman" w:cs="Times New Roman"/>
          <w:b w:val="0"/>
          <w:i w:val="0"/>
          <w:sz w:val="24"/>
        </w:rPr>
        <w:t xml:space="preserve"> of normalisation is the operative variable, which is compatible with theirs and adds a criterion. Euclidean and Riemannian alignment [5-8] act on second-order structure; an alignment matrix that is a multiple of the identity performs no alignment, so the first-order correction studied here is not a special case of the second-order one, although the two compose (Section 4.6). Methods that remove session-specific directions [9,10] estimate a subspace in which the sessions agree rather than relocating a boundary by a constant. Recent work attributes the cross-session advantage of a tangent-space pipeline to its test-time recentering rather than to its architecture [20]; that recentering is transductive, and Section 4.2 measures what the causal version of it does. Calibrating an intercept from a few labelled trials [1,2] changes nothing relative to the label-free form on four of five datasets and gains 0.013 on the fifth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Per-class, cross-sample rankings of the raw scores and of pairwise margins are therefore unchanged, and so is a macro-averaged one-versus-rest AUC computed from those scores, since each class score is shifted by the same constant. A measure computed from softmax probabilities is not covered: the per-class constants change the normalisation even though every margin is fixed.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Theorem 1 (when the correction helps).</w:t>
      </w:r>
      <w:r>
        <w:rPr>
          <w:rFonts w:ascii="Times New Roman" w:hAnsi="Times New Roman" w:eastAsia="Times New Roman" w:cs="Times New Roman"/>
          <w:b w:val="0"/>
          <w:i w:val="0"/>
          <w:sz w:val="24"/>
        </w:rPr>
        <w:t xml:space="preserve"> Under (3), with c &gt; 0, a displacement s applied on top of a threshold error t improves balanced accuracy if and only if |t + s| &lt; |t|, equivalently s(2t + s) &lt; 0. The improvement region is therefore a band in (t, s): for s &gt; 0 it requires t &lt; −s/2, and for s &lt; 0 it requires t &gt; −s/2 &gt; 0, so a correction of a given sign helps only when the existing error has the opposite sign and is at least half the displacement. This is the precise form of the statement that the sign is carried by t*, and it also shows why a well-calibrated classifier (t ≈ 0) is damaged by any displacement, while a badly calibrated one can be repaired by it.</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Immediate from (3): the balanced accuracy is symmetric and decreasing in |t|, so ΔBA = BA(c, t+s) − BA(c, t) &gt; 0 iff |t+s| &lt; |t|, which squares to s(2t+s) &lt; 0. QED</w:t>
      </w:r>
    </w:p>
    <w:p>
      <w:pPr>
        <w:spacing w:before="0" w:after="0" w:line="480" w:lineRule="auto"/>
        <w:ind w:firstLine="0" w:left="0"/>
        <w:jc w:val="left"/>
      </w:pPr>
      <w:r>
        <w:rPr>
          <w:rFonts w:ascii="Times New Roman" w:hAnsi="Times New Roman" w:eastAsia="Times New Roman" w:cs="Times New Roman"/>
          <w:b w:val="0"/>
          <w:i w:val="0"/>
          <w:sz w:val="24"/>
        </w:rPr>
        <w:t>The theorem is exact under its assumptions and weak when they are estimated. Taking t</w:t>
      </w:r>
      <w:r>
        <w:rPr>
          <w:rFonts w:ascii="Times New Roman" w:hAnsi="Times New Roman" w:eastAsia="Times New Roman" w:cs="Times New Roman"/>
          <w:b w:val="0"/>
          <w:i/>
          <w:sz w:val="24"/>
        </w:rPr>
        <w:t xml:space="preserve"> as the target-optimal threshold of the fitted model and s as its displacement, the sign it predicts agrees with the observed sign on 478 of the 800 binary cells, 0.598 against a majority rate of 0.564. The theorem therefore explains </w:t>
      </w:r>
      <w:r>
        <w:rPr>
          <w:rFonts w:ascii="Times New Roman" w:hAnsi="Times New Roman" w:eastAsia="Times New Roman" w:cs="Times New Roman"/>
          <w:b w:val="0"/>
          <w:i w:val="0"/>
          <w:sz w:val="24"/>
        </w:rPr>
        <w:t>why* the sign varies — it is a statement about the model — but it is not an estimator of the sign, and the paper does not use it as one. This is the same gap that the source-only parameterisation of Section 4.5 exposes from the other side, and it is the reason the decision rule of Section 4.2 is empirical.</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Five tests are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with Holm control across the five. After Holm the p-values are 3.05 × 10⁻⁴ (SEED), 0.016 (BCI-2a), 0.016 (BCI-2b), 0.104 (grasp-and-lift) and 0.320 (NER2015), so the gain is established on three datasets, not on five; grasp-and-lift's raw p of 0.052 becomes 0.104 and its median gain of 0.003 is not claimed as an improvement.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9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constructions then exist and must not be confused. The </w:t>
      </w: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fits the model on the uncorrected training session and corrects trial t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the same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The two differ by μ_A, i.e. by exactly the quantity at issue, and only (7) is a correction of the consistency problem.</w:t>
      </w:r>
    </w:p>
    <w:p>
      <w:pPr>
        <w:spacing w:before="0" w:after="0" w:line="480" w:lineRule="auto"/>
        <w:ind w:firstLine="0" w:left="0"/>
        <w:jc w:val="left"/>
      </w:pPr>
      <w:r>
        <w:rPr>
          <w:rFonts w:ascii="Times New Roman" w:hAnsi="Times New Roman" w:eastAsia="Times New Roman" w:cs="Times New Roman"/>
          <w:b/>
          <w:i w:val="0"/>
          <w:sz w:val="24"/>
        </w:rPr>
        <w:t>Four estimators, and why no fixed memory works everywhere.</w:t>
      </w:r>
      <w:r>
        <w:rPr>
          <w:rFonts w:ascii="Times New Roman" w:hAnsi="Times New Roman" w:eastAsia="Times New Roman" w:cs="Times New Roman"/>
          <w:b w:val="0"/>
          <w:i w:val="0"/>
          <w:sz w:val="24"/>
        </w:rPr>
        <w:t xml:space="preserve"> Equation (7) leaves the choice of μ̂. We compare a cumulative mean, a sliding window of 50 trials, an exponential average with α = 0.05, and a shrunk cumulative mean whose weight is n_eff/(n_eff + τ) with τ = 50. Table 4 reports them on one common post-prefix test set, with the strictly causal (source-only) representations of Section 3.</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the common post-prefix test set (trials k+1 … n; k = 20, or 50 for SEED and SEED-IV), LDA, source-only representations.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pattern, and not the ranking, is what matters here: the benchmark that gains most and the benchmark that loses most respond to the same knob in opposite directions, which Section 4.13 isolates by fixing every estimator and varying only the strength.</w:t>
      </w: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Where the session mean is stable (BCI-2b, BCI-2a) every estimator recovers the transductive gain within 0.01 and the choice does not matter. Where the mean changes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the window and the exponential average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No fixed memory is safe on both, and the one-sided patch costs 0.05 to 0.18 on top of that.</w:t>
      </w:r>
    </w:p>
    <w:p>
      <w:pPr>
        <w:spacing w:before="0" w:after="0" w:line="480" w:lineRule="auto"/>
        <w:ind w:firstLine="0" w:left="0"/>
        <w:jc w:val="left"/>
      </w:pPr>
      <w:r>
        <w:rPr>
          <w:rFonts w:ascii="Times New Roman" w:hAnsi="Times New Roman" w:eastAsia="Times New Roman" w:cs="Times New Roman"/>
          <w:b/>
          <w:i w:val="0"/>
          <w:sz w:val="24"/>
        </w:rPr>
        <w:t>A block-wise estimate, weighted by its own reliability.</w:t>
      </w:r>
      <w:r>
        <w:rPr>
          <w:rFonts w:ascii="Times New Roman" w:hAnsi="Times New Roman" w:eastAsia="Times New Roman" w:cs="Times New Roman"/>
          <w:b w:val="0"/>
          <w:i w:val="0"/>
          <w:sz w:val="24"/>
        </w:rPr>
        <w:t xml:space="preserve"> The estimator that stays closest to the right strength in both regimes corrects with the mean of the blocks already seen, weighted by how much of that mean is signal rather than block-to-block scatter. The weight must be built from </w:t>
      </w:r>
      <w:r>
        <w:rPr>
          <w:rFonts w:ascii="Times New Roman" w:hAnsi="Times New Roman" w:eastAsia="Times New Roman" w:cs="Times New Roman"/>
          <w:b w:val="0"/>
          <w:i/>
          <w:sz w:val="24"/>
        </w:rPr>
        <w:t>displacements relative to the source session</w:t>
      </w:r>
      <w:r>
        <w:rPr>
          <w:rFonts w:ascii="Times New Roman" w:hAnsi="Times New Roman" w:eastAsia="Times New Roman" w:cs="Times New Roman"/>
          <w:b w:val="0"/>
          <w:i w:val="0"/>
          <w:sz w:val="24"/>
        </w:rPr>
        <w:t>, not from absolute projections, or it would depend on where the feature origin sits and contradict Proposition 1. Let d_b = P W (μ̂_b − μ_A) be the displacement that block b asks for, in the score space, with μ̂_b the mean of the features in block b; let d̄ be the mean of the d_b over the B blocks seen and V_d their variance across blocks. The weight and the correction are</w:t>
      </w:r>
    </w:p>
    <w:p>
      <w:pPr>
        <w:spacing w:before="0" w:after="0" w:line="480" w:lineRule="auto"/>
        <w:ind w:firstLine="0" w:left="0"/>
        <w:jc w:val="left"/>
      </w:pPr>
      <w:r>
        <w:rPr>
          <w:rFonts w:ascii="Times New Roman" w:hAnsi="Times New Roman" w:eastAsia="Times New Roman" w:cs="Times New Roman"/>
          <w:b w:val="0"/>
          <w:i w:val="0"/>
          <w:sz w:val="24"/>
        </w:rPr>
        <w:t>λ = ‖d̄‖² / (‖d̄‖² + K V_d / B) ,        s_corrected = s − λ d̄ .            (9)</w:t>
      </w:r>
    </w:p>
    <w:p>
      <w:pPr>
        <w:spacing w:before="0" w:after="0" w:line="480" w:lineRule="auto"/>
        <w:ind w:firstLine="0" w:left="0"/>
        <w:jc w:val="left"/>
      </w:pPr>
      <w:r>
        <w:rPr>
          <w:rFonts w:ascii="Times New Roman" w:hAnsi="Times New Roman" w:eastAsia="Times New Roman" w:cs="Times New Roman"/>
          <w:b w:val="0"/>
          <w:i w:val="0"/>
          <w:sz w:val="24"/>
        </w:rPr>
        <w:t>Every d_b is unchanged by a common translation of the features, so λ is too: shifting all features by a constant and refitting leaves the predictions identical in 1.000 of the cells, in every dataset, at every block length. The weight is the share of the displacement that is signal rather than scatter; it is the ratio a random-effects model would give if the offset had variance ‖d̄‖²/K and each block estimated it with variance V_d/B, and we use it as a data-driven weight rather than as a posterior probability. It is continuous, so no threshold decides whether to correct at all: when the blocks agree it tends to one, and when they scatter it tends to zero and the pipeline falls back to no correction.</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The block-wise estimator on the source-only representations (Table 4 includes the two target-informed ones, which is why its BCI-2a baseline differs), m = 15. </w:t>
      </w:r>
      <w:r>
        <w:rPr>
          <w:rFonts w:ascii="Courier New" w:hAnsi="Courier New" w:eastAsia="Courier New" w:cs="Courier New"/>
          <w:b w:val="0"/>
          <w:i w:val="0"/>
          <w:sz w:val="21"/>
        </w:rPr>
        <w:t>λ = 1</w:t>
      </w:r>
      <w:r>
        <w:rPr>
          <w:rFonts w:ascii="Times New Roman" w:hAnsi="Times New Roman" w:eastAsia="Times New Roman" w:cs="Times New Roman"/>
          <w:b w:val="0"/>
          <w:i w:val="0"/>
          <w:sz w:val="21"/>
        </w:rPr>
        <w:t xml:space="preserve"> is the unweighted block mean; </w:t>
      </w:r>
      <w:r>
        <w:rPr>
          <w:rFonts w:ascii="Courier New" w:hAnsi="Courier New" w:eastAsia="Courier New" w:cs="Courier New"/>
          <w:b w:val="0"/>
          <w:i w:val="0"/>
          <w:sz w:val="21"/>
        </w:rPr>
        <w:t>Eq. (9)</w:t>
      </w:r>
      <w:r>
        <w:rPr>
          <w:rFonts w:ascii="Times New Roman" w:hAnsi="Times New Roman" w:eastAsia="Times New Roman" w:cs="Times New Roman"/>
          <w:b w:val="0"/>
          <w:i w:val="0"/>
          <w:sz w:val="21"/>
        </w:rPr>
        <w:t xml:space="preserve"> is the weighted one; the last row is the held-out dataset. The intervals are subject-level paired differences against no correction (4,000 bootstrap resamples).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block mean (λ = 1)</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 − 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 − λ=1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0.7064</w:t>
            </w:r>
          </w:p>
        </w:tc>
        <w:tc>
          <w:tcPr>
            <w:tcW w:type="dxa" w:w="1134"/>
          </w:tcPr>
          <w:p>
            <w:pPr>
              <w:spacing w:before="40" w:after="40" w:line="240" w:lineRule="auto"/>
              <w:jc w:val="center"/>
            </w:pPr>
            <w:r/>
            <w:r>
              <w:rPr>
                <w:rFonts w:ascii="Times New Roman" w:hAnsi="Times New Roman" w:eastAsia="Times New Roman" w:cs="Times New Roman"/>
                <w:b w:val="0"/>
                <w:i w:val="0"/>
                <w:sz w:val="18"/>
              </w:rPr>
              <w:t>0.7407</w:t>
            </w:r>
          </w:p>
        </w:tc>
        <w:tc>
          <w:tcPr>
            <w:tcW w:type="dxa" w:w="1134"/>
          </w:tcPr>
          <w:p>
            <w:pPr>
              <w:spacing w:before="40" w:after="40" w:line="240" w:lineRule="auto"/>
              <w:jc w:val="center"/>
            </w:pPr>
            <w:r/>
            <w:r>
              <w:rPr>
                <w:rFonts w:ascii="Times New Roman" w:hAnsi="Times New Roman" w:eastAsia="Times New Roman" w:cs="Times New Roman"/>
                <w:b w:val="0"/>
                <w:i w:val="0"/>
                <w:sz w:val="18"/>
              </w:rPr>
              <w:t>0.7314</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0.7333</w:t>
            </w:r>
          </w:p>
        </w:tc>
        <w:tc>
          <w:tcPr>
            <w:tcW w:type="dxa" w:w="1134"/>
          </w:tcPr>
          <w:p>
            <w:pPr>
              <w:spacing w:before="40" w:after="40" w:line="240" w:lineRule="auto"/>
              <w:jc w:val="center"/>
            </w:pPr>
            <w:r/>
            <w:r>
              <w:rPr>
                <w:rFonts w:ascii="Times New Roman" w:hAnsi="Times New Roman" w:eastAsia="Times New Roman" w:cs="Times New Roman"/>
                <w:b w:val="0"/>
                <w:i w:val="0"/>
                <w:sz w:val="18"/>
              </w:rPr>
              <w:t>+0.027 [+0.016, +0.039]</w:t>
            </w:r>
          </w:p>
        </w:tc>
        <w:tc>
          <w:tcPr>
            <w:tcW w:type="dxa" w:w="1134"/>
          </w:tcPr>
          <w:p>
            <w:pPr>
              <w:spacing w:before="40" w:after="40" w:line="240" w:lineRule="auto"/>
              <w:jc w:val="center"/>
            </w:pPr>
            <w:r/>
            <w:r>
              <w:rPr>
                <w:rFonts w:ascii="Times New Roman" w:hAnsi="Times New Roman" w:eastAsia="Times New Roman" w:cs="Times New Roman"/>
                <w:b w:val="0"/>
                <w:i w:val="0"/>
                <w:sz w:val="18"/>
              </w:rPr>
              <w:t>+0.005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0.4969</w:t>
            </w:r>
          </w:p>
        </w:tc>
        <w:tc>
          <w:tcPr>
            <w:tcW w:type="dxa" w:w="1134"/>
          </w:tcPr>
          <w:p>
            <w:pPr>
              <w:spacing w:before="40" w:after="40" w:line="240" w:lineRule="auto"/>
              <w:jc w:val="center"/>
            </w:pPr>
            <w:r/>
            <w:r>
              <w:rPr>
                <w:rFonts w:ascii="Times New Roman" w:hAnsi="Times New Roman" w:eastAsia="Times New Roman" w:cs="Times New Roman"/>
                <w:b w:val="0"/>
                <w:i w:val="0"/>
                <w:sz w:val="18"/>
              </w:rPr>
              <w:t>0.5268</w:t>
            </w:r>
          </w:p>
        </w:tc>
        <w:tc>
          <w:tcPr>
            <w:tcW w:type="dxa" w:w="1134"/>
          </w:tcPr>
          <w:p>
            <w:pPr>
              <w:spacing w:before="40" w:after="40" w:line="240" w:lineRule="auto"/>
              <w:jc w:val="center"/>
            </w:pPr>
            <w:r/>
            <w:r>
              <w:rPr>
                <w:rFonts w:ascii="Times New Roman" w:hAnsi="Times New Roman" w:eastAsia="Times New Roman" w:cs="Times New Roman"/>
                <w:b w:val="0"/>
                <w:i w:val="0"/>
                <w:sz w:val="18"/>
              </w:rPr>
              <w:t>0.5271</w:t>
            </w:r>
          </w:p>
        </w:tc>
        <w:tc>
          <w:tcPr>
            <w:tcW w:type="dxa" w:w="1134"/>
          </w:tcPr>
          <w:p>
            <w:pPr>
              <w:spacing w:before="40" w:after="40" w:line="240" w:lineRule="auto"/>
              <w:jc w:val="center"/>
            </w:pPr>
            <w:r/>
            <w:r>
              <w:rPr>
                <w:rFonts w:ascii="Times New Roman" w:hAnsi="Times New Roman" w:eastAsia="Times New Roman" w:cs="Times New Roman"/>
                <w:b w:val="0"/>
                <w:i w:val="0"/>
                <w:sz w:val="18"/>
              </w:rPr>
              <w:t>0.5272</w:t>
            </w:r>
          </w:p>
        </w:tc>
        <w:tc>
          <w:tcPr>
            <w:tcW w:type="dxa" w:w="1134"/>
          </w:tcPr>
          <w:p>
            <w:pPr>
              <w:spacing w:before="40" w:after="40" w:line="240" w:lineRule="auto"/>
              <w:jc w:val="center"/>
            </w:pPr>
            <w:r/>
            <w:r>
              <w:rPr>
                <w:rFonts w:ascii="Times New Roman" w:hAnsi="Times New Roman" w:eastAsia="Times New Roman" w:cs="Times New Roman"/>
                <w:b w:val="0"/>
                <w:i w:val="0"/>
                <w:sz w:val="18"/>
              </w:rPr>
              <w:t>0.5220</w:t>
            </w:r>
          </w:p>
        </w:tc>
        <w:tc>
          <w:tcPr>
            <w:tcW w:type="dxa" w:w="1134"/>
          </w:tcPr>
          <w:p>
            <w:pPr>
              <w:spacing w:before="40" w:after="40" w:line="240" w:lineRule="auto"/>
              <w:jc w:val="center"/>
            </w:pPr>
            <w:r/>
            <w:r>
              <w:rPr>
                <w:rFonts w:ascii="Times New Roman" w:hAnsi="Times New Roman" w:eastAsia="Times New Roman" w:cs="Times New Roman"/>
                <w:b w:val="0"/>
                <w:i w:val="0"/>
                <w:sz w:val="18"/>
              </w:rPr>
              <w:t>+0.025 [+0.009, +0.044]</w:t>
            </w:r>
          </w:p>
        </w:tc>
        <w:tc>
          <w:tcPr>
            <w:tcW w:type="dxa" w:w="1134"/>
          </w:tcPr>
          <w:p>
            <w:pPr>
              <w:spacing w:before="40" w:after="40" w:line="240" w:lineRule="auto"/>
              <w:jc w:val="center"/>
            </w:pPr>
            <w:r/>
            <w:r>
              <w:rPr>
                <w:rFonts w:ascii="Times New Roman" w:hAnsi="Times New Roman" w:eastAsia="Times New Roman" w:cs="Times New Roman"/>
                <w:b w:val="0"/>
                <w:i w:val="0"/>
                <w:sz w:val="18"/>
              </w:rPr>
              <w:t>−0.005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0.6771</w:t>
            </w:r>
          </w:p>
        </w:tc>
        <w:tc>
          <w:tcPr>
            <w:tcW w:type="dxa" w:w="1134"/>
          </w:tcPr>
          <w:p>
            <w:pPr>
              <w:spacing w:before="40" w:after="40" w:line="240" w:lineRule="auto"/>
              <w:jc w:val="center"/>
            </w:pPr>
            <w:r/>
            <w:r>
              <w:rPr>
                <w:rFonts w:ascii="Times New Roman" w:hAnsi="Times New Roman" w:eastAsia="Times New Roman" w:cs="Times New Roman"/>
                <w:b w:val="0"/>
                <w:i w:val="0"/>
                <w:sz w:val="18"/>
              </w:rPr>
              <w:t>0.6757</w:t>
            </w:r>
          </w:p>
        </w:tc>
        <w:tc>
          <w:tcPr>
            <w:tcW w:type="dxa" w:w="1134"/>
          </w:tcPr>
          <w:p>
            <w:pPr>
              <w:spacing w:before="40" w:after="40" w:line="240" w:lineRule="auto"/>
              <w:jc w:val="center"/>
            </w:pPr>
            <w:r/>
            <w:r>
              <w:rPr>
                <w:rFonts w:ascii="Times New Roman" w:hAnsi="Times New Roman" w:eastAsia="Times New Roman" w:cs="Times New Roman"/>
                <w:b w:val="0"/>
                <w:i w:val="0"/>
                <w:sz w:val="18"/>
              </w:rPr>
              <w:t>+0.216 [+0.167, +0.265]</w:t>
            </w:r>
          </w:p>
        </w:tc>
        <w:tc>
          <w:tcPr>
            <w:tcW w:type="dxa" w:w="1134"/>
          </w:tcPr>
          <w:p>
            <w:pPr>
              <w:spacing w:before="40" w:after="40" w:line="240" w:lineRule="auto"/>
              <w:jc w:val="center"/>
            </w:pPr>
            <w:r/>
            <w:r>
              <w:rPr>
                <w:rFonts w:ascii="Times New Roman" w:hAnsi="Times New Roman" w:eastAsia="Times New Roman" w:cs="Times New Roman"/>
                <w:b w:val="0"/>
                <w:i w:val="0"/>
                <w:sz w:val="18"/>
              </w:rPr>
              <w:t>−0.001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0.7707</w:t>
            </w:r>
          </w:p>
        </w:tc>
        <w:tc>
          <w:tcPr>
            <w:tcW w:type="dxa" w:w="1134"/>
          </w:tcPr>
          <w:p>
            <w:pPr>
              <w:spacing w:before="40" w:after="40" w:line="240" w:lineRule="auto"/>
              <w:jc w:val="center"/>
            </w:pPr>
            <w:r/>
            <w:r>
              <w:rPr>
                <w:rFonts w:ascii="Times New Roman" w:hAnsi="Times New Roman" w:eastAsia="Times New Roman" w:cs="Times New Roman"/>
                <w:b w:val="0"/>
                <w:i w:val="0"/>
                <w:sz w:val="18"/>
              </w:rPr>
              <w:t>0.7779</w:t>
            </w:r>
          </w:p>
        </w:tc>
        <w:tc>
          <w:tcPr>
            <w:tcW w:type="dxa" w:w="1134"/>
          </w:tcPr>
          <w:p>
            <w:pPr>
              <w:spacing w:before="40" w:after="40" w:line="240" w:lineRule="auto"/>
              <w:jc w:val="center"/>
            </w:pPr>
            <w:r/>
            <w:r>
              <w:rPr>
                <w:rFonts w:ascii="Times New Roman" w:hAnsi="Times New Roman" w:eastAsia="Times New Roman" w:cs="Times New Roman"/>
                <w:b w:val="0"/>
                <w:i w:val="0"/>
                <w:sz w:val="18"/>
              </w:rPr>
              <w:t>+0.008 [+0.004, +0.011]</w:t>
            </w:r>
          </w:p>
        </w:tc>
        <w:tc>
          <w:tcPr>
            <w:tcW w:type="dxa" w:w="1134"/>
          </w:tcPr>
          <w:p>
            <w:pPr>
              <w:spacing w:before="40" w:after="40" w:line="240" w:lineRule="auto"/>
              <w:jc w:val="center"/>
            </w:pPr>
            <w:r/>
            <w:r>
              <w:rPr>
                <w:rFonts w:ascii="Times New Roman" w:hAnsi="Times New Roman" w:eastAsia="Times New Roman" w:cs="Times New Roman"/>
                <w:b w:val="0"/>
                <w:i w:val="0"/>
                <w:sz w:val="18"/>
              </w:rPr>
              <w:t>+0.007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c>
          <w:tcPr>
            <w:tcW w:type="dxa" w:w="1134"/>
          </w:tcPr>
          <w:p>
            <w:pPr>
              <w:spacing w:before="40" w:after="40" w:line="240" w:lineRule="auto"/>
              <w:jc w:val="center"/>
            </w:pPr>
            <w:r/>
            <w:r>
              <w:rPr>
                <w:rFonts w:ascii="Times New Roman" w:hAnsi="Times New Roman" w:eastAsia="Times New Roman" w:cs="Times New Roman"/>
                <w:b w:val="0"/>
                <w:i w:val="0"/>
                <w:sz w:val="18"/>
              </w:rPr>
              <w:t>0.5868</w:t>
            </w:r>
          </w:p>
        </w:tc>
        <w:tc>
          <w:tcPr>
            <w:tcW w:type="dxa" w:w="1134"/>
          </w:tcPr>
          <w:p>
            <w:pPr>
              <w:spacing w:before="40" w:after="40" w:line="240" w:lineRule="auto"/>
              <w:jc w:val="center"/>
            </w:pPr>
            <w:r/>
            <w:r>
              <w:rPr>
                <w:rFonts w:ascii="Times New Roman" w:hAnsi="Times New Roman" w:eastAsia="Times New Roman" w:cs="Times New Roman"/>
                <w:b w:val="0"/>
                <w:i w:val="0"/>
                <w:sz w:val="18"/>
              </w:rPr>
              <w:t>−0.001 [−0.003, +0.002]</w:t>
            </w:r>
          </w:p>
        </w:tc>
        <w:tc>
          <w:tcPr>
            <w:tcW w:type="dxa" w:w="1134"/>
          </w:tcPr>
          <w:p>
            <w:pPr>
              <w:spacing w:before="40" w:after="40" w:line="240" w:lineRule="auto"/>
              <w:jc w:val="center"/>
            </w:pPr>
            <w:r/>
            <w:r>
              <w:rPr>
                <w:rFonts w:ascii="Times New Roman" w:hAnsi="Times New Roman" w:eastAsia="Times New Roman" w:cs="Times New Roman"/>
                <w:b w:val="0"/>
                <w:i w:val="0"/>
                <w:sz w:val="18"/>
              </w:rPr>
              <w:t>+0.001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134"/>
          </w:tcPr>
          <w:p>
            <w:pPr>
              <w:spacing w:before="40" w:after="40" w:line="240" w:lineRule="auto"/>
              <w:jc w:val="left"/>
            </w:pPr>
            <w:r/>
            <w:r>
              <w:rPr>
                <w:rFonts w:ascii="Times New Roman" w:hAnsi="Times New Roman" w:eastAsia="Times New Roman" w:cs="Times New Roman"/>
                <w:b w:val="0"/>
                <w:i w:val="0"/>
                <w:sz w:val="18"/>
              </w:rPr>
              <w:t>0.3613</w:t>
            </w:r>
          </w:p>
        </w:tc>
        <w:tc>
          <w:tcPr>
            <w:tcW w:type="dxa" w:w="1134"/>
          </w:tcPr>
          <w:p>
            <w:pPr>
              <w:spacing w:before="40" w:after="40" w:line="240" w:lineRule="auto"/>
              <w:jc w:val="center"/>
            </w:pPr>
            <w:r/>
            <w:r>
              <w:rPr>
                <w:rFonts w:ascii="Times New Roman" w:hAnsi="Times New Roman" w:eastAsia="Times New Roman" w:cs="Times New Roman"/>
                <w:b w:val="0"/>
                <w:i w:val="0"/>
                <w:sz w:val="18"/>
              </w:rPr>
              <w:t>0.5499</w:t>
            </w:r>
          </w:p>
        </w:tc>
        <w:tc>
          <w:tcPr>
            <w:tcW w:type="dxa" w:w="1134"/>
          </w:tcPr>
          <w:p>
            <w:pPr>
              <w:spacing w:before="40" w:after="40" w:line="240" w:lineRule="auto"/>
              <w:jc w:val="center"/>
            </w:pPr>
            <w:r/>
            <w:r>
              <w:rPr>
                <w:rFonts w:ascii="Times New Roman" w:hAnsi="Times New Roman" w:eastAsia="Times New Roman" w:cs="Times New Roman"/>
                <w:b w:val="0"/>
                <w:i w:val="0"/>
                <w:sz w:val="18"/>
              </w:rPr>
              <w:t>0.5250</w:t>
            </w:r>
          </w:p>
        </w:tc>
        <w:tc>
          <w:tcPr>
            <w:tcW w:type="dxa" w:w="1134"/>
          </w:tcPr>
          <w:p>
            <w:pPr>
              <w:spacing w:before="40" w:after="40" w:line="240" w:lineRule="auto"/>
              <w:jc w:val="center"/>
            </w:pPr>
            <w:r/>
            <w:r>
              <w:rPr>
                <w:rFonts w:ascii="Times New Roman" w:hAnsi="Times New Roman" w:eastAsia="Times New Roman" w:cs="Times New Roman"/>
                <w:b w:val="0"/>
                <w:i w:val="0"/>
                <w:sz w:val="18"/>
              </w:rPr>
              <w:t>0.5475</w:t>
            </w:r>
          </w:p>
        </w:tc>
        <w:tc>
          <w:tcPr>
            <w:tcW w:type="dxa" w:w="1134"/>
          </w:tcPr>
          <w:p>
            <w:pPr>
              <w:spacing w:before="40" w:after="40" w:line="240" w:lineRule="auto"/>
              <w:jc w:val="center"/>
            </w:pPr>
            <w:r/>
            <w:r>
              <w:rPr>
                <w:rFonts w:ascii="Times New Roman" w:hAnsi="Times New Roman" w:eastAsia="Times New Roman" w:cs="Times New Roman"/>
                <w:b w:val="0"/>
                <w:i w:val="0"/>
                <w:sz w:val="18"/>
              </w:rPr>
              <w:t>0.5440</w:t>
            </w:r>
          </w:p>
        </w:tc>
        <w:tc>
          <w:tcPr>
            <w:tcW w:type="dxa" w:w="1134"/>
          </w:tcPr>
          <w:p>
            <w:pPr>
              <w:spacing w:before="40" w:after="40" w:line="240" w:lineRule="auto"/>
              <w:jc w:val="center"/>
            </w:pPr>
            <w:r/>
            <w:r>
              <w:rPr>
                <w:rFonts w:ascii="Times New Roman" w:hAnsi="Times New Roman" w:eastAsia="Times New Roman" w:cs="Times New Roman"/>
                <w:b w:val="0"/>
                <w:i w:val="0"/>
                <w:sz w:val="18"/>
              </w:rPr>
              <w:t>+0.183 [+0.154, +0.212]</w:t>
            </w:r>
          </w:p>
        </w:tc>
        <w:tc>
          <w:tcPr>
            <w:tcW w:type="dxa" w:w="1134"/>
          </w:tcPr>
          <w:p>
            <w:pPr>
              <w:spacing w:before="40" w:after="40" w:line="240" w:lineRule="auto"/>
              <w:jc w:val="center"/>
            </w:pPr>
            <w:r/>
            <w:r>
              <w:rPr>
                <w:rFonts w:ascii="Times New Roman" w:hAnsi="Times New Roman" w:eastAsia="Times New Roman" w:cs="Times New Roman"/>
                <w:b w:val="0"/>
                <w:i w:val="0"/>
                <w:sz w:val="18"/>
              </w:rPr>
              <w:t>−0.004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estimator is positive on four of the five development datasets, indistinguishable from zero on the fifth, and positive on the held-out one. It turns the grasp-and-lift loss of the cumulative mean (−0.115) into a gain of 0.008 and keeps 0.183 of the 0.189 the transductive correction achieves on SEED-IV. Two honest qualifications. First, the </w:t>
      </w:r>
      <w:r>
        <w:rPr>
          <w:rFonts w:ascii="Times New Roman" w:hAnsi="Times New Roman" w:eastAsia="Times New Roman" w:cs="Times New Roman"/>
          <w:b w:val="0"/>
          <w:i/>
          <w:sz w:val="24"/>
        </w:rPr>
        <w:t>weight</w:t>
      </w:r>
      <w:r>
        <w:rPr>
          <w:rFonts w:ascii="Times New Roman" w:hAnsi="Times New Roman" w:eastAsia="Times New Roman" w:cs="Times New Roman"/>
          <w:b w:val="0"/>
          <w:i w:val="0"/>
          <w:sz w:val="24"/>
        </w:rPr>
        <w:t xml:space="preserve"> adds little over the unweighted block mean — +0.005, −0.005, −0.001, +0.007, +0.001 and −0.004 — so the contribution is the block-wise structure, with the weight a refinement that is neutral on average and helps where the blocks disagree. Second, the price is paid where the correction is easy: 0.007 below the cumulative mean on BCI-2b and 0.0025 on SEED.</w:t>
      </w:r>
    </w:p>
    <w:p>
      <w:pPr>
        <w:spacing w:before="0" w:after="0" w:line="480" w:lineRule="auto"/>
        <w:ind w:firstLine="0" w:left="0"/>
        <w:jc w:val="left"/>
      </w:pPr>
      <w:r>
        <w:rPr>
          <w:rFonts w:ascii="Times New Roman" w:hAnsi="Times New Roman" w:eastAsia="Times New Roman" w:cs="Times New Roman"/>
          <w:b/>
          <w:i w:val="0"/>
          <w:sz w:val="24"/>
        </w:rPr>
        <w:t>The block length.</w:t>
      </w:r>
      <w:r>
        <w:rPr>
          <w:rFonts w:ascii="Times New Roman" w:hAnsi="Times New Roman" w:eastAsia="Times New Roman" w:cs="Times New Roman"/>
          <w:b w:val="0"/>
          <w:i w:val="0"/>
          <w:sz w:val="24"/>
        </w:rPr>
        <w:t xml:space="preserve"> Table 6 sweeps the only constant, m, and the choice made by leave-one-family-out: m is selected on three task families and evaluated on the fourth.</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Gain over no correction for Eq. (9), by block length.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4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203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m = 15</w:t>
            </w:r>
          </w:p>
        </w:tc>
        <w:tc>
          <w:tcPr>
            <w:tcW w:type="dxa" w:w="24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 = 25</w:t>
            </w:r>
          </w:p>
        </w:tc>
        <w:tc>
          <w:tcPr>
            <w:tcW w:type="dxa" w:w="2105"/>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 = 50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BCI-2b</w:t>
            </w:r>
          </w:p>
        </w:tc>
        <w:tc>
          <w:tcPr>
            <w:tcW w:type="dxa" w:w="2032"/>
          </w:tcPr>
          <w:p>
            <w:pPr>
              <w:spacing w:before="40" w:after="40" w:line="240" w:lineRule="auto"/>
              <w:jc w:val="left"/>
            </w:pPr>
            <w:r/>
            <w:r>
              <w:rPr>
                <w:rFonts w:ascii="Times New Roman" w:hAnsi="Times New Roman" w:eastAsia="Times New Roman" w:cs="Times New Roman"/>
                <w:b w:val="0"/>
                <w:i w:val="0"/>
                <w:sz w:val="18"/>
              </w:rPr>
              <w:t>+0.027</w:t>
            </w:r>
          </w:p>
        </w:tc>
        <w:tc>
          <w:tcPr>
            <w:tcW w:type="dxa" w:w="2468"/>
          </w:tcPr>
          <w:p>
            <w:pPr>
              <w:spacing w:before="40" w:after="40" w:line="240" w:lineRule="auto"/>
              <w:jc w:val="center"/>
            </w:pPr>
            <w:r/>
            <w:r>
              <w:rPr>
                <w:rFonts w:ascii="Times New Roman" w:hAnsi="Times New Roman" w:eastAsia="Times New Roman" w:cs="Times New Roman"/>
                <w:b w:val="0"/>
                <w:i w:val="0"/>
                <w:sz w:val="18"/>
              </w:rPr>
              <w:t>+0.018</w:t>
            </w:r>
          </w:p>
        </w:tc>
        <w:tc>
          <w:tcPr>
            <w:tcW w:type="dxa" w:w="2105"/>
          </w:tcPr>
          <w:p>
            <w:pPr>
              <w:spacing w:before="40" w:after="40" w:line="240" w:lineRule="auto"/>
              <w:jc w:val="center"/>
            </w:pPr>
            <w:r/>
            <w:r>
              <w:rPr>
                <w:rFonts w:ascii="Times New Roman" w:hAnsi="Times New Roman" w:eastAsia="Times New Roman" w:cs="Times New Roman"/>
                <w:b w:val="0"/>
                <w:i w:val="0"/>
                <w:sz w:val="18"/>
              </w:rPr>
              <w:t>+0.011</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BCI-2a</w:t>
            </w:r>
          </w:p>
        </w:tc>
        <w:tc>
          <w:tcPr>
            <w:tcW w:type="dxa" w:w="2032"/>
          </w:tcPr>
          <w:p>
            <w:pPr>
              <w:spacing w:before="40" w:after="40" w:line="240" w:lineRule="auto"/>
              <w:jc w:val="left"/>
            </w:pPr>
            <w:r/>
            <w:r>
              <w:rPr>
                <w:rFonts w:ascii="Times New Roman" w:hAnsi="Times New Roman" w:eastAsia="Times New Roman" w:cs="Times New Roman"/>
                <w:b w:val="0"/>
                <w:i w:val="0"/>
                <w:sz w:val="18"/>
              </w:rPr>
              <w:t>+0.025</w:t>
            </w:r>
          </w:p>
        </w:tc>
        <w:tc>
          <w:tcPr>
            <w:tcW w:type="dxa" w:w="2468"/>
          </w:tcPr>
          <w:p>
            <w:pPr>
              <w:spacing w:before="40" w:after="40" w:line="240" w:lineRule="auto"/>
              <w:jc w:val="center"/>
            </w:pPr>
            <w:r/>
            <w:r>
              <w:rPr>
                <w:rFonts w:ascii="Times New Roman" w:hAnsi="Times New Roman" w:eastAsia="Times New Roman" w:cs="Times New Roman"/>
                <w:b w:val="0"/>
                <w:i w:val="0"/>
                <w:sz w:val="18"/>
              </w:rPr>
              <w:t>+0.028</w:t>
            </w:r>
          </w:p>
        </w:tc>
        <w:tc>
          <w:tcPr>
            <w:tcW w:type="dxa" w:w="2105"/>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SEED</w:t>
            </w:r>
          </w:p>
        </w:tc>
        <w:tc>
          <w:tcPr>
            <w:tcW w:type="dxa" w:w="2032"/>
          </w:tcPr>
          <w:p>
            <w:pPr>
              <w:spacing w:before="40" w:after="40" w:line="240" w:lineRule="auto"/>
              <w:jc w:val="left"/>
            </w:pPr>
            <w:r/>
            <w:r>
              <w:rPr>
                <w:rFonts w:ascii="Times New Roman" w:hAnsi="Times New Roman" w:eastAsia="Times New Roman" w:cs="Times New Roman"/>
                <w:b w:val="0"/>
                <w:i w:val="0"/>
                <w:sz w:val="18"/>
              </w:rPr>
              <w:t>+0.216</w:t>
            </w:r>
          </w:p>
        </w:tc>
        <w:tc>
          <w:tcPr>
            <w:tcW w:type="dxa" w:w="2468"/>
          </w:tcPr>
          <w:p>
            <w:pPr>
              <w:spacing w:before="40" w:after="40" w:line="240" w:lineRule="auto"/>
              <w:jc w:val="center"/>
            </w:pPr>
            <w:r/>
            <w:r>
              <w:rPr>
                <w:rFonts w:ascii="Times New Roman" w:hAnsi="Times New Roman" w:eastAsia="Times New Roman" w:cs="Times New Roman"/>
                <w:b w:val="0"/>
                <w:i w:val="0"/>
                <w:sz w:val="18"/>
              </w:rPr>
              <w:t>+0.216</w:t>
            </w:r>
          </w:p>
        </w:tc>
        <w:tc>
          <w:tcPr>
            <w:tcW w:type="dxa" w:w="2105"/>
          </w:tcPr>
          <w:p>
            <w:pPr>
              <w:spacing w:before="40" w:after="40" w:line="240" w:lineRule="auto"/>
              <w:jc w:val="center"/>
            </w:pPr>
            <w:r/>
            <w:r>
              <w:rPr>
                <w:rFonts w:ascii="Times New Roman" w:hAnsi="Times New Roman" w:eastAsia="Times New Roman" w:cs="Times New Roman"/>
                <w:b w:val="0"/>
                <w:i w:val="0"/>
                <w:sz w:val="18"/>
              </w:rPr>
              <w:t>+0.219</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2032"/>
          </w:tcPr>
          <w:p>
            <w:pPr>
              <w:spacing w:before="40" w:after="40" w:line="240" w:lineRule="auto"/>
              <w:jc w:val="left"/>
            </w:pPr>
            <w:r/>
            <w:r>
              <w:rPr>
                <w:rFonts w:ascii="Times New Roman" w:hAnsi="Times New Roman" w:eastAsia="Times New Roman" w:cs="Times New Roman"/>
                <w:b w:val="0"/>
                <w:i w:val="0"/>
                <w:sz w:val="18"/>
              </w:rPr>
              <w:t>+0.008</w:t>
            </w:r>
          </w:p>
        </w:tc>
        <w:tc>
          <w:tcPr>
            <w:tcW w:type="dxa" w:w="2468"/>
          </w:tcPr>
          <w:p>
            <w:pPr>
              <w:spacing w:before="40" w:after="40" w:line="240" w:lineRule="auto"/>
              <w:jc w:val="center"/>
            </w:pPr>
            <w:r/>
            <w:r>
              <w:rPr>
                <w:rFonts w:ascii="Times New Roman" w:hAnsi="Times New Roman" w:eastAsia="Times New Roman" w:cs="Times New Roman"/>
                <w:b w:val="0"/>
                <w:i w:val="0"/>
                <w:sz w:val="18"/>
              </w:rPr>
              <w:t>+0.001</w:t>
            </w:r>
          </w:p>
        </w:tc>
        <w:tc>
          <w:tcPr>
            <w:tcW w:type="dxa" w:w="2105"/>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NER2015</w:t>
            </w:r>
          </w:p>
        </w:tc>
        <w:tc>
          <w:tcPr>
            <w:tcW w:type="dxa" w:w="2032"/>
          </w:tcPr>
          <w:p>
            <w:pPr>
              <w:spacing w:before="40" w:after="40" w:line="240" w:lineRule="auto"/>
              <w:jc w:val="left"/>
            </w:pPr>
            <w:r/>
            <w:r>
              <w:rPr>
                <w:rFonts w:ascii="Times New Roman" w:hAnsi="Times New Roman" w:eastAsia="Times New Roman" w:cs="Times New Roman"/>
                <w:b w:val="0"/>
                <w:i w:val="0"/>
                <w:sz w:val="18"/>
              </w:rPr>
              <w:t>−0.001</w:t>
            </w:r>
          </w:p>
        </w:tc>
        <w:tc>
          <w:tcPr>
            <w:tcW w:type="dxa" w:w="2468"/>
          </w:tcPr>
          <w:p>
            <w:pPr>
              <w:spacing w:before="40" w:after="40" w:line="240" w:lineRule="auto"/>
              <w:jc w:val="center"/>
            </w:pPr>
            <w:r/>
            <w:r>
              <w:rPr>
                <w:rFonts w:ascii="Times New Roman" w:hAnsi="Times New Roman" w:eastAsia="Times New Roman" w:cs="Times New Roman"/>
                <w:b w:val="0"/>
                <w:i w:val="0"/>
                <w:sz w:val="18"/>
              </w:rPr>
              <w:t>−0.002</w:t>
            </w:r>
          </w:p>
        </w:tc>
        <w:tc>
          <w:tcPr>
            <w:tcW w:type="dxa" w:w="2105"/>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2032"/>
          </w:tcPr>
          <w:p>
            <w:pPr>
              <w:spacing w:before="40" w:after="40" w:line="240" w:lineRule="auto"/>
              <w:jc w:val="left"/>
            </w:pPr>
            <w:r/>
            <w:r>
              <w:rPr>
                <w:rFonts w:ascii="Times New Roman" w:hAnsi="Times New Roman" w:eastAsia="Times New Roman" w:cs="Times New Roman"/>
                <w:b w:val="0"/>
                <w:i w:val="0"/>
                <w:sz w:val="18"/>
              </w:rPr>
              <w:t>+0.183</w:t>
            </w:r>
          </w:p>
        </w:tc>
        <w:tc>
          <w:tcPr>
            <w:tcW w:type="dxa" w:w="2468"/>
          </w:tcPr>
          <w:p>
            <w:pPr>
              <w:spacing w:before="40" w:after="40" w:line="240" w:lineRule="auto"/>
              <w:jc w:val="center"/>
            </w:pPr>
            <w:r/>
            <w:r>
              <w:rPr>
                <w:rFonts w:ascii="Times New Roman" w:hAnsi="Times New Roman" w:eastAsia="Times New Roman" w:cs="Times New Roman"/>
                <w:b w:val="0"/>
                <w:i w:val="0"/>
                <w:sz w:val="18"/>
              </w:rPr>
              <w:t>+0.176</w:t>
            </w:r>
          </w:p>
        </w:tc>
        <w:tc>
          <w:tcPr>
            <w:tcW w:type="dxa" w:w="2105"/>
          </w:tcPr>
          <w:p>
            <w:pPr>
              <w:spacing w:before="40" w:after="40" w:line="240" w:lineRule="auto"/>
              <w:jc w:val="center"/>
            </w:pPr>
            <w:r/>
            <w:r>
              <w:rPr>
                <w:rFonts w:ascii="Times New Roman" w:hAnsi="Times New Roman" w:eastAsia="Times New Roman" w:cs="Times New Roman"/>
                <w:b w:val="0"/>
                <w:i w:val="0"/>
                <w:sz w:val="18"/>
              </w:rPr>
              <w:t>+0.163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Leave-one-family-out selects m = 15 for all four families and gives +0.026 on motor imagery, +0.216 on emotion, −0.001 on error potentials and +0.008 on movement when that family is held out. The constant therefore transfers across families, and the held-out dataset prefers the same value, which is why m = 15 is the default.</w:t>
      </w:r>
    </w:p>
    <w:p>
      <w:pPr>
        <w:spacing w:before="0" w:after="0" w:line="480" w:lineRule="auto"/>
        <w:ind w:firstLine="0" w:left="0"/>
        <w:jc w:val="left"/>
      </w:pPr>
      <w:r>
        <w:rPr>
          <w:rFonts w:ascii="Times New Roman" w:hAnsi="Times New Roman" w:eastAsia="Times New Roman" w:cs="Times New Roman"/>
          <w:b/>
          <w:i w:val="0"/>
          <w:sz w:val="24"/>
        </w:rPr>
        <w:t>What does not work.</w:t>
      </w:r>
      <w:r>
        <w:rPr>
          <w:rFonts w:ascii="Times New Roman" w:hAnsi="Times New Roman" w:eastAsia="Times New Roman" w:cs="Times New Roman"/>
          <w:b w:val="0"/>
          <w:i w:val="0"/>
          <w:sz w:val="24"/>
        </w:rPr>
        <w:t xml:space="preserve"> Two gates built on amplitude fail: matching the corrected score margins to the source session selects no correction almost everywhere, and a variance ratio that measures block-to-block drift sets the weight to zero exactly where correction is worth 0.22. A PCA concentration measure, in score space or in feature space, degenerates because the source-calibrated null saturates at 1.0 in both. And a dispersion gate built on the exact identity, like a t-statistic gate on the block displacements, loses the same 0.047 on grasp-and-lift that the cumulative mean does. Those failures are why the rule above is continuous and estimated from the same blocks it uses, rather than a threshold applied to a single statistic.</w:t>
      </w:r>
    </w:p>
    <w:p>
      <w:pPr>
        <w:spacing w:before="0" w:after="0" w:line="480" w:lineRule="auto"/>
        <w:ind w:firstLine="0" w:left="0"/>
        <w:jc w:val="left"/>
      </w:pPr>
      <w:r>
        <w:rPr>
          <w:rFonts w:ascii="Times New Roman" w:hAnsi="Times New Roman" w:eastAsia="Times New Roman" w:cs="Times New Roman"/>
          <w:b w:val="0"/>
          <w:i w:val="0"/>
          <w:sz w:val="24"/>
        </w:rPr>
        <w:t>Section 4.12 places these observations in a controlled parameter space and shows which structure of non-stationarity each failure needs.</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(8) costs 0.122 on BCI-2b, 0.047 on BCI-2a, 0.121 on SEED and 0.176 on grasp-and-lift relative to not correcting at all. That is the quantity the theory of Section 2.3 predicts, and it is an order of magnitude larger than the differences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spacing w:before="0" w:after="0" w:line="480" w:lineRule="auto"/>
        <w:ind w:firstLine="0" w:left="0"/>
        <w:jc w:val="left"/>
      </w:pPr>
      <w:r>
        <w:rPr>
          <w:rFonts w:ascii="Times New Roman" w:hAnsi="Times New Roman" w:eastAsia="Times New Roman" w:cs="Times New Roman"/>
          <w:b/>
          <w:i w:val="0"/>
          <w:sz w:val="24"/>
        </w:rPr>
        <w:t>The same decomposition on real session shifts.</w:t>
      </w:r>
      <w:r>
        <w:rPr>
          <w:rFonts w:ascii="Times New Roman" w:hAnsi="Times New Roman" w:eastAsia="Times New Roman" w:cs="Times New Roman"/>
          <w:b w:val="0"/>
          <w:i w:val="0"/>
          <w:sz w:val="24"/>
        </w:rPr>
        <w:t xml:space="preserve"> The sweep injects an origin; a session shift is not one. We therefore took the observed shift d = μ_B − μ_A of each cell, set A = P W, and split d into the row space of A and its complement, d∥ = A⁺A d and d⊥ = (I − A⁺A) d, so that d = d∥ + d⊥ and A d⊥ = 0 exactly. The split has to use A and not W: ker(W) is contained in ker(P W) but is generally smaller, so a shift can move the raw scores and still leave every class-score difference untouched, and projecting on W would count it as relevant. By construction only the first can move a decision, and that is what Proposition 3 says; what the data add is that its </w:t>
      </w:r>
      <w:r>
        <w:rPr>
          <w:rFonts w:ascii="Times New Roman" w:hAnsi="Times New Roman" w:eastAsia="Times New Roman" w:cs="Times New Roman"/>
          <w:b w:val="0"/>
          <w:i/>
          <w:sz w:val="24"/>
        </w:rPr>
        <w:t>magnitude</w:t>
      </w:r>
      <w:r>
        <w:rPr>
          <w:rFonts w:ascii="Times New Roman" w:hAnsi="Times New Roman" w:eastAsia="Times New Roman" w:cs="Times New Roman"/>
          <w:b w:val="0"/>
          <w:i w:val="0"/>
          <w:sz w:val="24"/>
        </w:rPr>
        <w:t xml:space="preserve"> does not order the damage: across the 845 cells the rank correlation between ‖A d‖ and the penalty is +0.03, and between ‖d⊥‖ and the penalty +0.08, with within-dataset values between −0.04 and +0.59. The reason is the one Equation (4) gives: the damage is a threshold-crossing function of the shift and of where the threshold sits, not a monotone function of the shift. A real shift therefore does not reproduce the clean sweep, and the paper does not claim that it does — the sweep is a controlled input, the model of Section 2.3 is what connects it to the damage, and the online comparison of Section 4.2 is what connects the model to a deployment.</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617"/>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27"/>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98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7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07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1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617"/>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csp</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0.22</w:t>
            </w:r>
          </w:p>
        </w:tc>
        <w:tc>
          <w:tcPr>
            <w:tcW w:type="dxa" w:w="1078"/>
          </w:tcPr>
          <w:p>
            <w:pPr>
              <w:spacing w:before="40" w:after="40" w:line="240" w:lineRule="auto"/>
              <w:jc w:val="center"/>
            </w:pPr>
            <w:r/>
            <w:r>
              <w:rPr>
                <w:rFonts w:ascii="Times New Roman" w:hAnsi="Times New Roman" w:eastAsia="Times New Roman" w:cs="Times New Roman"/>
                <w:b w:val="0"/>
                <w:i w:val="0"/>
                <w:sz w:val="18"/>
              </w:rPr>
              <w:t>0.068</w:t>
            </w:r>
          </w:p>
        </w:tc>
        <w:tc>
          <w:tcPr>
            <w:tcW w:type="dxa" w:w="1168"/>
          </w:tcPr>
          <w:p>
            <w:pPr>
              <w:spacing w:before="40" w:after="40" w:line="240" w:lineRule="auto"/>
              <w:jc w:val="center"/>
            </w:pPr>
            <w:r/>
            <w:r>
              <w:rPr>
                <w:rFonts w:ascii="Times New Roman" w:hAnsi="Times New Roman" w:eastAsia="Times New Roman" w:cs="Times New Roman"/>
                <w:b w:val="0"/>
                <w:i w:val="0"/>
                <w:sz w:val="18"/>
              </w:rPr>
              <w:t>+0.018</w:t>
            </w:r>
          </w:p>
        </w:tc>
        <w:tc>
          <w:tcPr>
            <w:tcW w:type="dxa" w:w="1617"/>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NER2015</w:t>
            </w:r>
          </w:p>
        </w:tc>
        <w:tc>
          <w:tcPr>
            <w:tcW w:type="dxa" w:w="1527"/>
          </w:tcPr>
          <w:p>
            <w:pPr>
              <w:spacing w:before="40" w:after="40" w:line="240" w:lineRule="auto"/>
              <w:jc w:val="left"/>
            </w:pPr>
            <w:r/>
            <w:r>
              <w:rPr>
                <w:rFonts w:ascii="Times New Roman" w:hAnsi="Times New Roman" w:eastAsia="Times New Roman" w:cs="Times New Roman"/>
                <w:b w:val="0"/>
                <w:i w:val="0"/>
                <w:sz w:val="18"/>
              </w:rPr>
              <w:t>time mean</w:t>
            </w:r>
          </w:p>
        </w:tc>
        <w:tc>
          <w:tcPr>
            <w:tcW w:type="dxa" w:w="988"/>
          </w:tcPr>
          <w:p>
            <w:pPr>
              <w:spacing w:before="40" w:after="40" w:line="240" w:lineRule="auto"/>
              <w:jc w:val="center"/>
            </w:pPr>
            <w:r/>
            <w:r>
              <w:rPr>
                <w:rFonts w:ascii="Times New Roman" w:hAnsi="Times New Roman" w:eastAsia="Times New Roman" w:cs="Times New Roman"/>
                <w:b w:val="0"/>
                <w:i w:val="0"/>
                <w:sz w:val="18"/>
              </w:rPr>
              <w:t>320</w:t>
            </w:r>
          </w:p>
        </w:tc>
        <w:tc>
          <w:tcPr>
            <w:tcW w:type="dxa" w:w="1078"/>
          </w:tcPr>
          <w:p>
            <w:pPr>
              <w:spacing w:before="40" w:after="40" w:line="240" w:lineRule="auto"/>
              <w:jc w:val="center"/>
            </w:pPr>
            <w:r/>
            <w:r>
              <w:rPr>
                <w:rFonts w:ascii="Times New Roman" w:hAnsi="Times New Roman" w:eastAsia="Times New Roman" w:cs="Times New Roman"/>
                <w:b w:val="0"/>
                <w:i w:val="0"/>
                <w:sz w:val="18"/>
              </w:rPr>
              <w:t>0.20</w:t>
            </w:r>
          </w:p>
        </w:tc>
        <w:tc>
          <w:tcPr>
            <w:tcW w:type="dxa" w:w="1078"/>
          </w:tcPr>
          <w:p>
            <w:pPr>
              <w:spacing w:before="40" w:after="40" w:line="240" w:lineRule="auto"/>
              <w:jc w:val="center"/>
            </w:pPr>
            <w:r/>
            <w:r>
              <w:rPr>
                <w:rFonts w:ascii="Times New Roman" w:hAnsi="Times New Roman" w:eastAsia="Times New Roman" w:cs="Times New Roman"/>
                <w:b w:val="0"/>
                <w:i w:val="0"/>
                <w:sz w:val="18"/>
              </w:rPr>
              <w:t>0.230</w:t>
            </w:r>
          </w:p>
        </w:tc>
        <w:tc>
          <w:tcPr>
            <w:tcW w:type="dxa" w:w="1168"/>
          </w:tcPr>
          <w:p>
            <w:pPr>
              <w:spacing w:before="40" w:after="40" w:line="240" w:lineRule="auto"/>
              <w:jc w:val="center"/>
            </w:pPr>
            <w:r/>
            <w:r>
              <w:rPr>
                <w:rFonts w:ascii="Times New Roman" w:hAnsi="Times New Roman" w:eastAsia="Times New Roman" w:cs="Times New Roman"/>
                <w:b w:val="0"/>
                <w:i w:val="0"/>
                <w:sz w:val="18"/>
              </w:rPr>
              <w:t>0.000</w:t>
            </w:r>
          </w:p>
        </w:tc>
        <w:tc>
          <w:tcPr>
            <w:tcW w:type="dxa" w:w="1617"/>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27"/>
          </w:tcPr>
          <w:p>
            <w:pPr>
              <w:spacing w:before="40" w:after="40" w:line="240" w:lineRule="auto"/>
              <w:jc w:val="left"/>
            </w:pPr>
            <w:r/>
            <w:r>
              <w:rPr>
                <w:rFonts w:ascii="Times New Roman" w:hAnsi="Times New Roman" w:eastAsia="Times New Roman" w:cs="Times New Roman"/>
                <w:b w:val="0"/>
                <w:i w:val="0"/>
                <w:sz w:val="18"/>
              </w:rPr>
              <w:t>log power</w:t>
            </w:r>
          </w:p>
        </w:tc>
        <w:tc>
          <w:tcPr>
            <w:tcW w:type="dxa" w:w="988"/>
          </w:tcPr>
          <w:p>
            <w:pPr>
              <w:spacing w:before="40" w:after="40" w:line="240" w:lineRule="auto"/>
              <w:jc w:val="center"/>
            </w:pPr>
            <w:r/>
            <w:r>
              <w:rPr>
                <w:rFonts w:ascii="Times New Roman" w:hAnsi="Times New Roman" w:eastAsia="Times New Roman" w:cs="Times New Roman"/>
                <w:b w:val="0"/>
                <w:i w:val="0"/>
                <w:sz w:val="18"/>
              </w:rPr>
              <w:t>336</w:t>
            </w:r>
          </w:p>
        </w:tc>
        <w:tc>
          <w:tcPr>
            <w:tcW w:type="dxa" w:w="1078"/>
          </w:tcPr>
          <w:p>
            <w:pPr>
              <w:spacing w:before="40" w:after="40" w:line="240" w:lineRule="auto"/>
              <w:jc w:val="center"/>
            </w:pPr>
            <w:r/>
            <w:r>
              <w:rPr>
                <w:rFonts w:ascii="Times New Roman" w:hAnsi="Times New Roman" w:eastAsia="Times New Roman" w:cs="Times New Roman"/>
                <w:b w:val="0"/>
                <w:i w:val="0"/>
                <w:sz w:val="18"/>
              </w:rPr>
              <w:t>0.25</w:t>
            </w:r>
          </w:p>
        </w:tc>
        <w:tc>
          <w:tcPr>
            <w:tcW w:type="dxa" w:w="1078"/>
          </w:tcPr>
          <w:p>
            <w:pPr>
              <w:spacing w:before="40" w:after="40" w:line="240" w:lineRule="auto"/>
              <w:jc w:val="center"/>
            </w:pPr>
            <w:r/>
            <w:r>
              <w:rPr>
                <w:rFonts w:ascii="Times New Roman" w:hAnsi="Times New Roman" w:eastAsia="Times New Roman" w:cs="Times New Roman"/>
                <w:b w:val="0"/>
                <w:i w:val="0"/>
                <w:sz w:val="18"/>
              </w:rPr>
              <w:t>0.289</w:t>
            </w:r>
          </w:p>
        </w:tc>
        <w:tc>
          <w:tcPr>
            <w:tcW w:type="dxa" w:w="1168"/>
          </w:tcPr>
          <w:p>
            <w:pPr>
              <w:spacing w:before="40" w:after="40" w:line="240" w:lineRule="auto"/>
              <w:jc w:val="center"/>
            </w:pPr>
            <w:r/>
            <w:r>
              <w:rPr>
                <w:rFonts w:ascii="Times New Roman" w:hAnsi="Times New Roman" w:eastAsia="Times New Roman" w:cs="Times New Roman"/>
                <w:b w:val="0"/>
                <w:i w:val="0"/>
                <w:sz w:val="18"/>
              </w:rPr>
              <w:t>−0.015</w:t>
            </w:r>
          </w:p>
        </w:tc>
        <w:tc>
          <w:tcPr>
            <w:tcW w:type="dxa" w:w="1617"/>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csp</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0.40</w:t>
            </w:r>
          </w:p>
        </w:tc>
        <w:tc>
          <w:tcPr>
            <w:tcW w:type="dxa" w:w="1078"/>
          </w:tcPr>
          <w:p>
            <w:pPr>
              <w:spacing w:before="40" w:after="40" w:line="240" w:lineRule="auto"/>
              <w:jc w:val="center"/>
            </w:pPr>
            <w:r/>
            <w:r>
              <w:rPr>
                <w:rFonts w:ascii="Times New Roman" w:hAnsi="Times New Roman" w:eastAsia="Times New Roman" w:cs="Times New Roman"/>
                <w:b w:val="0"/>
                <w:i w:val="0"/>
                <w:sz w:val="18"/>
              </w:rPr>
              <w:t>0.287</w:t>
            </w:r>
          </w:p>
        </w:tc>
        <w:tc>
          <w:tcPr>
            <w:tcW w:type="dxa" w:w="1168"/>
          </w:tcPr>
          <w:p>
            <w:pPr>
              <w:spacing w:before="40" w:after="40" w:line="240" w:lineRule="auto"/>
              <w:jc w:val="center"/>
            </w:pPr>
            <w:r/>
            <w:r>
              <w:rPr>
                <w:rFonts w:ascii="Times New Roman" w:hAnsi="Times New Roman" w:eastAsia="Times New Roman" w:cs="Times New Roman"/>
                <w:b w:val="0"/>
                <w:i w:val="0"/>
                <w:sz w:val="18"/>
              </w:rPr>
              <w:t>+0.024</w:t>
            </w:r>
          </w:p>
        </w:tc>
        <w:tc>
          <w:tcPr>
            <w:tcW w:type="dxa" w:w="1617"/>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tan †</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0.37</w:t>
            </w:r>
          </w:p>
        </w:tc>
        <w:tc>
          <w:tcPr>
            <w:tcW w:type="dxa" w:w="1078"/>
          </w:tcPr>
          <w:p>
            <w:pPr>
              <w:spacing w:before="40" w:after="40" w:line="240" w:lineRule="auto"/>
              <w:jc w:val="center"/>
            </w:pPr>
            <w:r/>
            <w:r>
              <w:rPr>
                <w:rFonts w:ascii="Times New Roman" w:hAnsi="Times New Roman" w:eastAsia="Times New Roman" w:cs="Times New Roman"/>
                <w:b w:val="0"/>
                <w:i w:val="0"/>
                <w:sz w:val="18"/>
              </w:rPr>
              <w:t>0.309</w:t>
            </w:r>
          </w:p>
        </w:tc>
        <w:tc>
          <w:tcPr>
            <w:tcW w:type="dxa" w:w="1168"/>
          </w:tcPr>
          <w:p>
            <w:pPr>
              <w:spacing w:before="40" w:after="40" w:line="240" w:lineRule="auto"/>
              <w:jc w:val="center"/>
            </w:pPr>
            <w:r/>
            <w:r>
              <w:rPr>
                <w:rFonts w:ascii="Times New Roman" w:hAnsi="Times New Roman" w:eastAsia="Times New Roman" w:cs="Times New Roman"/>
                <w:b w:val="0"/>
                <w:i w:val="0"/>
                <w:sz w:val="18"/>
              </w:rPr>
              <w:t>+0.014</w:t>
            </w:r>
          </w:p>
        </w:tc>
        <w:tc>
          <w:tcPr>
            <w:tcW w:type="dxa" w:w="1617"/>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euc_ea †</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0.64</w:t>
            </w:r>
          </w:p>
        </w:tc>
        <w:tc>
          <w:tcPr>
            <w:tcW w:type="dxa" w:w="1078"/>
          </w:tcPr>
          <w:p>
            <w:pPr>
              <w:spacing w:before="40" w:after="40" w:line="240" w:lineRule="auto"/>
              <w:jc w:val="center"/>
            </w:pPr>
            <w:r/>
            <w:r>
              <w:rPr>
                <w:rFonts w:ascii="Times New Roman" w:hAnsi="Times New Roman" w:eastAsia="Times New Roman" w:cs="Times New Roman"/>
                <w:b w:val="0"/>
                <w:i w:val="0"/>
                <w:sz w:val="18"/>
              </w:rPr>
              <w:t>0.597</w:t>
            </w:r>
          </w:p>
        </w:tc>
        <w:tc>
          <w:tcPr>
            <w:tcW w:type="dxa" w:w="1168"/>
          </w:tcPr>
          <w:p>
            <w:pPr>
              <w:spacing w:before="40" w:after="40" w:line="240" w:lineRule="auto"/>
              <w:jc w:val="center"/>
            </w:pPr>
            <w:r/>
            <w:r>
              <w:rPr>
                <w:rFonts w:ascii="Times New Roman" w:hAnsi="Times New Roman" w:eastAsia="Times New Roman" w:cs="Times New Roman"/>
                <w:b w:val="0"/>
                <w:i w:val="0"/>
                <w:sz w:val="18"/>
              </w:rPr>
              <w:t>−0.014</w:t>
            </w:r>
          </w:p>
        </w:tc>
        <w:tc>
          <w:tcPr>
            <w:tcW w:type="dxa" w:w="1617"/>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euc</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7.87</w:t>
            </w:r>
          </w:p>
        </w:tc>
        <w:tc>
          <w:tcPr>
            <w:tcW w:type="dxa" w:w="1078"/>
          </w:tcPr>
          <w:p>
            <w:pPr>
              <w:spacing w:before="40" w:after="40" w:line="240" w:lineRule="auto"/>
              <w:jc w:val="center"/>
            </w:pPr>
            <w:r/>
            <w:r>
              <w:rPr>
                <w:rFonts w:ascii="Times New Roman" w:hAnsi="Times New Roman" w:eastAsia="Times New Roman" w:cs="Times New Roman"/>
                <w:b w:val="0"/>
                <w:i w:val="0"/>
                <w:sz w:val="18"/>
              </w:rPr>
              <w:t>4.399</w:t>
            </w:r>
          </w:p>
        </w:tc>
        <w:tc>
          <w:tcPr>
            <w:tcW w:type="dxa" w:w="1168"/>
          </w:tcPr>
          <w:p>
            <w:pPr>
              <w:spacing w:before="40" w:after="40" w:line="240" w:lineRule="auto"/>
              <w:jc w:val="center"/>
            </w:pPr>
            <w:r/>
            <w:r>
              <w:rPr>
                <w:rFonts w:ascii="Times New Roman" w:hAnsi="Times New Roman" w:eastAsia="Times New Roman" w:cs="Times New Roman"/>
                <w:b w:val="0"/>
                <w:i w:val="0"/>
                <w:sz w:val="18"/>
              </w:rPr>
              <w:t>−0.184</w:t>
            </w:r>
          </w:p>
        </w:tc>
        <w:tc>
          <w:tcPr>
            <w:tcW w:type="dxa" w:w="1617"/>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tan †</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21.2</w:t>
            </w:r>
          </w:p>
        </w:tc>
        <w:tc>
          <w:tcPr>
            <w:tcW w:type="dxa" w:w="1078"/>
          </w:tcPr>
          <w:p>
            <w:pPr>
              <w:spacing w:before="40" w:after="40" w:line="240" w:lineRule="auto"/>
              <w:jc w:val="center"/>
            </w:pPr>
            <w:r/>
            <w:r>
              <w:rPr>
                <w:rFonts w:ascii="Times New Roman" w:hAnsi="Times New Roman" w:eastAsia="Times New Roman" w:cs="Times New Roman"/>
                <w:b w:val="0"/>
                <w:i w:val="0"/>
                <w:sz w:val="18"/>
              </w:rPr>
              <w:t>5.117</w:t>
            </w:r>
          </w:p>
        </w:tc>
        <w:tc>
          <w:tcPr>
            <w:tcW w:type="dxa" w:w="1168"/>
          </w:tcPr>
          <w:p>
            <w:pPr>
              <w:spacing w:before="40" w:after="40" w:line="240" w:lineRule="auto"/>
              <w:jc w:val="center"/>
            </w:pPr>
            <w:r/>
            <w:r>
              <w:rPr>
                <w:rFonts w:ascii="Times New Roman" w:hAnsi="Times New Roman" w:eastAsia="Times New Roman" w:cs="Times New Roman"/>
                <w:b w:val="0"/>
                <w:i w:val="0"/>
                <w:sz w:val="18"/>
              </w:rPr>
              <w:t>−0.160</w:t>
            </w:r>
          </w:p>
        </w:tc>
        <w:tc>
          <w:tcPr>
            <w:tcW w:type="dxa" w:w="1617"/>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euc_ea †</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14.2</w:t>
            </w:r>
          </w:p>
        </w:tc>
        <w:tc>
          <w:tcPr>
            <w:tcW w:type="dxa" w:w="1078"/>
          </w:tcPr>
          <w:p>
            <w:pPr>
              <w:spacing w:before="40" w:after="40" w:line="240" w:lineRule="auto"/>
              <w:jc w:val="center"/>
            </w:pPr>
            <w:r/>
            <w:r>
              <w:rPr>
                <w:rFonts w:ascii="Times New Roman" w:hAnsi="Times New Roman" w:eastAsia="Times New Roman" w:cs="Times New Roman"/>
                <w:b w:val="0"/>
                <w:i w:val="0"/>
                <w:sz w:val="18"/>
              </w:rPr>
              <w:t>5.405</w:t>
            </w:r>
          </w:p>
        </w:tc>
        <w:tc>
          <w:tcPr>
            <w:tcW w:type="dxa" w:w="1168"/>
          </w:tcPr>
          <w:p>
            <w:pPr>
              <w:spacing w:before="40" w:after="40" w:line="240" w:lineRule="auto"/>
              <w:jc w:val="center"/>
            </w:pPr>
            <w:r/>
            <w:r>
              <w:rPr>
                <w:rFonts w:ascii="Times New Roman" w:hAnsi="Times New Roman" w:eastAsia="Times New Roman" w:cs="Times New Roman"/>
                <w:b w:val="0"/>
                <w:i w:val="0"/>
                <w:sz w:val="18"/>
              </w:rPr>
              <w:t>−0.137</w:t>
            </w:r>
          </w:p>
        </w:tc>
        <w:tc>
          <w:tcPr>
            <w:tcW w:type="dxa" w:w="1617"/>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SEED</w:t>
            </w:r>
          </w:p>
        </w:tc>
        <w:tc>
          <w:tcPr>
            <w:tcW w:type="dxa" w:w="1527"/>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988"/>
          </w:tcPr>
          <w:p>
            <w:pPr>
              <w:spacing w:before="40" w:after="40" w:line="240" w:lineRule="auto"/>
              <w:jc w:val="center"/>
            </w:pPr>
            <w:r/>
            <w:r>
              <w:rPr>
                <w:rFonts w:ascii="Times New Roman" w:hAnsi="Times New Roman" w:eastAsia="Times New Roman" w:cs="Times New Roman"/>
                <w:b w:val="0"/>
                <w:i w:val="0"/>
                <w:sz w:val="18"/>
              </w:rPr>
              <w:t>45</w:t>
            </w:r>
          </w:p>
        </w:tc>
        <w:tc>
          <w:tcPr>
            <w:tcW w:type="dxa" w:w="1078"/>
          </w:tcPr>
          <w:p>
            <w:pPr>
              <w:spacing w:before="40" w:after="40" w:line="240" w:lineRule="auto"/>
              <w:jc w:val="center"/>
            </w:pPr>
            <w:r/>
            <w:r>
              <w:rPr>
                <w:rFonts w:ascii="Times New Roman" w:hAnsi="Times New Roman" w:eastAsia="Times New Roman" w:cs="Times New Roman"/>
                <w:b w:val="0"/>
                <w:i w:val="0"/>
                <w:sz w:val="18"/>
              </w:rPr>
              <w:t>34.2</w:t>
            </w:r>
          </w:p>
        </w:tc>
        <w:tc>
          <w:tcPr>
            <w:tcW w:type="dxa" w:w="1078"/>
          </w:tcPr>
          <w:p>
            <w:pPr>
              <w:spacing w:before="40" w:after="40" w:line="240" w:lineRule="auto"/>
              <w:jc w:val="center"/>
            </w:pPr>
            <w:r/>
            <w:r>
              <w:rPr>
                <w:rFonts w:ascii="Times New Roman" w:hAnsi="Times New Roman" w:eastAsia="Times New Roman" w:cs="Times New Roman"/>
                <w:b w:val="0"/>
                <w:i w:val="0"/>
                <w:sz w:val="18"/>
              </w:rPr>
              <w:t>12.36</w:t>
            </w:r>
          </w:p>
        </w:tc>
        <w:tc>
          <w:tcPr>
            <w:tcW w:type="dxa" w:w="1168"/>
          </w:tcPr>
          <w:p>
            <w:pPr>
              <w:spacing w:before="40" w:after="40" w:line="240" w:lineRule="auto"/>
              <w:jc w:val="center"/>
            </w:pPr>
            <w:r/>
            <w:r>
              <w:rPr>
                <w:rFonts w:ascii="Times New Roman" w:hAnsi="Times New Roman" w:eastAsia="Times New Roman" w:cs="Times New Roman"/>
                <w:b w:val="0"/>
                <w:i w:val="0"/>
                <w:sz w:val="18"/>
              </w:rPr>
              <w:t>−0.029</w:t>
            </w:r>
          </w:p>
        </w:tc>
        <w:tc>
          <w:tcPr>
            <w:tcW w:type="dxa" w:w="1617"/>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euc</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57.1</w:t>
            </w:r>
          </w:p>
        </w:tc>
        <w:tc>
          <w:tcPr>
            <w:tcW w:type="dxa" w:w="1078"/>
          </w:tcPr>
          <w:p>
            <w:pPr>
              <w:spacing w:before="40" w:after="40" w:line="240" w:lineRule="auto"/>
              <w:jc w:val="center"/>
            </w:pPr>
            <w:r/>
            <w:r>
              <w:rPr>
                <w:rFonts w:ascii="Times New Roman" w:hAnsi="Times New Roman" w:eastAsia="Times New Roman" w:cs="Times New Roman"/>
                <w:b w:val="0"/>
                <w:i w:val="0"/>
                <w:sz w:val="18"/>
              </w:rPr>
              <w:t>23.31</w:t>
            </w:r>
          </w:p>
        </w:tc>
        <w:tc>
          <w:tcPr>
            <w:tcW w:type="dxa" w:w="1168"/>
          </w:tcPr>
          <w:p>
            <w:pPr>
              <w:spacing w:before="40" w:after="40" w:line="240" w:lineRule="auto"/>
              <w:jc w:val="center"/>
            </w:pPr>
            <w:r/>
            <w:r>
              <w:rPr>
                <w:rFonts w:ascii="Times New Roman" w:hAnsi="Times New Roman" w:eastAsia="Times New Roman" w:cs="Times New Roman"/>
                <w:b w:val="0"/>
                <w:i w:val="0"/>
                <w:sz w:val="18"/>
              </w:rPr>
              <w:t>−0.186</w:t>
            </w:r>
          </w:p>
        </w:tc>
        <w:tc>
          <w:tcPr>
            <w:tcW w:type="dxa" w:w="1617"/>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12.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Six properties are checked by an executable test.</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tests_properties.py</w:t>
      </w:r>
      <w:r>
        <w:rPr>
          <w:rFonts w:ascii="Times New Roman" w:hAnsi="Times New Roman" w:eastAsia="Times New Roman" w:cs="Times New Roman"/>
          <w:b w:val="0"/>
          <w:i w:val="0"/>
          <w:sz w:val="24"/>
        </w:rPr>
        <w:t xml:space="preserve"> asserts, on a real cell of BCI-2b, that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give identical predictions sample by sample; that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do; that the feature-space and score-space corrections agree to 1e-10; that z_w is invariant to a class-common score term to 1e-12; that the collapse identity is consistent with the observed collapse; and that the causal mean at trial t is unchanged when every later trial is replaced by noise. All six pass, and the script prints one line per property.</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13.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stores a scaling estimated on the data given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(a fixed per-channel-type scaling by default, a fitted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in the </w:t>
            </w:r>
            <w:r>
              <w:rPr>
                <w:rFonts w:ascii="Courier New" w:hAnsi="Courier New" w:eastAsia="Courier New" w:cs="Courier New"/>
                <w:b w:val="0"/>
                <w:i w:val="0"/>
                <w:sz w:val="18"/>
              </w:rPr>
              <w:t>scalings='mean'</w:t>
            </w:r>
            <w:r>
              <w:rPr>
                <w:rFonts w:ascii="Times New Roman" w:hAnsi="Times New Roman" w:eastAsia="Times New Roman" w:cs="Times New Roman"/>
                <w:b w:val="0"/>
                <w:i w:val="0"/>
                <w:sz w:val="18"/>
              </w:rPr>
              <w:t xml:space="preserve"> mode) and applies it in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240" w:after="120" w:line="240" w:lineRule="auto"/>
      </w:pPr>
      <w:r>
        <w:rPr>
          <w:rFonts w:ascii="Times New Roman" w:hAnsi="Times New Roman" w:eastAsia="Times New Roman" w:cs="Times New Roman"/>
          <w:b/>
          <w:i/>
          <w:sz w:val="24"/>
        </w:rPr>
        <w:t>4.12. Synthetic analysis of correction failure regimes</w:t>
      </w:r>
    </w:p>
    <w:p>
      <w:pPr>
        <w:spacing w:before="0" w:after="0" w:line="480" w:lineRule="auto"/>
        <w:ind w:firstLine="0" w:left="0"/>
        <w:jc w:val="left"/>
      </w:pPr>
      <w:r>
        <w:rPr>
          <w:rFonts w:ascii="Times New Roman" w:hAnsi="Times New Roman" w:eastAsia="Times New Roman" w:cs="Times New Roman"/>
          <w:b w:val="0"/>
          <w:i w:val="0"/>
          <w:sz w:val="24"/>
        </w:rPr>
        <w:t>The comparisons above are observational: they say which estimator wins where, not why. To separate the mechanisms we built a controlled generator in which the target session carries a class-conditional distribution that is fixed and a session-level offset that is the sum of a constant term, a linear drift, step changes at block boundaries, and — in a separate condition — a change of the class proportions only. The classifier, the causal protocol, the block length and the estimator implementations are the ones used on the EEG data (Section 4.2), so the synthetic and real numbers come from one code path. Class separation was calibrated so that the uncorrected target sits at balanced accuracy 0.70; with a trivially separable task every correction is unnecessary and the comparison is vacuous.</w:t>
      </w:r>
    </w:p>
    <w:p>
      <w:pPr>
        <w:spacing w:before="0" w:after="0" w:line="480" w:lineRule="auto"/>
        <w:ind w:firstLine="0" w:left="0"/>
        <w:jc w:val="left"/>
      </w:pPr>
      <w:r>
        <w:rPr>
          <w:rFonts w:ascii="Times New Roman" w:hAnsi="Times New Roman" w:eastAsia="Times New Roman" w:cs="Times New Roman"/>
          <w:b/>
          <w:i w:val="0"/>
          <w:sz w:val="24"/>
        </w:rPr>
        <w:t>The real shifts differ in structure, and the difference is measurable.</w:t>
      </w:r>
      <w:r>
        <w:rPr>
          <w:rFonts w:ascii="Times New Roman" w:hAnsi="Times New Roman" w:eastAsia="Times New Roman" w:cs="Times New Roman"/>
          <w:b w:val="0"/>
          <w:i w:val="0"/>
          <w:sz w:val="24"/>
        </w:rPr>
        <w:t xml:space="preserve"> For every cell we took the sequence of block displacements d_b = P W (μ_b − μ_A) and summarised it by the share of its variance explained by a linear ramp (R² of a per-component fit), the Theil–Sen trend scaled to the session, and the median block-to-block change.</w:t>
      </w:r>
    </w:p>
    <w:p>
      <w:pPr>
        <w:keepNext/>
        <w:spacing w:before="240" w:after="80" w:line="240" w:lineRule="auto"/>
      </w:pPr>
      <w:r>
        <w:rPr>
          <w:rFonts w:ascii="Times New Roman" w:hAnsi="Times New Roman" w:eastAsia="Times New Roman" w:cs="Times New Roman"/>
          <w:b/>
          <w:i w:val="0"/>
          <w:sz w:val="21"/>
        </w:rPr>
        <w:t xml:space="preserve">Table 14. </w:t>
      </w:r>
      <w:r>
        <w:rPr>
          <w:rFonts w:ascii="Times New Roman" w:hAnsi="Times New Roman" w:eastAsia="Times New Roman" w:cs="Times New Roman"/>
          <w:b w:val="0"/>
          <w:i w:val="0"/>
          <w:sz w:val="21"/>
        </w:rPr>
        <w:t>Temporal structure of the block-mean displacement on the real data, median over cells, block length 15.</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814"/>
        <w:gridCol w:w="1814"/>
        <w:gridCol w:w="1814"/>
        <w:gridCol w:w="1814"/>
        <w:gridCol w:w="1814"/>
      </w:tblGrid>
      <w:tr>
        <w:trPr>
          <w:tblHeader/>
        </w:trPr>
        <w:tc>
          <w:tcPr>
            <w:tcW w:type="dxa" w:w="181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81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R² of a linear ramp</w:t>
            </w:r>
          </w:p>
        </w:tc>
        <w:tc>
          <w:tcPr>
            <w:tcW w:type="dxa" w:w="181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trend</w:t>
            </w:r>
          </w:p>
        </w:tc>
        <w:tc>
          <w:tcPr>
            <w:tcW w:type="dxa" w:w="181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block-to-block change</w:t>
            </w:r>
          </w:p>
        </w:tc>
        <w:tc>
          <w:tcPr>
            <w:tcW w:type="dxa" w:w="181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blocks per session</w:t>
            </w:r>
          </w:p>
        </w:tc>
      </w:tr>
      <w:tr>
        <w:tc>
          <w:tcPr>
            <w:tcW w:type="dxa" w:w="181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814"/>
          </w:tcPr>
          <w:p>
            <w:pPr>
              <w:spacing w:before="40" w:after="40" w:line="240" w:lineRule="auto"/>
              <w:jc w:val="left"/>
            </w:pPr>
            <w:r/>
            <w:r>
              <w:rPr>
                <w:rFonts w:ascii="Times New Roman" w:hAnsi="Times New Roman" w:eastAsia="Times New Roman" w:cs="Times New Roman"/>
                <w:b/>
                <w:i w:val="0"/>
                <w:sz w:val="18"/>
              </w:rPr>
              <w:t>0.80</w:t>
            </w:r>
          </w:p>
        </w:tc>
        <w:tc>
          <w:tcPr>
            <w:tcW w:type="dxa" w:w="1814"/>
          </w:tcPr>
          <w:p>
            <w:pPr>
              <w:spacing w:before="40" w:after="40" w:line="240" w:lineRule="auto"/>
              <w:jc w:val="center"/>
            </w:pPr>
            <w:r/>
            <w:r>
              <w:rPr>
                <w:rFonts w:ascii="Times New Roman" w:hAnsi="Times New Roman" w:eastAsia="Times New Roman" w:cs="Times New Roman"/>
                <w:b w:val="0"/>
                <w:i w:val="0"/>
                <w:sz w:val="18"/>
              </w:rPr>
              <w:t>3.18</w:t>
            </w:r>
          </w:p>
        </w:tc>
        <w:tc>
          <w:tcPr>
            <w:tcW w:type="dxa" w:w="1814"/>
          </w:tcPr>
          <w:p>
            <w:pPr>
              <w:spacing w:before="40" w:after="40" w:line="240" w:lineRule="auto"/>
              <w:jc w:val="center"/>
            </w:pPr>
            <w:r/>
            <w:r>
              <w:rPr>
                <w:rFonts w:ascii="Times New Roman" w:hAnsi="Times New Roman" w:eastAsia="Times New Roman" w:cs="Times New Roman"/>
                <w:b w:val="0"/>
                <w:i w:val="0"/>
                <w:sz w:val="18"/>
              </w:rPr>
              <w:t>0.62</w:t>
            </w:r>
          </w:p>
        </w:tc>
        <w:tc>
          <w:tcPr>
            <w:tcW w:type="dxa" w:w="1814"/>
          </w:tcPr>
          <w:p>
            <w:pPr>
              <w:spacing w:before="40" w:after="40" w:line="240" w:lineRule="auto"/>
              <w:jc w:val="center"/>
            </w:pPr>
            <w:r/>
            <w:r>
              <w:rPr>
                <w:rFonts w:ascii="Times New Roman" w:hAnsi="Times New Roman" w:eastAsia="Times New Roman" w:cs="Times New Roman"/>
                <w:b w:val="0"/>
                <w:i w:val="0"/>
                <w:sz w:val="18"/>
              </w:rPr>
              <w:t>5</w:t>
            </w:r>
          </w:p>
        </w:tc>
      </w:tr>
      <w:tr>
        <w:tc>
          <w:tcPr>
            <w:tcW w:type="dxa" w:w="1814"/>
          </w:tcPr>
          <w:p>
            <w:pPr>
              <w:spacing w:before="40" w:after="40" w:line="240" w:lineRule="auto"/>
              <w:jc w:val="center"/>
            </w:pPr>
            <w:r/>
            <w:r>
              <w:rPr>
                <w:rFonts w:ascii="Times New Roman" w:hAnsi="Times New Roman" w:eastAsia="Times New Roman" w:cs="Times New Roman"/>
                <w:b w:val="0"/>
                <w:i w:val="0"/>
                <w:sz w:val="18"/>
              </w:rPr>
              <w:t>SEED</w:t>
            </w:r>
          </w:p>
        </w:tc>
        <w:tc>
          <w:tcPr>
            <w:tcW w:type="dxa" w:w="1814"/>
          </w:tcPr>
          <w:p>
            <w:pPr>
              <w:spacing w:before="40" w:after="40" w:line="240" w:lineRule="auto"/>
              <w:jc w:val="left"/>
            </w:pPr>
            <w:r/>
            <w:r>
              <w:rPr>
                <w:rFonts w:ascii="Times New Roman" w:hAnsi="Times New Roman" w:eastAsia="Times New Roman" w:cs="Times New Roman"/>
                <w:b w:val="0"/>
                <w:i w:val="0"/>
                <w:sz w:val="18"/>
              </w:rPr>
              <w:t>0.06</w:t>
            </w:r>
          </w:p>
        </w:tc>
        <w:tc>
          <w:tcPr>
            <w:tcW w:type="dxa" w:w="1814"/>
          </w:tcPr>
          <w:p>
            <w:pPr>
              <w:spacing w:before="40" w:after="40" w:line="240" w:lineRule="auto"/>
              <w:jc w:val="center"/>
            </w:pPr>
            <w:r/>
            <w:r>
              <w:rPr>
                <w:rFonts w:ascii="Times New Roman" w:hAnsi="Times New Roman" w:eastAsia="Times New Roman" w:cs="Times New Roman"/>
                <w:b w:val="0"/>
                <w:i w:val="0"/>
                <w:sz w:val="18"/>
              </w:rPr>
              <w:t>0.35</w:t>
            </w:r>
          </w:p>
        </w:tc>
        <w:tc>
          <w:tcPr>
            <w:tcW w:type="dxa" w:w="1814"/>
          </w:tcPr>
          <w:p>
            <w:pPr>
              <w:spacing w:before="40" w:after="40" w:line="240" w:lineRule="auto"/>
              <w:jc w:val="center"/>
            </w:pPr>
            <w:r/>
            <w:r>
              <w:rPr>
                <w:rFonts w:ascii="Times New Roman" w:hAnsi="Times New Roman" w:eastAsia="Times New Roman" w:cs="Times New Roman"/>
                <w:b w:val="0"/>
                <w:i w:val="0"/>
                <w:sz w:val="18"/>
              </w:rPr>
              <w:t>0.05</w:t>
            </w:r>
          </w:p>
        </w:tc>
        <w:tc>
          <w:tcPr>
            <w:tcW w:type="dxa" w:w="1814"/>
          </w:tcPr>
          <w:p>
            <w:pPr>
              <w:spacing w:before="40" w:after="40" w:line="240" w:lineRule="auto"/>
              <w:jc w:val="center"/>
            </w:pPr>
            <w:r/>
            <w:r>
              <w:rPr>
                <w:rFonts w:ascii="Times New Roman" w:hAnsi="Times New Roman" w:eastAsia="Times New Roman" w:cs="Times New Roman"/>
                <w:b w:val="0"/>
                <w:i w:val="0"/>
                <w:sz w:val="18"/>
              </w:rPr>
              <w:t>227</w:t>
            </w:r>
          </w:p>
        </w:tc>
      </w:tr>
      <w:tr>
        <w:tc>
          <w:tcPr>
            <w:tcW w:type="dxa" w:w="1814"/>
          </w:tcPr>
          <w:p>
            <w:pPr>
              <w:spacing w:before="40" w:after="40" w:line="240" w:lineRule="auto"/>
              <w:jc w:val="center"/>
            </w:pPr>
            <w:r/>
            <w:r>
              <w:rPr>
                <w:rFonts w:ascii="Times New Roman" w:hAnsi="Times New Roman" w:eastAsia="Times New Roman" w:cs="Times New Roman"/>
                <w:b w:val="0"/>
                <w:i w:val="0"/>
                <w:sz w:val="18"/>
              </w:rPr>
              <w:t>BCI-2b</w:t>
            </w:r>
          </w:p>
        </w:tc>
        <w:tc>
          <w:tcPr>
            <w:tcW w:type="dxa" w:w="1814"/>
          </w:tcPr>
          <w:p>
            <w:pPr>
              <w:spacing w:before="40" w:after="40" w:line="240" w:lineRule="auto"/>
              <w:jc w:val="left"/>
            </w:pPr>
            <w:r/>
            <w:r>
              <w:rPr>
                <w:rFonts w:ascii="Times New Roman" w:hAnsi="Times New Roman" w:eastAsia="Times New Roman" w:cs="Times New Roman"/>
                <w:b w:val="0"/>
                <w:i w:val="0"/>
                <w:sz w:val="18"/>
              </w:rPr>
              <w:t>0.10</w:t>
            </w:r>
          </w:p>
        </w:tc>
        <w:tc>
          <w:tcPr>
            <w:tcW w:type="dxa" w:w="1814"/>
          </w:tcPr>
          <w:p>
            <w:pPr>
              <w:spacing w:before="40" w:after="40" w:line="240" w:lineRule="auto"/>
              <w:jc w:val="center"/>
            </w:pPr>
            <w:r/>
            <w:r>
              <w:rPr>
                <w:rFonts w:ascii="Times New Roman" w:hAnsi="Times New Roman" w:eastAsia="Times New Roman" w:cs="Times New Roman"/>
                <w:b w:val="0"/>
                <w:i w:val="0"/>
                <w:sz w:val="18"/>
              </w:rPr>
              <w:t>0.66</w:t>
            </w:r>
          </w:p>
        </w:tc>
        <w:tc>
          <w:tcPr>
            <w:tcW w:type="dxa" w:w="1814"/>
          </w:tcPr>
          <w:p>
            <w:pPr>
              <w:spacing w:before="40" w:after="40" w:line="240" w:lineRule="auto"/>
              <w:jc w:val="center"/>
            </w:pPr>
            <w:r/>
            <w:r>
              <w:rPr>
                <w:rFonts w:ascii="Times New Roman" w:hAnsi="Times New Roman" w:eastAsia="Times New Roman" w:cs="Times New Roman"/>
                <w:b w:val="0"/>
                <w:i w:val="0"/>
                <w:sz w:val="18"/>
              </w:rPr>
              <w:t>0.60</w:t>
            </w:r>
          </w:p>
        </w:tc>
        <w:tc>
          <w:tcPr>
            <w:tcW w:type="dxa" w:w="1814"/>
          </w:tcPr>
          <w:p>
            <w:pPr>
              <w:spacing w:before="40" w:after="40" w:line="240" w:lineRule="auto"/>
              <w:jc w:val="center"/>
            </w:pPr>
            <w:r/>
            <w:r>
              <w:rPr>
                <w:rFonts w:ascii="Times New Roman" w:hAnsi="Times New Roman" w:eastAsia="Times New Roman" w:cs="Times New Roman"/>
                <w:b w:val="0"/>
                <w:i w:val="0"/>
                <w:sz w:val="18"/>
              </w:rPr>
              <w:t>9</w:t>
            </w:r>
          </w:p>
        </w:tc>
      </w:tr>
      <w:tr>
        <w:tc>
          <w:tcPr>
            <w:tcW w:type="dxa" w:w="1814"/>
          </w:tcPr>
          <w:p>
            <w:pPr>
              <w:spacing w:before="40" w:after="40" w:line="240" w:lineRule="auto"/>
              <w:jc w:val="center"/>
            </w:pPr>
            <w:r/>
            <w:r>
              <w:rPr>
                <w:rFonts w:ascii="Times New Roman" w:hAnsi="Times New Roman" w:eastAsia="Times New Roman" w:cs="Times New Roman"/>
                <w:b w:val="0"/>
                <w:i w:val="0"/>
                <w:sz w:val="18"/>
              </w:rPr>
              <w:t>BCI-2a</w:t>
            </w:r>
          </w:p>
        </w:tc>
        <w:tc>
          <w:tcPr>
            <w:tcW w:type="dxa" w:w="1814"/>
          </w:tcPr>
          <w:p>
            <w:pPr>
              <w:spacing w:before="40" w:after="40" w:line="240" w:lineRule="auto"/>
              <w:jc w:val="left"/>
            </w:pPr>
            <w:r/>
            <w:r>
              <w:rPr>
                <w:rFonts w:ascii="Times New Roman" w:hAnsi="Times New Roman" w:eastAsia="Times New Roman" w:cs="Times New Roman"/>
                <w:b w:val="0"/>
                <w:i w:val="0"/>
                <w:sz w:val="18"/>
              </w:rPr>
              <w:t>0.12</w:t>
            </w:r>
          </w:p>
        </w:tc>
        <w:tc>
          <w:tcPr>
            <w:tcW w:type="dxa" w:w="1814"/>
          </w:tcPr>
          <w:p>
            <w:pPr>
              <w:spacing w:before="40" w:after="40" w:line="240" w:lineRule="auto"/>
              <w:jc w:val="center"/>
            </w:pPr>
            <w:r/>
            <w:r>
              <w:rPr>
                <w:rFonts w:ascii="Times New Roman" w:hAnsi="Times New Roman" w:eastAsia="Times New Roman" w:cs="Times New Roman"/>
                <w:b w:val="0"/>
                <w:i w:val="0"/>
                <w:sz w:val="18"/>
              </w:rPr>
              <w:t>0.97</w:t>
            </w:r>
          </w:p>
        </w:tc>
        <w:tc>
          <w:tcPr>
            <w:tcW w:type="dxa" w:w="1814"/>
          </w:tcPr>
          <w:p>
            <w:pPr>
              <w:spacing w:before="40" w:after="40" w:line="240" w:lineRule="auto"/>
              <w:jc w:val="center"/>
            </w:pPr>
            <w:r/>
            <w:r>
              <w:rPr>
                <w:rFonts w:ascii="Times New Roman" w:hAnsi="Times New Roman" w:eastAsia="Times New Roman" w:cs="Times New Roman"/>
                <w:b w:val="0"/>
                <w:i w:val="0"/>
                <w:sz w:val="18"/>
              </w:rPr>
              <w:t>0.80</w:t>
            </w:r>
          </w:p>
        </w:tc>
        <w:tc>
          <w:tcPr>
            <w:tcW w:type="dxa" w:w="1814"/>
          </w:tcPr>
          <w:p>
            <w:pPr>
              <w:spacing w:before="40" w:after="40" w:line="240" w:lineRule="auto"/>
              <w:jc w:val="center"/>
            </w:pPr>
            <w:r/>
            <w:r>
              <w:rPr>
                <w:rFonts w:ascii="Times New Roman" w:hAnsi="Times New Roman" w:eastAsia="Times New Roman" w:cs="Times New Roman"/>
                <w:b w:val="0"/>
                <w:i w:val="0"/>
                <w:sz w:val="18"/>
              </w:rPr>
              <w:t>20</w:t>
            </w:r>
          </w:p>
        </w:tc>
      </w:tr>
      <w:tr>
        <w:tc>
          <w:tcPr>
            <w:tcW w:type="dxa" w:w="1814"/>
          </w:tcPr>
          <w:p>
            <w:pPr>
              <w:spacing w:before="40" w:after="40" w:line="240" w:lineRule="auto"/>
              <w:jc w:val="center"/>
            </w:pPr>
            <w:r/>
            <w:r>
              <w:rPr>
                <w:rFonts w:ascii="Times New Roman" w:hAnsi="Times New Roman" w:eastAsia="Times New Roman" w:cs="Times New Roman"/>
                <w:b w:val="0"/>
                <w:i w:val="0"/>
                <w:sz w:val="18"/>
              </w:rPr>
              <w:t>NER2015</w:t>
            </w:r>
          </w:p>
        </w:tc>
        <w:tc>
          <w:tcPr>
            <w:tcW w:type="dxa" w:w="1814"/>
          </w:tcPr>
          <w:p>
            <w:pPr>
              <w:spacing w:before="40" w:after="40" w:line="240" w:lineRule="auto"/>
              <w:jc w:val="left"/>
            </w:pPr>
            <w:r/>
            <w:r>
              <w:rPr>
                <w:rFonts w:ascii="Times New Roman" w:hAnsi="Times New Roman" w:eastAsia="Times New Roman" w:cs="Times New Roman"/>
                <w:b w:val="0"/>
                <w:i w:val="0"/>
                <w:sz w:val="18"/>
              </w:rPr>
              <w:t>0.21</w:t>
            </w:r>
          </w:p>
        </w:tc>
        <w:tc>
          <w:tcPr>
            <w:tcW w:type="dxa" w:w="1814"/>
          </w:tcPr>
          <w:p>
            <w:pPr>
              <w:spacing w:before="40" w:after="40" w:line="240" w:lineRule="auto"/>
              <w:jc w:val="center"/>
            </w:pPr>
            <w:r/>
            <w:r>
              <w:rPr>
                <w:rFonts w:ascii="Times New Roman" w:hAnsi="Times New Roman" w:eastAsia="Times New Roman" w:cs="Times New Roman"/>
                <w:b w:val="0"/>
                <w:i w:val="0"/>
                <w:sz w:val="18"/>
              </w:rPr>
              <w:t>1.45</w:t>
            </w:r>
          </w:p>
        </w:tc>
        <w:tc>
          <w:tcPr>
            <w:tcW w:type="dxa" w:w="1814"/>
          </w:tcPr>
          <w:p>
            <w:pPr>
              <w:spacing w:before="40" w:after="40" w:line="240" w:lineRule="auto"/>
              <w:jc w:val="center"/>
            </w:pPr>
            <w:r/>
            <w:r>
              <w:rPr>
                <w:rFonts w:ascii="Times New Roman" w:hAnsi="Times New Roman" w:eastAsia="Times New Roman" w:cs="Times New Roman"/>
                <w:b w:val="0"/>
                <w:i w:val="0"/>
                <w:sz w:val="18"/>
              </w:rPr>
              <w:t>1.20</w:t>
            </w:r>
          </w:p>
        </w:tc>
        <w:tc>
          <w:tcPr>
            <w:tcW w:type="dxa" w:w="1814"/>
          </w:tcPr>
          <w:p>
            <w:pPr>
              <w:spacing w:before="40" w:after="40" w:line="240" w:lineRule="auto"/>
              <w:jc w:val="center"/>
            </w:pPr>
            <w:r/>
            <w:r>
              <w:rPr>
                <w:rFonts w:ascii="Times New Roman" w:hAnsi="Times New Roman" w:eastAsia="Times New Roman" w:cs="Times New Roman"/>
                <w:b w:val="0"/>
                <w:i w:val="0"/>
                <w:sz w:val="18"/>
              </w:rPr>
              <w:t>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A linear ramp explains 80 per cent of the variance of the grasp-and-lift displacements and 6 per cent on SEED, where the offset is large and almost constant and the block-to-block change is two orders of magnitude smaller relative to it. The two datasets that break opposite estimators are therefore not two samples of the same kind of non-stationarity.</w:t>
      </w:r>
    </w:p>
    <w:p>
      <w:pPr>
        <w:keepNext/>
        <w:spacing w:before="240" w:after="80" w:line="240" w:lineRule="auto"/>
      </w:pPr>
      <w:r>
        <w:rPr>
          <w:rFonts w:ascii="Times New Roman" w:hAnsi="Times New Roman" w:eastAsia="Times New Roman" w:cs="Times New Roman"/>
          <w:b/>
          <w:i w:val="0"/>
          <w:sz w:val="21"/>
        </w:rPr>
        <w:t xml:space="preserve">Table 15. </w:t>
      </w:r>
      <w:r>
        <w:rPr>
          <w:rFonts w:ascii="Times New Roman" w:hAnsi="Times New Roman" w:eastAsia="Times New Roman" w:cs="Times New Roman"/>
          <w:b w:val="0"/>
          <w:i w:val="0"/>
          <w:sz w:val="21"/>
        </w:rPr>
        <w:t xml:space="preserve">Controlled regimes, balanced accuracy, mean over 5 seeds; class separation calibrated to 0.70 uncorrected. </w:t>
      </w:r>
      <w:r>
        <w:rPr>
          <w:rFonts w:ascii="Courier New" w:hAnsi="Courier New" w:eastAsia="Courier New" w:cs="Courier New"/>
          <w:b w:val="0"/>
          <w:i w:val="0"/>
          <w:sz w:val="21"/>
        </w:rPr>
        <w:t>a</w:t>
      </w:r>
      <w:r>
        <w:rPr>
          <w:rFonts w:ascii="Times New Roman" w:hAnsi="Times New Roman" w:eastAsia="Times New Roman" w:cs="Times New Roman"/>
          <w:b w:val="0"/>
          <w:i w:val="0"/>
          <w:sz w:val="21"/>
        </w:rPr>
        <w:t xml:space="preserve"> is the constant offset and </w:t>
      </w:r>
      <w:r>
        <w:rPr>
          <w:rFonts w:ascii="Courier New" w:hAnsi="Courier New" w:eastAsia="Courier New" w:cs="Courier New"/>
          <w:b w:val="0"/>
          <w:i w:val="0"/>
          <w:sz w:val="21"/>
        </w:rPr>
        <w:t>v</w:t>
      </w:r>
      <w:r>
        <w:rPr>
          <w:rFonts w:ascii="Times New Roman" w:hAnsi="Times New Roman" w:eastAsia="Times New Roman" w:cs="Times New Roman"/>
          <w:b w:val="0"/>
          <w:i w:val="0"/>
          <w:sz w:val="21"/>
        </w:rPr>
        <w:t xml:space="preserve"> the total drift, both in units of the mean distance between class means.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regime</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predictive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Kalman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ADWIN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a = 0, v = 0</w:t>
            </w:r>
          </w:p>
        </w:tc>
        <w:tc>
          <w:tcPr>
            <w:tcW w:type="dxa" w:w="1296"/>
          </w:tcPr>
          <w:p>
            <w:pPr>
              <w:spacing w:before="40" w:after="40" w:line="240" w:lineRule="auto"/>
              <w:jc w:val="left"/>
            </w:pPr>
            <w:r/>
            <w:r>
              <w:rPr>
                <w:rFonts w:ascii="Times New Roman" w:hAnsi="Times New Roman" w:eastAsia="Times New Roman" w:cs="Times New Roman"/>
                <w:b w:val="0"/>
                <w:i w:val="0"/>
                <w:sz w:val="18"/>
              </w:rPr>
              <w:t>0.685</w:t>
            </w:r>
          </w:p>
        </w:tc>
        <w:tc>
          <w:tcPr>
            <w:tcW w:type="dxa" w:w="1296"/>
          </w:tcPr>
          <w:p>
            <w:pPr>
              <w:spacing w:before="40" w:after="40" w:line="240" w:lineRule="auto"/>
              <w:jc w:val="center"/>
            </w:pPr>
            <w:r/>
            <w:r>
              <w:rPr>
                <w:rFonts w:ascii="Times New Roman" w:hAnsi="Times New Roman" w:eastAsia="Times New Roman" w:cs="Times New Roman"/>
                <w:b w:val="0"/>
                <w:i w:val="0"/>
                <w:sz w:val="18"/>
              </w:rPr>
              <w:t>0.686</w:t>
            </w:r>
          </w:p>
        </w:tc>
        <w:tc>
          <w:tcPr>
            <w:tcW w:type="dxa" w:w="1296"/>
          </w:tcPr>
          <w:p>
            <w:pPr>
              <w:spacing w:before="40" w:after="40" w:line="240" w:lineRule="auto"/>
              <w:jc w:val="center"/>
            </w:pPr>
            <w:r/>
            <w:r>
              <w:rPr>
                <w:rFonts w:ascii="Times New Roman" w:hAnsi="Times New Roman" w:eastAsia="Times New Roman" w:cs="Times New Roman"/>
                <w:b w:val="0"/>
                <w:i w:val="0"/>
                <w:sz w:val="18"/>
              </w:rPr>
              <w:t>0.687</w:t>
            </w:r>
          </w:p>
        </w:tc>
        <w:tc>
          <w:tcPr>
            <w:tcW w:type="dxa" w:w="1296"/>
          </w:tcPr>
          <w:p>
            <w:pPr>
              <w:spacing w:before="40" w:after="40" w:line="240" w:lineRule="auto"/>
              <w:jc w:val="center"/>
            </w:pPr>
            <w:r/>
            <w:r>
              <w:rPr>
                <w:rFonts w:ascii="Times New Roman" w:hAnsi="Times New Roman" w:eastAsia="Times New Roman" w:cs="Times New Roman"/>
                <w:b w:val="0"/>
                <w:i w:val="0"/>
                <w:sz w:val="18"/>
              </w:rPr>
              <w:t>0.687</w:t>
            </w:r>
          </w:p>
        </w:tc>
        <w:tc>
          <w:tcPr>
            <w:tcW w:type="dxa" w:w="1296"/>
          </w:tcPr>
          <w:p>
            <w:pPr>
              <w:spacing w:before="40" w:after="40" w:line="240" w:lineRule="auto"/>
              <w:jc w:val="center"/>
            </w:pPr>
            <w:r/>
            <w:r>
              <w:rPr>
                <w:rFonts w:ascii="Times New Roman" w:hAnsi="Times New Roman" w:eastAsia="Times New Roman" w:cs="Times New Roman"/>
                <w:b w:val="0"/>
                <w:i w:val="0"/>
                <w:sz w:val="18"/>
              </w:rPr>
              <w:t>0.679</w:t>
            </w:r>
          </w:p>
        </w:tc>
        <w:tc>
          <w:tcPr>
            <w:tcW w:type="dxa" w:w="1296"/>
          </w:tcPr>
          <w:p>
            <w:pPr>
              <w:spacing w:before="40" w:after="40" w:line="240" w:lineRule="auto"/>
              <w:jc w:val="center"/>
            </w:pPr>
            <w:r/>
            <w:r>
              <w:rPr>
                <w:rFonts w:ascii="Times New Roman" w:hAnsi="Times New Roman" w:eastAsia="Times New Roman" w:cs="Times New Roman"/>
                <w:b w:val="0"/>
                <w:i w:val="0"/>
                <w:sz w:val="18"/>
              </w:rPr>
              <w:t>0.687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a = 1, v = 0 (offset only)</w:t>
            </w:r>
          </w:p>
        </w:tc>
        <w:tc>
          <w:tcPr>
            <w:tcW w:type="dxa" w:w="1296"/>
          </w:tcPr>
          <w:p>
            <w:pPr>
              <w:spacing w:before="40" w:after="40" w:line="240" w:lineRule="auto"/>
              <w:jc w:val="left"/>
            </w:pPr>
            <w:r/>
            <w:r>
              <w:rPr>
                <w:rFonts w:ascii="Times New Roman" w:hAnsi="Times New Roman" w:eastAsia="Times New Roman" w:cs="Times New Roman"/>
                <w:b w:val="0"/>
                <w:i w:val="0"/>
                <w:sz w:val="18"/>
              </w:rPr>
              <w:t>0.473</w:t>
            </w:r>
          </w:p>
        </w:tc>
        <w:tc>
          <w:tcPr>
            <w:tcW w:type="dxa" w:w="1296"/>
          </w:tcPr>
          <w:p>
            <w:pPr>
              <w:spacing w:before="40" w:after="40" w:line="240" w:lineRule="auto"/>
              <w:jc w:val="center"/>
            </w:pPr>
            <w:r/>
            <w:r>
              <w:rPr>
                <w:rFonts w:ascii="Times New Roman" w:hAnsi="Times New Roman" w:eastAsia="Times New Roman" w:cs="Times New Roman"/>
                <w:b w:val="0"/>
                <w:i w:val="0"/>
                <w:sz w:val="18"/>
              </w:rPr>
              <w:t>0.686</w:t>
            </w:r>
          </w:p>
        </w:tc>
        <w:tc>
          <w:tcPr>
            <w:tcW w:type="dxa" w:w="1296"/>
          </w:tcPr>
          <w:p>
            <w:pPr>
              <w:spacing w:before="40" w:after="40" w:line="240" w:lineRule="auto"/>
              <w:jc w:val="center"/>
            </w:pPr>
            <w:r/>
            <w:r>
              <w:rPr>
                <w:rFonts w:ascii="Times New Roman" w:hAnsi="Times New Roman" w:eastAsia="Times New Roman" w:cs="Times New Roman"/>
                <w:b w:val="0"/>
                <w:i w:val="0"/>
                <w:sz w:val="18"/>
              </w:rPr>
              <w:t>0.686</w:t>
            </w:r>
          </w:p>
        </w:tc>
        <w:tc>
          <w:tcPr>
            <w:tcW w:type="dxa" w:w="1296"/>
          </w:tcPr>
          <w:p>
            <w:pPr>
              <w:spacing w:before="40" w:after="40" w:line="240" w:lineRule="auto"/>
              <w:jc w:val="center"/>
            </w:pPr>
            <w:r/>
            <w:r>
              <w:rPr>
                <w:rFonts w:ascii="Times New Roman" w:hAnsi="Times New Roman" w:eastAsia="Times New Roman" w:cs="Times New Roman"/>
                <w:b w:val="0"/>
                <w:i w:val="0"/>
                <w:sz w:val="18"/>
              </w:rPr>
              <w:t>0.682</w:t>
            </w:r>
          </w:p>
        </w:tc>
        <w:tc>
          <w:tcPr>
            <w:tcW w:type="dxa" w:w="1296"/>
          </w:tcPr>
          <w:p>
            <w:pPr>
              <w:spacing w:before="40" w:after="40" w:line="240" w:lineRule="auto"/>
              <w:jc w:val="center"/>
            </w:pPr>
            <w:r/>
            <w:r>
              <w:rPr>
                <w:rFonts w:ascii="Times New Roman" w:hAnsi="Times New Roman" w:eastAsia="Times New Roman" w:cs="Times New Roman"/>
                <w:b w:val="0"/>
                <w:i w:val="0"/>
                <w:sz w:val="18"/>
              </w:rPr>
              <w:t>0.677</w:t>
            </w:r>
          </w:p>
        </w:tc>
        <w:tc>
          <w:tcPr>
            <w:tcW w:type="dxa" w:w="1296"/>
          </w:tcPr>
          <w:p>
            <w:pPr>
              <w:spacing w:before="40" w:after="40" w:line="240" w:lineRule="auto"/>
              <w:jc w:val="center"/>
            </w:pPr>
            <w:r/>
            <w:r>
              <w:rPr>
                <w:rFonts w:ascii="Times New Roman" w:hAnsi="Times New Roman" w:eastAsia="Times New Roman" w:cs="Times New Roman"/>
                <w:b w:val="0"/>
                <w:i w:val="0"/>
                <w:sz w:val="18"/>
              </w:rPr>
              <w:t>0.687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a = 0, v = 1 (drift only)</w:t>
            </w:r>
          </w:p>
        </w:tc>
        <w:tc>
          <w:tcPr>
            <w:tcW w:type="dxa" w:w="1296"/>
          </w:tcPr>
          <w:p>
            <w:pPr>
              <w:spacing w:before="40" w:after="40" w:line="240" w:lineRule="auto"/>
              <w:jc w:val="left"/>
            </w:pPr>
            <w:r/>
            <w:r>
              <w:rPr>
                <w:rFonts w:ascii="Times New Roman" w:hAnsi="Times New Roman" w:eastAsia="Times New Roman" w:cs="Times New Roman"/>
                <w:b w:val="0"/>
                <w:i w:val="0"/>
                <w:sz w:val="18"/>
              </w:rPr>
              <w:t>0.587</w:t>
            </w:r>
          </w:p>
        </w:tc>
        <w:tc>
          <w:tcPr>
            <w:tcW w:type="dxa" w:w="1296"/>
          </w:tcPr>
          <w:p>
            <w:pPr>
              <w:spacing w:before="40" w:after="40" w:line="240" w:lineRule="auto"/>
              <w:jc w:val="center"/>
            </w:pPr>
            <w:r/>
            <w:r>
              <w:rPr>
                <w:rFonts w:ascii="Times New Roman" w:hAnsi="Times New Roman" w:eastAsia="Times New Roman" w:cs="Times New Roman"/>
                <w:b w:val="0"/>
                <w:i w:val="0"/>
                <w:sz w:val="18"/>
              </w:rPr>
              <w:t>0.652</w:t>
            </w:r>
          </w:p>
        </w:tc>
        <w:tc>
          <w:tcPr>
            <w:tcW w:type="dxa" w:w="1296"/>
          </w:tcPr>
          <w:p>
            <w:pPr>
              <w:spacing w:before="40" w:after="40" w:line="240" w:lineRule="auto"/>
              <w:jc w:val="center"/>
            </w:pPr>
            <w:r/>
            <w:r>
              <w:rPr>
                <w:rFonts w:ascii="Times New Roman" w:hAnsi="Times New Roman" w:eastAsia="Times New Roman" w:cs="Times New Roman"/>
                <w:b w:val="0"/>
                <w:i w:val="0"/>
                <w:sz w:val="18"/>
              </w:rPr>
              <w:t>0.642</w:t>
            </w:r>
          </w:p>
        </w:tc>
        <w:tc>
          <w:tcPr>
            <w:tcW w:type="dxa" w:w="1296"/>
          </w:tcPr>
          <w:p>
            <w:pPr>
              <w:spacing w:before="40" w:after="40" w:line="240" w:lineRule="auto"/>
              <w:jc w:val="center"/>
            </w:pPr>
            <w:r/>
            <w:r>
              <w:rPr>
                <w:rFonts w:ascii="Times New Roman" w:hAnsi="Times New Roman" w:eastAsia="Times New Roman" w:cs="Times New Roman"/>
                <w:b w:val="0"/>
                <w:i w:val="0"/>
                <w:sz w:val="18"/>
              </w:rPr>
              <w:t>0.648</w:t>
            </w:r>
          </w:p>
        </w:tc>
        <w:tc>
          <w:tcPr>
            <w:tcW w:type="dxa" w:w="1296"/>
          </w:tcPr>
          <w:p>
            <w:pPr>
              <w:spacing w:before="40" w:after="40" w:line="240" w:lineRule="auto"/>
              <w:jc w:val="center"/>
            </w:pPr>
            <w:r/>
            <w:r>
              <w:rPr>
                <w:rFonts w:ascii="Times New Roman" w:hAnsi="Times New Roman" w:eastAsia="Times New Roman" w:cs="Times New Roman"/>
                <w:b/>
                <w:i w:val="0"/>
                <w:sz w:val="18"/>
              </w:rPr>
              <w:t>0.675</w:t>
            </w:r>
          </w:p>
        </w:tc>
        <w:tc>
          <w:tcPr>
            <w:tcW w:type="dxa" w:w="1296"/>
          </w:tcPr>
          <w:p>
            <w:pPr>
              <w:spacing w:before="40" w:after="40" w:line="240" w:lineRule="auto"/>
              <w:jc w:val="center"/>
            </w:pPr>
            <w:r/>
            <w:r>
              <w:rPr>
                <w:rFonts w:ascii="Times New Roman" w:hAnsi="Times New Roman" w:eastAsia="Times New Roman" w:cs="Times New Roman"/>
                <w:b w:val="0"/>
                <w:i w:val="0"/>
                <w:sz w:val="18"/>
              </w:rPr>
              <w:t>0.666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a = 0, v = 2 (strong drift)</w:t>
            </w:r>
          </w:p>
        </w:tc>
        <w:tc>
          <w:tcPr>
            <w:tcW w:type="dxa" w:w="1296"/>
          </w:tcPr>
          <w:p>
            <w:pPr>
              <w:spacing w:before="40" w:after="40" w:line="240" w:lineRule="auto"/>
              <w:jc w:val="left"/>
            </w:pPr>
            <w:r/>
            <w:r>
              <w:rPr>
                <w:rFonts w:ascii="Times New Roman" w:hAnsi="Times New Roman" w:eastAsia="Times New Roman" w:cs="Times New Roman"/>
                <w:b w:val="0"/>
                <w:i w:val="0"/>
                <w:sz w:val="18"/>
              </w:rPr>
              <w:t>0.488</w:t>
            </w:r>
          </w:p>
        </w:tc>
        <w:tc>
          <w:tcPr>
            <w:tcW w:type="dxa" w:w="1296"/>
          </w:tcPr>
          <w:p>
            <w:pPr>
              <w:spacing w:before="40" w:after="40" w:line="240" w:lineRule="auto"/>
              <w:jc w:val="center"/>
            </w:pPr>
            <w:r/>
            <w:r>
              <w:rPr>
                <w:rFonts w:ascii="Times New Roman" w:hAnsi="Times New Roman" w:eastAsia="Times New Roman" w:cs="Times New Roman"/>
                <w:b w:val="0"/>
                <w:i w:val="0"/>
                <w:sz w:val="18"/>
              </w:rPr>
              <w:t>0.584</w:t>
            </w:r>
          </w:p>
        </w:tc>
        <w:tc>
          <w:tcPr>
            <w:tcW w:type="dxa" w:w="1296"/>
          </w:tcPr>
          <w:p>
            <w:pPr>
              <w:spacing w:before="40" w:after="40" w:line="240" w:lineRule="auto"/>
              <w:jc w:val="center"/>
            </w:pPr>
            <w:r/>
            <w:r>
              <w:rPr>
                <w:rFonts w:ascii="Times New Roman" w:hAnsi="Times New Roman" w:eastAsia="Times New Roman" w:cs="Times New Roman"/>
                <w:b w:val="0"/>
                <w:i w:val="0"/>
                <w:sz w:val="18"/>
              </w:rPr>
              <w:t>0.567</w:t>
            </w:r>
          </w:p>
        </w:tc>
        <w:tc>
          <w:tcPr>
            <w:tcW w:type="dxa" w:w="1296"/>
          </w:tcPr>
          <w:p>
            <w:pPr>
              <w:spacing w:before="40" w:after="40" w:line="240" w:lineRule="auto"/>
              <w:jc w:val="center"/>
            </w:pPr>
            <w:r/>
            <w:r>
              <w:rPr>
                <w:rFonts w:ascii="Times New Roman" w:hAnsi="Times New Roman" w:eastAsia="Times New Roman" w:cs="Times New Roman"/>
                <w:b w:val="0"/>
                <w:i w:val="0"/>
                <w:sz w:val="18"/>
              </w:rPr>
              <w:t>0.576</w:t>
            </w:r>
          </w:p>
        </w:tc>
        <w:tc>
          <w:tcPr>
            <w:tcW w:type="dxa" w:w="1296"/>
          </w:tcPr>
          <w:p>
            <w:pPr>
              <w:spacing w:before="40" w:after="40" w:line="240" w:lineRule="auto"/>
              <w:jc w:val="center"/>
            </w:pPr>
            <w:r/>
            <w:r>
              <w:rPr>
                <w:rFonts w:ascii="Times New Roman" w:hAnsi="Times New Roman" w:eastAsia="Times New Roman" w:cs="Times New Roman"/>
                <w:b/>
                <w:i w:val="0"/>
                <w:sz w:val="18"/>
              </w:rPr>
              <w:t>0.678</w:t>
            </w:r>
          </w:p>
        </w:tc>
        <w:tc>
          <w:tcPr>
            <w:tcW w:type="dxa" w:w="1296"/>
          </w:tcPr>
          <w:p>
            <w:pPr>
              <w:spacing w:before="40" w:after="40" w:line="240" w:lineRule="auto"/>
              <w:jc w:val="center"/>
            </w:pPr>
            <w:r/>
            <w:r>
              <w:rPr>
                <w:rFonts w:ascii="Times New Roman" w:hAnsi="Times New Roman" w:eastAsia="Times New Roman" w:cs="Times New Roman"/>
                <w:b w:val="0"/>
                <w:i w:val="0"/>
                <w:sz w:val="18"/>
              </w:rPr>
              <w:t>0.639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a = 1, v = 2 (offset + drift)</w:t>
            </w:r>
          </w:p>
        </w:tc>
        <w:tc>
          <w:tcPr>
            <w:tcW w:type="dxa" w:w="1296"/>
          </w:tcPr>
          <w:p>
            <w:pPr>
              <w:spacing w:before="40" w:after="40" w:line="240" w:lineRule="auto"/>
              <w:jc w:val="left"/>
            </w:pPr>
            <w:r/>
            <w:r>
              <w:rPr>
                <w:rFonts w:ascii="Times New Roman" w:hAnsi="Times New Roman" w:eastAsia="Times New Roman" w:cs="Times New Roman"/>
                <w:b w:val="0"/>
                <w:i w:val="0"/>
                <w:sz w:val="18"/>
              </w:rPr>
              <w:t>0.344</w:t>
            </w:r>
          </w:p>
        </w:tc>
        <w:tc>
          <w:tcPr>
            <w:tcW w:type="dxa" w:w="1296"/>
          </w:tcPr>
          <w:p>
            <w:pPr>
              <w:spacing w:before="40" w:after="40" w:line="240" w:lineRule="auto"/>
              <w:jc w:val="center"/>
            </w:pPr>
            <w:r/>
            <w:r>
              <w:rPr>
                <w:rFonts w:ascii="Times New Roman" w:hAnsi="Times New Roman" w:eastAsia="Times New Roman" w:cs="Times New Roman"/>
                <w:b w:val="0"/>
                <w:i w:val="0"/>
                <w:sz w:val="18"/>
              </w:rPr>
              <w:t>0.584</w:t>
            </w:r>
          </w:p>
        </w:tc>
        <w:tc>
          <w:tcPr>
            <w:tcW w:type="dxa" w:w="1296"/>
          </w:tcPr>
          <w:p>
            <w:pPr>
              <w:spacing w:before="40" w:after="40" w:line="240" w:lineRule="auto"/>
              <w:jc w:val="center"/>
            </w:pPr>
            <w:r/>
            <w:r>
              <w:rPr>
                <w:rFonts w:ascii="Times New Roman" w:hAnsi="Times New Roman" w:eastAsia="Times New Roman" w:cs="Times New Roman"/>
                <w:b w:val="0"/>
                <w:i w:val="0"/>
                <w:sz w:val="18"/>
              </w:rPr>
              <w:t>0.574</w:t>
            </w:r>
          </w:p>
        </w:tc>
        <w:tc>
          <w:tcPr>
            <w:tcW w:type="dxa" w:w="1296"/>
          </w:tcPr>
          <w:p>
            <w:pPr>
              <w:spacing w:before="40" w:after="40" w:line="240" w:lineRule="auto"/>
              <w:jc w:val="center"/>
            </w:pPr>
            <w:r/>
            <w:r>
              <w:rPr>
                <w:rFonts w:ascii="Times New Roman" w:hAnsi="Times New Roman" w:eastAsia="Times New Roman" w:cs="Times New Roman"/>
                <w:b w:val="0"/>
                <w:i w:val="0"/>
                <w:sz w:val="18"/>
              </w:rPr>
              <w:t>0.573</w:t>
            </w:r>
          </w:p>
        </w:tc>
        <w:tc>
          <w:tcPr>
            <w:tcW w:type="dxa" w:w="1296"/>
          </w:tcPr>
          <w:p>
            <w:pPr>
              <w:spacing w:before="40" w:after="40" w:line="240" w:lineRule="auto"/>
              <w:jc w:val="center"/>
            </w:pPr>
            <w:r/>
            <w:r>
              <w:rPr>
                <w:rFonts w:ascii="Times New Roman" w:hAnsi="Times New Roman" w:eastAsia="Times New Roman" w:cs="Times New Roman"/>
                <w:b/>
                <w:i w:val="0"/>
                <w:sz w:val="18"/>
              </w:rPr>
              <w:t>0.674</w:t>
            </w:r>
          </w:p>
        </w:tc>
        <w:tc>
          <w:tcPr>
            <w:tcW w:type="dxa" w:w="1296"/>
          </w:tcPr>
          <w:p>
            <w:pPr>
              <w:spacing w:before="40" w:after="40" w:line="240" w:lineRule="auto"/>
              <w:jc w:val="center"/>
            </w:pPr>
            <w:r/>
            <w:r>
              <w:rPr>
                <w:rFonts w:ascii="Times New Roman" w:hAnsi="Times New Roman" w:eastAsia="Times New Roman" w:cs="Times New Roman"/>
                <w:b w:val="0"/>
                <w:i w:val="0"/>
                <w:sz w:val="18"/>
              </w:rPr>
              <w:t>0.639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steps every 8 blocks</w:t>
            </w:r>
          </w:p>
        </w:tc>
        <w:tc>
          <w:tcPr>
            <w:tcW w:type="dxa" w:w="1296"/>
          </w:tcPr>
          <w:p>
            <w:pPr>
              <w:spacing w:before="40" w:after="40" w:line="240" w:lineRule="auto"/>
              <w:jc w:val="left"/>
            </w:pPr>
            <w:r/>
            <w:r>
              <w:rPr>
                <w:rFonts w:ascii="Times New Roman" w:hAnsi="Times New Roman" w:eastAsia="Times New Roman" w:cs="Times New Roman"/>
                <w:b w:val="0"/>
                <w:i w:val="0"/>
                <w:sz w:val="18"/>
              </w:rPr>
              <w:t>0.333</w:t>
            </w:r>
          </w:p>
        </w:tc>
        <w:tc>
          <w:tcPr>
            <w:tcW w:type="dxa" w:w="1296"/>
          </w:tcPr>
          <w:p>
            <w:pPr>
              <w:spacing w:before="40" w:after="40" w:line="240" w:lineRule="auto"/>
              <w:jc w:val="center"/>
            </w:pPr>
            <w:r/>
            <w:r>
              <w:rPr>
                <w:rFonts w:ascii="Times New Roman" w:hAnsi="Times New Roman" w:eastAsia="Times New Roman" w:cs="Times New Roman"/>
                <w:b w:val="0"/>
                <w:i w:val="0"/>
                <w:sz w:val="18"/>
              </w:rPr>
              <w:t>0.417</w:t>
            </w:r>
          </w:p>
        </w:tc>
        <w:tc>
          <w:tcPr>
            <w:tcW w:type="dxa" w:w="1296"/>
          </w:tcPr>
          <w:p>
            <w:pPr>
              <w:spacing w:before="40" w:after="40" w:line="240" w:lineRule="auto"/>
              <w:jc w:val="center"/>
            </w:pPr>
            <w:r/>
            <w:r>
              <w:rPr>
                <w:rFonts w:ascii="Times New Roman" w:hAnsi="Times New Roman" w:eastAsia="Times New Roman" w:cs="Times New Roman"/>
                <w:b w:val="0"/>
                <w:i w:val="0"/>
                <w:sz w:val="18"/>
              </w:rPr>
              <w:t>0.408</w:t>
            </w:r>
          </w:p>
        </w:tc>
        <w:tc>
          <w:tcPr>
            <w:tcW w:type="dxa" w:w="1296"/>
          </w:tcPr>
          <w:p>
            <w:pPr>
              <w:spacing w:before="40" w:after="40" w:line="240" w:lineRule="auto"/>
              <w:jc w:val="center"/>
            </w:pPr>
            <w:r/>
            <w:r>
              <w:rPr>
                <w:rFonts w:ascii="Times New Roman" w:hAnsi="Times New Roman" w:eastAsia="Times New Roman" w:cs="Times New Roman"/>
                <w:b w:val="0"/>
                <w:i w:val="0"/>
                <w:sz w:val="18"/>
              </w:rPr>
              <w:t>0.408</w:t>
            </w:r>
          </w:p>
        </w:tc>
        <w:tc>
          <w:tcPr>
            <w:tcW w:type="dxa" w:w="1296"/>
          </w:tcPr>
          <w:p>
            <w:pPr>
              <w:spacing w:before="40" w:after="40" w:line="240" w:lineRule="auto"/>
              <w:jc w:val="center"/>
            </w:pPr>
            <w:r/>
            <w:r>
              <w:rPr>
                <w:rFonts w:ascii="Times New Roman" w:hAnsi="Times New Roman" w:eastAsia="Times New Roman" w:cs="Times New Roman"/>
                <w:b w:val="0"/>
                <w:i w:val="0"/>
                <w:sz w:val="18"/>
              </w:rPr>
              <w:t>0.612*</w:t>
            </w:r>
          </w:p>
        </w:tc>
        <w:tc>
          <w:tcPr>
            <w:tcW w:type="dxa" w:w="1296"/>
          </w:tcPr>
          <w:p>
            <w:pPr>
              <w:spacing w:before="40" w:after="40" w:line="240" w:lineRule="auto"/>
              <w:jc w:val="center"/>
            </w:pPr>
            <w:r/>
            <w:r>
              <w:rPr>
                <w:rFonts w:ascii="Times New Roman" w:hAnsi="Times New Roman" w:eastAsia="Times New Roman" w:cs="Times New Roman"/>
                <w:b w:val="0"/>
                <w:i w:val="0"/>
                <w:sz w:val="18"/>
              </w:rPr>
              <w:t>0.584</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class priors only (0.4)</w:t>
            </w:r>
          </w:p>
        </w:tc>
        <w:tc>
          <w:tcPr>
            <w:tcW w:type="dxa" w:w="1296"/>
          </w:tcPr>
          <w:p>
            <w:pPr>
              <w:spacing w:before="40" w:after="40" w:line="240" w:lineRule="auto"/>
              <w:jc w:val="left"/>
            </w:pPr>
            <w:r/>
            <w:r>
              <w:rPr>
                <w:rFonts w:ascii="Times New Roman" w:hAnsi="Times New Roman" w:eastAsia="Times New Roman" w:cs="Times New Roman"/>
                <w:b w:val="0"/>
                <w:i w:val="0"/>
                <w:sz w:val="18"/>
              </w:rPr>
              <w:t>0.681</w:t>
            </w:r>
          </w:p>
        </w:tc>
        <w:tc>
          <w:tcPr>
            <w:tcW w:type="dxa" w:w="1296"/>
          </w:tcPr>
          <w:p>
            <w:pPr>
              <w:spacing w:before="40" w:after="40" w:line="240" w:lineRule="auto"/>
              <w:jc w:val="center"/>
            </w:pPr>
            <w:r/>
            <w:r>
              <w:rPr>
                <w:rFonts w:ascii="Times New Roman" w:hAnsi="Times New Roman" w:eastAsia="Times New Roman" w:cs="Times New Roman"/>
                <w:b w:val="0"/>
                <w:i w:val="0"/>
                <w:sz w:val="18"/>
              </w:rPr>
              <w:t>0.672</w:t>
            </w:r>
          </w:p>
        </w:tc>
        <w:tc>
          <w:tcPr>
            <w:tcW w:type="dxa" w:w="1296"/>
          </w:tcPr>
          <w:p>
            <w:pPr>
              <w:spacing w:before="40" w:after="40" w:line="240" w:lineRule="auto"/>
              <w:jc w:val="center"/>
            </w:pPr>
            <w:r/>
            <w:r>
              <w:rPr>
                <w:rFonts w:ascii="Times New Roman" w:hAnsi="Times New Roman" w:eastAsia="Times New Roman" w:cs="Times New Roman"/>
                <w:b w:val="0"/>
                <w:i w:val="0"/>
                <w:sz w:val="18"/>
              </w:rPr>
              <w:t>0.679</w:t>
            </w:r>
          </w:p>
        </w:tc>
        <w:tc>
          <w:tcPr>
            <w:tcW w:type="dxa" w:w="1296"/>
          </w:tcPr>
          <w:p>
            <w:pPr>
              <w:spacing w:before="40" w:after="40" w:line="240" w:lineRule="auto"/>
              <w:jc w:val="center"/>
            </w:pPr>
            <w:r/>
            <w:r>
              <w:rPr>
                <w:rFonts w:ascii="Times New Roman" w:hAnsi="Times New Roman" w:eastAsia="Times New Roman" w:cs="Times New Roman"/>
                <w:b w:val="0"/>
                <w:i w:val="0"/>
                <w:sz w:val="18"/>
              </w:rPr>
              <w:t>0.677</w:t>
            </w:r>
          </w:p>
        </w:tc>
        <w:tc>
          <w:tcPr>
            <w:tcW w:type="dxa" w:w="1296"/>
          </w:tcPr>
          <w:p>
            <w:pPr>
              <w:spacing w:before="40" w:after="40" w:line="240" w:lineRule="auto"/>
              <w:jc w:val="center"/>
            </w:pPr>
            <w:r/>
            <w:r>
              <w:rPr>
                <w:rFonts w:ascii="Times New Roman" w:hAnsi="Times New Roman" w:eastAsia="Times New Roman" w:cs="Times New Roman"/>
                <w:b w:val="0"/>
                <w:i w:val="0"/>
                <w:sz w:val="18"/>
              </w:rPr>
              <w:t>0.649*</w:t>
            </w:r>
          </w:p>
        </w:tc>
        <w:tc>
          <w:tcPr>
            <w:tcW w:type="dxa" w:w="1296"/>
          </w:tcPr>
          <w:p>
            <w:pPr>
              <w:spacing w:before="40" w:after="40" w:line="240" w:lineRule="auto"/>
              <w:jc w:val="center"/>
            </w:pPr>
            <w:r/>
            <w:r>
              <w:rPr>
                <w:rFonts w:ascii="Times New Roman" w:hAnsi="Times New Roman" w:eastAsia="Times New Roman" w:cs="Times New Roman"/>
                <w:b w:val="0"/>
                <w:i w:val="0"/>
                <w:sz w:val="18"/>
              </w:rPr>
              <w:t>0.671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priors + offset</w:t>
            </w:r>
          </w:p>
        </w:tc>
        <w:tc>
          <w:tcPr>
            <w:tcW w:type="dxa" w:w="1296"/>
          </w:tcPr>
          <w:p>
            <w:pPr>
              <w:spacing w:before="40" w:after="40" w:line="240" w:lineRule="auto"/>
              <w:jc w:val="left"/>
            </w:pPr>
            <w:r/>
            <w:r>
              <w:rPr>
                <w:rFonts w:ascii="Times New Roman" w:hAnsi="Times New Roman" w:eastAsia="Times New Roman" w:cs="Times New Roman"/>
                <w:b w:val="0"/>
                <w:i w:val="0"/>
                <w:sz w:val="18"/>
              </w:rPr>
              <w:t>0.680</w:t>
            </w:r>
          </w:p>
        </w:tc>
        <w:tc>
          <w:tcPr>
            <w:tcW w:type="dxa" w:w="1296"/>
          </w:tcPr>
          <w:p>
            <w:pPr>
              <w:spacing w:before="40" w:after="40" w:line="240" w:lineRule="auto"/>
              <w:jc w:val="center"/>
            </w:pPr>
            <w:r/>
            <w:r>
              <w:rPr>
                <w:rFonts w:ascii="Times New Roman" w:hAnsi="Times New Roman" w:eastAsia="Times New Roman" w:cs="Times New Roman"/>
                <w:b w:val="0"/>
                <w:i w:val="0"/>
                <w:sz w:val="18"/>
              </w:rPr>
              <w:t>0.668</w:t>
            </w:r>
          </w:p>
        </w:tc>
        <w:tc>
          <w:tcPr>
            <w:tcW w:type="dxa" w:w="1296"/>
          </w:tcPr>
          <w:p>
            <w:pPr>
              <w:spacing w:before="40" w:after="40" w:line="240" w:lineRule="auto"/>
              <w:jc w:val="center"/>
            </w:pPr>
            <w:r/>
            <w:r>
              <w:rPr>
                <w:rFonts w:ascii="Times New Roman" w:hAnsi="Times New Roman" w:eastAsia="Times New Roman" w:cs="Times New Roman"/>
                <w:b w:val="0"/>
                <w:i w:val="0"/>
                <w:sz w:val="18"/>
              </w:rPr>
              <w:t>0.676</w:t>
            </w:r>
          </w:p>
        </w:tc>
        <w:tc>
          <w:tcPr>
            <w:tcW w:type="dxa" w:w="1296"/>
          </w:tcPr>
          <w:p>
            <w:pPr>
              <w:spacing w:before="40" w:after="40" w:line="240" w:lineRule="auto"/>
              <w:jc w:val="center"/>
            </w:pPr>
            <w:r/>
            <w:r>
              <w:rPr>
                <w:rFonts w:ascii="Times New Roman" w:hAnsi="Times New Roman" w:eastAsia="Times New Roman" w:cs="Times New Roman"/>
                <w:b w:val="0"/>
                <w:i w:val="0"/>
                <w:sz w:val="18"/>
              </w:rPr>
              <w:t>0.677</w:t>
            </w:r>
          </w:p>
        </w:tc>
        <w:tc>
          <w:tcPr>
            <w:tcW w:type="dxa" w:w="1296"/>
          </w:tcPr>
          <w:p>
            <w:pPr>
              <w:spacing w:before="40" w:after="40" w:line="240" w:lineRule="auto"/>
              <w:jc w:val="center"/>
            </w:pPr>
            <w:r/>
            <w:r>
              <w:rPr>
                <w:rFonts w:ascii="Times New Roman" w:hAnsi="Times New Roman" w:eastAsia="Times New Roman" w:cs="Times New Roman"/>
                <w:b w:val="0"/>
                <w:i w:val="0"/>
                <w:sz w:val="18"/>
              </w:rPr>
              <w:t>0.600*</w:t>
            </w:r>
          </w:p>
        </w:tc>
        <w:tc>
          <w:tcPr>
            <w:tcW w:type="dxa" w:w="1296"/>
          </w:tcPr>
          <w:p>
            <w:pPr>
              <w:spacing w:before="40" w:after="40" w:line="240" w:lineRule="auto"/>
              <w:jc w:val="center"/>
            </w:pPr>
            <w:r/>
            <w:r>
              <w:rPr>
                <w:rFonts w:ascii="Times New Roman" w:hAnsi="Times New Roman" w:eastAsia="Times New Roman" w:cs="Times New Roman"/>
                <w:b w:val="0"/>
                <w:i w:val="0"/>
                <w:sz w:val="18"/>
              </w:rPr>
              <w:t>0.672</w:t>
            </w:r>
          </w:p>
        </w:tc>
      </w:tr>
    </w:tbl>
    <w:p>
      <w:pPr>
        <w:spacing w:before="0" w:after="200" w:line="240" w:lineRule="auto"/>
        <w:ind w:firstLine="0" w:left="0"/>
        <w:jc w:val="left"/>
      </w:pPr>
    </w:p>
    <w:p>
      <w:pPr>
        <w:keepNext/>
        <w:spacing w:before="240" w:after="80" w:line="240" w:lineRule="auto"/>
        <w:jc w:val="center"/>
      </w:pPr>
      <w:r>
        <w:drawing>
          <wp:inline xmlns:a="http://schemas.openxmlformats.org/drawingml/2006/main" xmlns:pic="http://schemas.openxmlformats.org/drawingml/2006/picture">
            <wp:extent cx="5669280" cy="1723016"/>
            <wp:docPr id="5" name="Picture 5"/>
            <wp:cNvGraphicFramePr>
              <a:graphicFrameLocks noChangeAspect="1"/>
            </wp:cNvGraphicFramePr>
            <a:graphic>
              <a:graphicData uri="http://schemas.openxmlformats.org/drawingml/2006/picture">
                <pic:pic>
                  <pic:nvPicPr>
                    <pic:cNvPr id="0" name="fig_regimes.png"/>
                    <pic:cNvPicPr/>
                  </pic:nvPicPr>
                  <pic:blipFill>
                    <a:blip r:embed="rId14"/>
                    <a:stretch>
                      <a:fillRect/>
                    </a:stretch>
                  </pic:blipFill>
                  <pic:spPr>
                    <a:xfrm>
                      <a:off x="0" y="0"/>
                      <a:ext cx="5669280" cy="1723016"/>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5.</w:t>
      </w:r>
      <w:r>
        <w:rPr>
          <w:rFonts w:ascii="Times New Roman" w:hAnsi="Times New Roman" w:eastAsia="Times New Roman" w:cs="Times New Roman"/>
          <w:b w:val="0"/>
          <w:i w:val="0"/>
          <w:sz w:val="21"/>
        </w:rPr>
        <w:t xml:space="preserve"> The failure-regime map. (a) Predictive minus variance-ratio accuracy across the constant-offset and drift grid; blue means the variance-ratio rule is better, red the predictive rule, an asterisk marks cells whose paired 95 per cent interval crosses zero. (b) Step changes: change from no correction for four rules. (c) Class-prior change with and without a constant offset.</w:t>
      </w:r>
    </w:p>
    <w:p>
      <w:pPr>
        <w:spacing w:before="0" w:after="0" w:line="480" w:lineRule="auto"/>
        <w:ind w:firstLine="0" w:left="0"/>
        <w:jc w:val="left"/>
      </w:pPr>
      <w:r>
        <w:rPr>
          <w:rFonts w:ascii="Times New Roman" w:hAnsi="Times New Roman" w:eastAsia="Times New Roman" w:cs="Times New Roman"/>
          <w:b w:val="0"/>
          <w:i w:val="0"/>
          <w:sz w:val="24"/>
        </w:rPr>
        <w:t xml:space="preserve">The tracker column is marked with an asterisk because its implementation did not survive an audit (Section 4.12.1): in the synthetic generator it is well behaved, but on the real data its state can run away from the displacement it is applied to, so its real-data numbers are not used as evidence anywhere in this paper. The synthetic rows are still informative about the </w:t>
      </w:r>
      <w:r>
        <w:rPr>
          <w:rFonts w:ascii="Times New Roman" w:hAnsi="Times New Roman" w:eastAsia="Times New Roman" w:cs="Times New Roman"/>
          <w:b w:val="0"/>
          <w:i/>
          <w:sz w:val="24"/>
        </w:rPr>
        <w:t>direction</w:t>
      </w:r>
      <w:r>
        <w:rPr>
          <w:rFonts w:ascii="Times New Roman" w:hAnsi="Times New Roman" w:eastAsia="Times New Roman" w:cs="Times New Roman"/>
          <w:b w:val="0"/>
          <w:i w:val="0"/>
          <w:sz w:val="24"/>
        </w:rPr>
        <w:t xml:space="preserve"> of the trade-off, and they are read as such.</w:t>
      </w:r>
    </w:p>
    <w:p>
      <w:pPr>
        <w:spacing w:before="0" w:after="0" w:line="480" w:lineRule="auto"/>
        <w:ind w:firstLine="0" w:left="0"/>
        <w:jc w:val="left"/>
      </w:pPr>
      <w:r>
        <w:rPr>
          <w:rFonts w:ascii="Times New Roman" w:hAnsi="Times New Roman" w:eastAsia="Times New Roman" w:cs="Times New Roman"/>
          <w:b w:val="0"/>
          <w:i w:val="0"/>
          <w:sz w:val="24"/>
        </w:rPr>
        <w:t xml:space="preserve">Three regimes separate cleanly. A </w:t>
      </w:r>
      <w:r>
        <w:rPr>
          <w:rFonts w:ascii="Times New Roman" w:hAnsi="Times New Roman" w:eastAsia="Times New Roman" w:cs="Times New Roman"/>
          <w:b w:val="0"/>
          <w:i/>
          <w:sz w:val="24"/>
        </w:rPr>
        <w:t>constant</w:t>
      </w:r>
      <w:r>
        <w:rPr>
          <w:rFonts w:ascii="Times New Roman" w:hAnsi="Times New Roman" w:eastAsia="Times New Roman" w:cs="Times New Roman"/>
          <w:b w:val="0"/>
          <w:i w:val="0"/>
          <w:sz w:val="24"/>
        </w:rPr>
        <w:t xml:space="preserve"> offset is corrected by anything, including the cumulative mean, so the choice of estimator is irrelevant there. A </w:t>
      </w:r>
      <w:r>
        <w:rPr>
          <w:rFonts w:ascii="Times New Roman" w:hAnsi="Times New Roman" w:eastAsia="Times New Roman" w:cs="Times New Roman"/>
          <w:b w:val="0"/>
          <w:i/>
          <w:sz w:val="24"/>
        </w:rPr>
        <w:t>drift</w:t>
      </w:r>
      <w:r>
        <w:rPr>
          <w:rFonts w:ascii="Times New Roman" w:hAnsi="Times New Roman" w:eastAsia="Times New Roman" w:cs="Times New Roman"/>
          <w:b w:val="0"/>
          <w:i w:val="0"/>
          <w:sz w:val="24"/>
        </w:rPr>
        <w:t xml:space="preserve"> punishes long memory and rewards tracking: Kalman is the best estimator in both drift rows, by 0.03 to 0.10 over the fixed-memory rules. Step changes reward a short window as well. A change of the class </w:t>
      </w:r>
      <w:r>
        <w:rPr>
          <w:rFonts w:ascii="Times New Roman" w:hAnsi="Times New Roman" w:eastAsia="Times New Roman" w:cs="Times New Roman"/>
          <w:b w:val="0"/>
          <w:i/>
          <w:sz w:val="24"/>
        </w:rPr>
        <w:t>proportions</w:t>
      </w:r>
      <w:r>
        <w:rPr>
          <w:rFonts w:ascii="Times New Roman" w:hAnsi="Times New Roman" w:eastAsia="Times New Roman" w:cs="Times New Roman"/>
          <w:b w:val="0"/>
          <w:i w:val="0"/>
          <w:sz w:val="24"/>
        </w:rPr>
        <w:t>, with the class-conditional distributions untouched, does the opposite: it leaves the shrinkage rules almost unaffected (0.676 to 0.679) and costs the tracker 0.06 to 0.08, because a tracker follows the change in the mixture as if it were a change in the offset.</w:t>
      </w:r>
    </w:p>
    <w:p>
      <w:pPr>
        <w:spacing w:before="0" w:after="0" w:line="480" w:lineRule="auto"/>
        <w:ind w:firstLine="0" w:left="0"/>
        <w:jc w:val="left"/>
      </w:pPr>
      <w:r>
        <w:rPr>
          <w:rFonts w:ascii="Times New Roman" w:hAnsi="Times New Roman" w:eastAsia="Times New Roman" w:cs="Times New Roman"/>
          <w:b w:val="0"/>
          <w:i w:val="0"/>
          <w:sz w:val="24"/>
        </w:rPr>
        <w:t>Under the drift rows the predictive weight loses to Kalman, which is the honest reading of Table 13; under the prior-change rows it is Kalman that loses. No estimator in the table dominates, and the fixed-memory rules lose in the drift rows by as much as the tracker loses in the prior rows.</w:t>
      </w:r>
    </w:p>
    <w:p>
      <w:pPr>
        <w:spacing w:before="0" w:after="0" w:line="480" w:lineRule="auto"/>
        <w:ind w:firstLine="0" w:left="0"/>
        <w:jc w:val="left"/>
      </w:pPr>
      <w:r>
        <w:rPr>
          <w:rFonts w:ascii="Times New Roman" w:hAnsi="Times New Roman" w:eastAsia="Times New Roman" w:cs="Times New Roman"/>
          <w:b/>
          <w:i w:val="0"/>
          <w:sz w:val="24"/>
        </w:rPr>
        <w:t>4.12.1 An audit of the tracker, and what it cost us.</w:t>
      </w:r>
      <w:r>
        <w:rPr>
          <w:rFonts w:ascii="Times New Roman" w:hAnsi="Times New Roman" w:eastAsia="Times New Roman" w:cs="Times New Roman"/>
          <w:b w:val="0"/>
          <w:i w:val="0"/>
          <w:sz w:val="24"/>
        </w:rPr>
        <w:t xml:space="preserve"> Before reading anything into the tracker column we varied its two variances and its initial covariance on the real data: the original setting (P₀ = 1, process noise from the variance of successive differences, measurement noise from the current block), a matched initialisation (P₀ = r), and two fixed ratios (q = 0.05 r and q = 0.50 r), all with causally estimated measurement noise. The estimator is not stable across these settings. On SEED the aggressive setting gives 0.380 against 0.459 uncorrected and the matched settings collapse to chance; on grasp-and-lift the same pattern appears (0.628 against 0.773, then chance). The diagnostic that explains it is the one-step state error, ||state − d_b||/||d_b||, which is 0.11 on SEED, 0.99 on BCI-2a and 3.6 to 3.8 on grasp-and-lift and NER2015: the state is not tracking the displacement it is applied to, so the correction is applied with a vector that can be several times too large.</w:t>
      </w:r>
    </w:p>
    <w:p>
      <w:pPr>
        <w:spacing w:before="0" w:after="0" w:line="480" w:lineRule="auto"/>
        <w:ind w:firstLine="0" w:left="0"/>
        <w:jc w:val="left"/>
      </w:pPr>
      <w:r>
        <w:rPr>
          <w:rFonts w:ascii="Times New Roman" w:hAnsi="Times New Roman" w:eastAsia="Times New Roman" w:cs="Times New Roman"/>
          <w:b w:val="0"/>
          <w:i w:val="0"/>
          <w:sz w:val="24"/>
        </w:rPr>
        <w:t xml:space="preserve">A state-space tracker with a fixed gain is therefore </w:t>
      </w:r>
      <w:r>
        <w:rPr>
          <w:rFonts w:ascii="Times New Roman" w:hAnsi="Times New Roman" w:eastAsia="Times New Roman" w:cs="Times New Roman"/>
          <w:b w:val="0"/>
          <w:i/>
          <w:sz w:val="24"/>
        </w:rPr>
        <w:t>not</w:t>
      </w:r>
      <w:r>
        <w:rPr>
          <w:rFonts w:ascii="Times New Roman" w:hAnsi="Times New Roman" w:eastAsia="Times New Roman" w:cs="Times New Roman"/>
          <w:b w:val="0"/>
          <w:i w:val="0"/>
          <w:sz w:val="24"/>
        </w:rPr>
        <w:t xml:space="preserve"> a fair representative of "fast tracking" in this setting, and we do not use its real-data numbers as evidence. The negative-transfer results that the paper does rely on are those of the estimators whose implementation we could verify (cumulative, block, variance-ratio, predictive, ADWIN), and the synthetic tracker rows are read as a statement about the direction of a trade-off, not as a measurement of it. A properly tuned tracker, with its variances fitted on the source session rather than on the target stream, remains an obvious baseline for future work and we did not establish it here.</w:t>
      </w:r>
    </w:p>
    <w:p>
      <w:pPr>
        <w:spacing w:before="0" w:after="0" w:line="480" w:lineRule="auto"/>
        <w:ind w:firstLine="0" w:left="0"/>
        <w:jc w:val="left"/>
      </w:pPr>
      <w:r>
        <w:rPr>
          <w:rFonts w:ascii="Times New Roman" w:hAnsi="Times New Roman" w:eastAsia="Times New Roman" w:cs="Times New Roman"/>
          <w:b/>
          <w:i w:val="0"/>
          <w:sz w:val="24"/>
        </w:rPr>
        <w:t>What this establishes and what it does not.</w:t>
      </w:r>
      <w:r>
        <w:rPr>
          <w:rFonts w:ascii="Times New Roman" w:hAnsi="Times New Roman" w:eastAsia="Times New Roman" w:cs="Times New Roman"/>
          <w:b w:val="0"/>
          <w:i w:val="0"/>
          <w:sz w:val="24"/>
        </w:rPr>
        <w:t xml:space="preserve"> The simulations reproduce the qualitative pattern of the real benchmarks — a dataset whose block displacements are trend-dominated (grasp-and-lift, R² = 0.80) breaks the long-memory rules, and a dataset with a large, almost constant offset (SEED, R² = 0.06) breaks the tracker — and they show that each of these behaviours follows from a mechanism that is stated in the generator. They do not identify which mechanism dominates a given recording: the generator can produce a similar performance pattern from more than one parameter setting, and the real drift structure we measure is a description of the block means, not a decomposition of causes. The synthetic results are therefore mechanistic hypotheses that are consistent with the EEG data, not a proof of what happened in those sessions.</w:t>
      </w:r>
    </w:p>
    <w:p>
      <w:pPr>
        <w:spacing w:before="0" w:after="0" w:line="480" w:lineRule="auto"/>
        <w:ind w:firstLine="0" w:left="0"/>
        <w:jc w:val="left"/>
      </w:pPr>
      <w:r>
        <w:rPr>
          <w:rFonts w:ascii="Times New Roman" w:hAnsi="Times New Roman" w:eastAsia="Times New Roman" w:cs="Times New Roman"/>
          <w:b w:val="0"/>
          <w:i w:val="0"/>
          <w:sz w:val="24"/>
        </w:rPr>
        <w:t>### 4.12.2 Ablation of the weighting rules, and a control that constrains them</w:t>
      </w:r>
    </w:p>
    <w:p>
      <w:pPr>
        <w:spacing w:before="0" w:after="0" w:line="480" w:lineRule="auto"/>
        <w:ind w:firstLine="0" w:left="0"/>
        <w:jc w:val="left"/>
      </w:pPr>
      <w:r>
        <w:rPr>
          <w:rFonts w:ascii="Times New Roman" w:hAnsi="Times New Roman" w:eastAsia="Times New Roman" w:cs="Times New Roman"/>
          <w:b w:val="0"/>
          <w:i w:val="0"/>
          <w:sz w:val="24"/>
        </w:rPr>
        <w:t>The estimators of Section 4.2 differ in how they set the weight. This subsection separates the two things such a rule can contribute: the average strength it applies, and the way that strength is distributed over time. On grasp-and-lift, where the predictive rule was introduced:</w:t>
      </w:r>
    </w:p>
    <w:p>
      <w:pPr>
        <w:keepNext/>
        <w:spacing w:before="240" w:after="80" w:line="240" w:lineRule="auto"/>
      </w:pPr>
      <w:r>
        <w:rPr>
          <w:rFonts w:ascii="Times New Roman" w:hAnsi="Times New Roman" w:eastAsia="Times New Roman" w:cs="Times New Roman"/>
          <w:b/>
          <w:i w:val="0"/>
          <w:sz w:val="21"/>
        </w:rPr>
        <w:t xml:space="preserve">Table 1.. </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3024"/>
        <w:gridCol w:w="3024"/>
        <w:gridCol w:w="3024"/>
      </w:tblGrid>
      <w:tr>
        <w:trPr>
          <w:tblHeader/>
        </w:trPr>
        <w:tc>
          <w:tcPr>
            <w:tcW w:type="dxa" w:w="302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rule</w:t>
            </w:r>
          </w:p>
        </w:tc>
        <w:tc>
          <w:tcPr>
            <w:tcW w:type="dxa" w:w="302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average weight</w:t>
            </w:r>
          </w:p>
        </w:tc>
        <w:tc>
          <w:tcPr>
            <w:tcW w:type="dxa" w:w="302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balanced accuracy</w:t>
            </w:r>
          </w:p>
        </w:tc>
      </w:tr>
      <w:tr>
        <w:tc>
          <w:tcPr>
            <w:tcW w:type="dxa" w:w="3024"/>
          </w:tcPr>
          <w:p>
            <w:pPr>
              <w:spacing w:before="40" w:after="40" w:line="240" w:lineRule="auto"/>
              <w:jc w:val="center"/>
            </w:pPr>
            <w:r/>
            <w:r>
              <w:rPr>
                <w:rFonts w:ascii="Times New Roman" w:hAnsi="Times New Roman" w:eastAsia="Times New Roman" w:cs="Times New Roman"/>
                <w:b w:val="0"/>
                <w:i w:val="0"/>
                <w:sz w:val="18"/>
              </w:rPr>
              <w:t>fixed λ = 0.25</w:t>
            </w:r>
          </w:p>
        </w:tc>
        <w:tc>
          <w:tcPr>
            <w:tcW w:type="dxa" w:w="3024"/>
          </w:tcPr>
          <w:p>
            <w:pPr>
              <w:spacing w:before="40" w:after="40" w:line="240" w:lineRule="auto"/>
              <w:jc w:val="left"/>
            </w:pPr>
            <w:r/>
            <w:r>
              <w:rPr>
                <w:rFonts w:ascii="Times New Roman" w:hAnsi="Times New Roman" w:eastAsia="Times New Roman" w:cs="Times New Roman"/>
                <w:b w:val="0"/>
                <w:i w:val="0"/>
                <w:sz w:val="18"/>
              </w:rPr>
              <w:t>0.25 (fixed)</w:t>
            </w:r>
          </w:p>
        </w:tc>
        <w:tc>
          <w:tcPr>
            <w:tcW w:type="dxa" w:w="3024"/>
          </w:tcPr>
          <w:p>
            <w:pPr>
              <w:spacing w:before="40" w:after="40" w:line="240" w:lineRule="auto"/>
              <w:jc w:val="center"/>
            </w:pPr>
            <w:r/>
            <w:r>
              <w:rPr>
                <w:rFonts w:ascii="Times New Roman" w:hAnsi="Times New Roman" w:eastAsia="Times New Roman" w:cs="Times New Roman"/>
                <w:b w:val="0"/>
                <w:i w:val="0"/>
                <w:sz w:val="18"/>
              </w:rPr>
              <w:t>0.7584</w:t>
            </w:r>
          </w:p>
        </w:tc>
      </w:tr>
      <w:tr>
        <w:tc>
          <w:tcPr>
            <w:tcW w:type="dxa" w:w="3024"/>
          </w:tcPr>
          <w:p>
            <w:pPr>
              <w:spacing w:before="40" w:after="40" w:line="240" w:lineRule="auto"/>
              <w:jc w:val="center"/>
            </w:pPr>
            <w:r/>
            <w:r>
              <w:rPr>
                <w:rFonts w:ascii="Times New Roman" w:hAnsi="Times New Roman" w:eastAsia="Times New Roman" w:cs="Times New Roman"/>
                <w:b w:val="0"/>
                <w:i w:val="0"/>
                <w:sz w:val="18"/>
              </w:rPr>
              <w:t>fixed λ = 0.50</w:t>
            </w:r>
          </w:p>
        </w:tc>
        <w:tc>
          <w:tcPr>
            <w:tcW w:type="dxa" w:w="3024"/>
          </w:tcPr>
          <w:p>
            <w:pPr>
              <w:spacing w:before="40" w:after="40" w:line="240" w:lineRule="auto"/>
              <w:jc w:val="left"/>
            </w:pPr>
            <w:r/>
            <w:r>
              <w:rPr>
                <w:rFonts w:ascii="Times New Roman" w:hAnsi="Times New Roman" w:eastAsia="Times New Roman" w:cs="Times New Roman"/>
                <w:b w:val="0"/>
                <w:i w:val="0"/>
                <w:sz w:val="18"/>
              </w:rPr>
              <w:t>0.50 (fixed)</w:t>
            </w:r>
          </w:p>
        </w:tc>
        <w:tc>
          <w:tcPr>
            <w:tcW w:type="dxa" w:w="3024"/>
          </w:tcPr>
          <w:p>
            <w:pPr>
              <w:spacing w:before="40" w:after="40" w:line="240" w:lineRule="auto"/>
              <w:jc w:val="center"/>
            </w:pPr>
            <w:r/>
            <w:r>
              <w:rPr>
                <w:rFonts w:ascii="Times New Roman" w:hAnsi="Times New Roman" w:eastAsia="Times New Roman" w:cs="Times New Roman"/>
                <w:b w:val="0"/>
                <w:i w:val="0"/>
                <w:sz w:val="18"/>
              </w:rPr>
              <w:t>0.7318</w:t>
            </w:r>
          </w:p>
        </w:tc>
      </w:tr>
      <w:tr>
        <w:tc>
          <w:tcPr>
            <w:tcW w:type="dxa" w:w="3024"/>
          </w:tcPr>
          <w:p>
            <w:pPr>
              <w:spacing w:before="40" w:after="40" w:line="240" w:lineRule="auto"/>
              <w:jc w:val="center"/>
            </w:pPr>
            <w:r/>
            <w:r>
              <w:rPr>
                <w:rFonts w:ascii="Times New Roman" w:hAnsi="Times New Roman" w:eastAsia="Times New Roman" w:cs="Times New Roman"/>
                <w:b w:val="0"/>
                <w:i w:val="0"/>
                <w:sz w:val="18"/>
              </w:rPr>
              <w:t>matched: a constant equal to the cell's own mean predictive weight</w:t>
            </w:r>
          </w:p>
        </w:tc>
        <w:tc>
          <w:tcPr>
            <w:tcW w:type="dxa" w:w="3024"/>
          </w:tcPr>
          <w:p>
            <w:pPr>
              <w:spacing w:before="40" w:after="40" w:line="240" w:lineRule="auto"/>
              <w:jc w:val="left"/>
            </w:pPr>
            <w:r/>
            <w:r>
              <w:rPr>
                <w:rFonts w:ascii="Times New Roman" w:hAnsi="Times New Roman" w:eastAsia="Times New Roman" w:cs="Times New Roman"/>
                <w:b w:val="0"/>
                <w:i w:val="0"/>
                <w:sz w:val="18"/>
              </w:rPr>
              <w:t>0.25</w:t>
            </w:r>
          </w:p>
        </w:tc>
        <w:tc>
          <w:tcPr>
            <w:tcW w:type="dxa" w:w="3024"/>
          </w:tcPr>
          <w:p>
            <w:pPr>
              <w:spacing w:before="40" w:after="40" w:line="240" w:lineRule="auto"/>
              <w:jc w:val="center"/>
            </w:pPr>
            <w:r/>
            <w:r>
              <w:rPr>
                <w:rFonts w:ascii="Times New Roman" w:hAnsi="Times New Roman" w:eastAsia="Times New Roman" w:cs="Times New Roman"/>
                <w:b w:val="0"/>
                <w:i w:val="0"/>
                <w:sz w:val="18"/>
              </w:rPr>
              <w:t>0.7617</w:t>
            </w:r>
          </w:p>
        </w:tc>
      </w:tr>
      <w:tr>
        <w:tc>
          <w:tcPr>
            <w:tcW w:type="dxa" w:w="3024"/>
          </w:tcPr>
          <w:p>
            <w:pPr>
              <w:spacing w:before="40" w:after="40" w:line="240" w:lineRule="auto"/>
              <w:jc w:val="center"/>
            </w:pPr>
            <w:r/>
            <w:r>
              <w:rPr>
                <w:rFonts w:ascii="Times New Roman" w:hAnsi="Times New Roman" w:eastAsia="Times New Roman" w:cs="Times New Roman"/>
                <w:b w:val="0"/>
                <w:i w:val="0"/>
                <w:sz w:val="18"/>
              </w:rPr>
              <w:t>shuffled: the predictive weights permuted across the blocks of the cell</w:t>
            </w:r>
          </w:p>
        </w:tc>
        <w:tc>
          <w:tcPr>
            <w:tcW w:type="dxa" w:w="3024"/>
          </w:tcPr>
          <w:p>
            <w:pPr>
              <w:spacing w:before="40" w:after="40" w:line="240" w:lineRule="auto"/>
              <w:jc w:val="left"/>
            </w:pPr>
            <w:r/>
            <w:r>
              <w:rPr>
                <w:rFonts w:ascii="Times New Roman" w:hAnsi="Times New Roman" w:eastAsia="Times New Roman" w:cs="Times New Roman"/>
                <w:b w:val="0"/>
                <w:i w:val="0"/>
                <w:sz w:val="18"/>
              </w:rPr>
              <w:t>0.25</w:t>
            </w:r>
          </w:p>
        </w:tc>
        <w:tc>
          <w:tcPr>
            <w:tcW w:type="dxa" w:w="3024"/>
          </w:tcPr>
          <w:p>
            <w:pPr>
              <w:spacing w:before="40" w:after="40" w:line="240" w:lineRule="auto"/>
              <w:jc w:val="center"/>
            </w:pPr>
            <w:r/>
            <w:r>
              <w:rPr>
                <w:rFonts w:ascii="Times New Roman" w:hAnsi="Times New Roman" w:eastAsia="Times New Roman" w:cs="Times New Roman"/>
                <w:b w:val="0"/>
                <w:i w:val="0"/>
                <w:sz w:val="18"/>
              </w:rPr>
              <w:t>0.7622</w:t>
            </w:r>
          </w:p>
        </w:tc>
      </w:tr>
      <w:tr>
        <w:tc>
          <w:tcPr>
            <w:tcW w:type="dxa" w:w="3024"/>
          </w:tcPr>
          <w:p>
            <w:pPr>
              <w:spacing w:before="40" w:after="40" w:line="240" w:lineRule="auto"/>
              <w:jc w:val="center"/>
            </w:pPr>
            <w:r/>
            <w:r>
              <w:rPr>
                <w:rFonts w:ascii="Times New Roman" w:hAnsi="Times New Roman" w:eastAsia="Times New Roman" w:cs="Times New Roman"/>
                <w:b w:val="0"/>
                <w:i w:val="0"/>
                <w:sz w:val="18"/>
              </w:rPr>
              <w:t>predictive (leave-one-block-out)</w:t>
            </w:r>
          </w:p>
        </w:tc>
        <w:tc>
          <w:tcPr>
            <w:tcW w:type="dxa" w:w="3024"/>
          </w:tcPr>
          <w:p>
            <w:pPr>
              <w:spacing w:before="40" w:after="40" w:line="240" w:lineRule="auto"/>
              <w:jc w:val="left"/>
            </w:pPr>
            <w:r/>
            <w:r>
              <w:rPr>
                <w:rFonts w:ascii="Times New Roman" w:hAnsi="Times New Roman" w:eastAsia="Times New Roman" w:cs="Times New Roman"/>
                <w:b w:val="0"/>
                <w:i w:val="0"/>
                <w:sz w:val="18"/>
              </w:rPr>
              <w:t>0.25</w:t>
            </w:r>
          </w:p>
        </w:tc>
        <w:tc>
          <w:tcPr>
            <w:tcW w:type="dxa" w:w="3024"/>
          </w:tcPr>
          <w:p>
            <w:pPr>
              <w:spacing w:before="40" w:after="40" w:line="240" w:lineRule="auto"/>
              <w:jc w:val="center"/>
            </w:pPr>
            <w:r/>
            <w:r>
              <w:rPr>
                <w:rFonts w:ascii="Times New Roman" w:hAnsi="Times New Roman" w:eastAsia="Times New Roman" w:cs="Times New Roman"/>
                <w:b w:val="0"/>
                <w:i w:val="0"/>
                <w:sz w:val="18"/>
              </w:rPr>
              <w:t>0.7621</w:t>
            </w:r>
          </w:p>
        </w:tc>
      </w:tr>
      <w:tr>
        <w:tc>
          <w:tcPr>
            <w:tcW w:type="dxa" w:w="3024"/>
          </w:tcPr>
          <w:p>
            <w:pPr>
              <w:spacing w:before="40" w:after="40" w:line="240" w:lineRule="auto"/>
              <w:jc w:val="center"/>
            </w:pPr>
            <w:r/>
            <w:r>
              <w:rPr>
                <w:rFonts w:ascii="Times New Roman" w:hAnsi="Times New Roman" w:eastAsia="Times New Roman" w:cs="Times New Roman"/>
                <w:b w:val="0"/>
                <w:i w:val="0"/>
                <w:sz w:val="18"/>
              </w:rPr>
              <w:t>variance-ratio, Eq. (9)</w:t>
            </w:r>
          </w:p>
        </w:tc>
        <w:tc>
          <w:tcPr>
            <w:tcW w:type="dxa" w:w="3024"/>
          </w:tcPr>
          <w:p>
            <w:pPr>
              <w:spacing w:before="40" w:after="40" w:line="240" w:lineRule="auto"/>
              <w:jc w:val="left"/>
            </w:pPr>
            <w:r/>
            <w:r>
              <w:rPr>
                <w:rFonts w:ascii="Times New Roman" w:hAnsi="Times New Roman" w:eastAsia="Times New Roman" w:cs="Times New Roman"/>
                <w:b w:val="0"/>
                <w:i w:val="0"/>
                <w:sz w:val="18"/>
              </w:rPr>
              <w:t>0.56</w:t>
            </w:r>
          </w:p>
        </w:tc>
        <w:tc>
          <w:tcPr>
            <w:tcW w:type="dxa" w:w="3024"/>
          </w:tcPr>
          <w:p>
            <w:pPr>
              <w:spacing w:before="40" w:after="40" w:line="240" w:lineRule="auto"/>
              <w:jc w:val="center"/>
            </w:pPr>
            <w:r/>
            <w:r>
              <w:rPr>
                <w:rFonts w:ascii="Times New Roman" w:hAnsi="Times New Roman" w:eastAsia="Times New Roman" w:cs="Times New Roman"/>
                <w:b w:val="0"/>
                <w:i w:val="0"/>
                <w:sz w:val="18"/>
              </w:rPr>
              <w:t>0.6703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predictive rule beats a </w:t>
      </w:r>
      <w:r>
        <w:rPr>
          <w:rFonts w:ascii="Times New Roman" w:hAnsi="Times New Roman" w:eastAsia="Times New Roman" w:cs="Times New Roman"/>
          <w:b w:val="0"/>
          <w:i/>
          <w:sz w:val="24"/>
        </w:rPr>
        <w:t>global</w:t>
      </w:r>
      <w:r>
        <w:rPr>
          <w:rFonts w:ascii="Times New Roman" w:hAnsi="Times New Roman" w:eastAsia="Times New Roman" w:cs="Times New Roman"/>
          <w:b w:val="0"/>
          <w:i w:val="0"/>
          <w:sz w:val="24"/>
        </w:rPr>
        <w:t xml:space="preserve"> fixed weight by 0.0037 [−0.0006, +0.0089], reproduces its own performance when every cell is given its own constant weight, and loses nothing when its weights are permuted. Matching the average strength therefore accounts for its benefit here, and rearranging the weights in time produces no detectable loss. BCI-2a is the exception, where the matched control is 0.0057 [+0.0026, +0.0088] behind the rule, so time allocation is not worthless everywhere; on the other four datasets the difference is within noise.</w:t>
      </w:r>
    </w:p>
    <w:p>
      <w:pPr>
        <w:spacing w:before="0" w:after="0" w:line="480" w:lineRule="auto"/>
        <w:ind w:firstLine="0" w:left="0"/>
        <w:jc w:val="left"/>
      </w:pPr>
      <w:r>
        <w:rPr>
          <w:rFonts w:ascii="Times New Roman" w:hAnsi="Times New Roman" w:eastAsia="Times New Roman" w:cs="Times New Roman"/>
          <w:b w:val="0"/>
          <w:i w:val="0"/>
          <w:sz w:val="24"/>
        </w:rPr>
        <w:t xml:space="preserve">Two cautions on reading this table. The matched and shuffled rows are </w:t>
      </w:r>
      <w:r>
        <w:rPr>
          <w:rFonts w:ascii="Times New Roman" w:hAnsi="Times New Roman" w:eastAsia="Times New Roman" w:cs="Times New Roman"/>
          <w:b w:val="0"/>
          <w:i/>
          <w:sz w:val="24"/>
        </w:rPr>
        <w:t>post-hoc diagnostics</w:t>
      </w:r>
      <w:r>
        <w:rPr>
          <w:rFonts w:ascii="Times New Roman" w:hAnsi="Times New Roman" w:eastAsia="Times New Roman" w:cs="Times New Roman"/>
          <w:b w:val="0"/>
          <w:i w:val="0"/>
          <w:sz w:val="24"/>
        </w:rPr>
        <w:t>: they use the whole session to build the constant or the permutation, and neither is a deployable procedure, so they belong to the ablation and not to the list of online methods. And "no detectable difference" is not equivalence; the intervals are wide enough to admit a small effect, which is why the claim is that the strength accounts for the benefit, not that the timing carries none.</w:t>
      </w:r>
    </w:p>
    <w:p>
      <w:pPr>
        <w:keepNext/>
        <w:spacing w:before="240" w:after="120" w:line="240" w:lineRule="auto"/>
      </w:pPr>
      <w:r>
        <w:rPr>
          <w:rFonts w:ascii="Times New Roman" w:hAnsi="Times New Roman" w:eastAsia="Times New Roman" w:cs="Times New Roman"/>
          <w:b/>
          <w:i/>
          <w:sz w:val="24"/>
        </w:rPr>
        <w:t>4.13. Correction strength, not the estimator, sets the sign</w:t>
      </w:r>
    </w:p>
    <w:p>
      <w:pPr>
        <w:spacing w:before="0" w:after="0" w:line="480" w:lineRule="auto"/>
        <w:ind w:firstLine="0" w:left="0"/>
        <w:jc w:val="left"/>
      </w:pPr>
      <w:r>
        <w:rPr>
          <w:rFonts w:ascii="Times New Roman" w:hAnsi="Times New Roman" w:eastAsia="Times New Roman" w:cs="Times New Roman"/>
          <w:b w:val="0"/>
          <w:i w:val="0"/>
          <w:sz w:val="24"/>
        </w:rPr>
        <w:t xml:space="preserve">The comparison above varies the estimator. This one varies only the </w:t>
      </w:r>
      <w:r>
        <w:rPr>
          <w:rFonts w:ascii="Times New Roman" w:hAnsi="Times New Roman" w:eastAsia="Times New Roman" w:cs="Times New Roman"/>
          <w:b w:val="0"/>
          <w:i/>
          <w:sz w:val="24"/>
        </w:rPr>
        <w:t>strength</w:t>
      </w:r>
      <w:r>
        <w:rPr>
          <w:rFonts w:ascii="Times New Roman" w:hAnsi="Times New Roman" w:eastAsia="Times New Roman" w:cs="Times New Roman"/>
          <w:b w:val="0"/>
          <w:i w:val="0"/>
          <w:sz w:val="24"/>
        </w:rPr>
        <w:t>: every method corrects by the same displacement, the mean of the completed blocks, and differs solely in the weight put on it, which is held fixed within a session.</w:t>
      </w:r>
    </w:p>
    <w:p>
      <w:pPr>
        <w:keepNext/>
        <w:spacing w:before="240" w:after="80" w:line="240" w:lineRule="auto"/>
        <w:jc w:val="center"/>
      </w:pPr>
      <w:r>
        <w:drawing>
          <wp:inline xmlns:a="http://schemas.openxmlformats.org/drawingml/2006/main" xmlns:pic="http://schemas.openxmlformats.org/drawingml/2006/picture">
            <wp:extent cx="5669280" cy="2312469"/>
            <wp:docPr id="6" name="Picture 6"/>
            <wp:cNvGraphicFramePr>
              <a:graphicFrameLocks noChangeAspect="1"/>
            </wp:cNvGraphicFramePr>
            <a:graphic>
              <a:graphicData uri="http://schemas.openxmlformats.org/drawingml/2006/picture">
                <pic:pic>
                  <pic:nvPicPr>
                    <pic:cNvPr id="0" name="fig_lambda.png"/>
                    <pic:cNvPicPr/>
                  </pic:nvPicPr>
                  <pic:blipFill>
                    <a:blip r:embed="rId15"/>
                    <a:stretch>
                      <a:fillRect/>
                    </a:stretch>
                  </pic:blipFill>
                  <pic:spPr>
                    <a:xfrm>
                      <a:off x="0" y="0"/>
                      <a:ext cx="5669280" cy="2312469"/>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6.</w:t>
      </w:r>
      <w:r>
        <w:rPr>
          <w:rFonts w:ascii="Times New Roman" w:hAnsi="Times New Roman" w:eastAsia="Times New Roman" w:cs="Times New Roman"/>
          <w:b w:val="0"/>
          <w:i w:val="0"/>
          <w:sz w:val="21"/>
        </w:rPr>
        <w:t xml:space="preserve"> Balanced accuracy as a function of the correction strength λ, cells aggregated within subject and bootstrapped over subjects (6,000 resamples, band = 95 per cent). (a) absolute; (b) change from no correction.</w:t>
      </w:r>
    </w:p>
    <w:p>
      <w:pPr>
        <w:keepNext/>
        <w:spacing w:before="240" w:after="80" w:line="240" w:lineRule="auto"/>
      </w:pPr>
      <w:r>
        <w:rPr>
          <w:rFonts w:ascii="Times New Roman" w:hAnsi="Times New Roman" w:eastAsia="Times New Roman" w:cs="Times New Roman"/>
          <w:b/>
          <w:i w:val="0"/>
          <w:sz w:val="21"/>
        </w:rPr>
        <w:t xml:space="preserve">Table 16. </w:t>
      </w:r>
      <w:r>
        <w:rPr>
          <w:rFonts w:ascii="Times New Roman" w:hAnsi="Times New Roman" w:eastAsia="Times New Roman" w:cs="Times New Roman"/>
          <w:b w:val="0"/>
          <w:i w:val="0"/>
          <w:sz w:val="21"/>
        </w:rPr>
        <w:t>The correction-strength response, subject level. D = BA(λ = 1) − BA(λ = 0), averaged within subject and bootstrapped over subjects.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λ=0</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0.10</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0.25</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0.50</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0.75</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λ=1</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 [95% CI]</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 with D &lt; 0</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0.773</w:t>
            </w:r>
          </w:p>
        </w:tc>
        <w:tc>
          <w:tcPr>
            <w:tcW w:type="dxa" w:w="1008"/>
          </w:tcPr>
          <w:p>
            <w:pPr>
              <w:spacing w:before="40" w:after="40" w:line="240" w:lineRule="auto"/>
              <w:jc w:val="center"/>
            </w:pPr>
            <w:r/>
            <w:r>
              <w:rPr>
                <w:rFonts w:ascii="Times New Roman" w:hAnsi="Times New Roman" w:eastAsia="Times New Roman" w:cs="Times New Roman"/>
                <w:b w:val="0"/>
                <w:i w:val="0"/>
                <w:sz w:val="18"/>
              </w:rPr>
              <w:t>0.767</w:t>
            </w:r>
          </w:p>
        </w:tc>
        <w:tc>
          <w:tcPr>
            <w:tcW w:type="dxa" w:w="1008"/>
          </w:tcPr>
          <w:p>
            <w:pPr>
              <w:spacing w:before="40" w:after="40" w:line="240" w:lineRule="auto"/>
              <w:jc w:val="center"/>
            </w:pPr>
            <w:r/>
            <w:r>
              <w:rPr>
                <w:rFonts w:ascii="Times New Roman" w:hAnsi="Times New Roman" w:eastAsia="Times New Roman" w:cs="Times New Roman"/>
                <w:b w:val="0"/>
                <w:i w:val="0"/>
                <w:sz w:val="18"/>
              </w:rPr>
              <w:t>0.758</w:t>
            </w:r>
          </w:p>
        </w:tc>
        <w:tc>
          <w:tcPr>
            <w:tcW w:type="dxa" w:w="1008"/>
          </w:tcPr>
          <w:p>
            <w:pPr>
              <w:spacing w:before="40" w:after="40" w:line="240" w:lineRule="auto"/>
              <w:jc w:val="center"/>
            </w:pPr>
            <w:r/>
            <w:r>
              <w:rPr>
                <w:rFonts w:ascii="Times New Roman" w:hAnsi="Times New Roman" w:eastAsia="Times New Roman" w:cs="Times New Roman"/>
                <w:b w:val="0"/>
                <w:i w:val="0"/>
                <w:sz w:val="18"/>
              </w:rPr>
              <w:t>0.732</w:t>
            </w:r>
          </w:p>
        </w:tc>
        <w:tc>
          <w:tcPr>
            <w:tcW w:type="dxa" w:w="1008"/>
          </w:tcPr>
          <w:p>
            <w:pPr>
              <w:spacing w:before="40" w:after="40" w:line="240" w:lineRule="auto"/>
              <w:jc w:val="center"/>
            </w:pPr>
            <w:r/>
            <w:r>
              <w:rPr>
                <w:rFonts w:ascii="Times New Roman" w:hAnsi="Times New Roman" w:eastAsia="Times New Roman" w:cs="Times New Roman"/>
                <w:b w:val="0"/>
                <w:i w:val="0"/>
                <w:sz w:val="18"/>
              </w:rPr>
              <w:t>0.700</w:t>
            </w:r>
          </w:p>
        </w:tc>
        <w:tc>
          <w:tcPr>
            <w:tcW w:type="dxa" w:w="1008"/>
          </w:tcPr>
          <w:p>
            <w:pPr>
              <w:spacing w:before="40" w:after="40" w:line="240" w:lineRule="auto"/>
              <w:jc w:val="center"/>
            </w:pPr>
            <w:r/>
            <w:r>
              <w:rPr>
                <w:rFonts w:ascii="Times New Roman" w:hAnsi="Times New Roman" w:eastAsia="Times New Roman" w:cs="Times New Roman"/>
                <w:b w:val="0"/>
                <w:i w:val="0"/>
                <w:sz w:val="18"/>
              </w:rPr>
              <w:t>0.665</w:t>
            </w:r>
          </w:p>
        </w:tc>
        <w:tc>
          <w:tcPr>
            <w:tcW w:type="dxa" w:w="1008"/>
          </w:tcPr>
          <w:p>
            <w:pPr>
              <w:spacing w:before="40" w:after="40" w:line="240" w:lineRule="auto"/>
              <w:jc w:val="center"/>
            </w:pPr>
            <w:r/>
            <w:r>
              <w:rPr>
                <w:rFonts w:ascii="Times New Roman" w:hAnsi="Times New Roman" w:eastAsia="Times New Roman" w:cs="Times New Roman"/>
                <w:b w:val="0"/>
                <w:i w:val="0"/>
                <w:sz w:val="18"/>
              </w:rPr>
              <w:t>−0.108 [−0.131, −0.083]</w:t>
            </w:r>
          </w:p>
        </w:tc>
        <w:tc>
          <w:tcPr>
            <w:tcW w:type="dxa" w:w="1008"/>
          </w:tcPr>
          <w:p>
            <w:pPr>
              <w:spacing w:before="40" w:after="40" w:line="240" w:lineRule="auto"/>
              <w:jc w:val="center"/>
            </w:pPr>
            <w:r/>
            <w:r>
              <w:rPr>
                <w:rFonts w:ascii="Times New Roman" w:hAnsi="Times New Roman" w:eastAsia="Times New Roman" w:cs="Times New Roman"/>
                <w:b w:val="0"/>
                <w:i w:val="0"/>
                <w:sz w:val="18"/>
              </w:rPr>
              <w:t>12 / 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SEED</w:t>
            </w:r>
          </w:p>
        </w:tc>
        <w:tc>
          <w:tcPr>
            <w:tcW w:type="dxa" w:w="1008"/>
          </w:tcPr>
          <w:p>
            <w:pPr>
              <w:spacing w:before="40" w:after="40" w:line="240" w:lineRule="auto"/>
              <w:jc w:val="left"/>
            </w:pPr>
            <w:r/>
            <w:r>
              <w:rPr>
                <w:rFonts w:ascii="Times New Roman" w:hAnsi="Times New Roman" w:eastAsia="Times New Roman" w:cs="Times New Roman"/>
                <w:b w:val="0"/>
                <w:i w:val="0"/>
                <w:sz w:val="18"/>
              </w:rPr>
              <w:t>0.459</w:t>
            </w:r>
          </w:p>
        </w:tc>
        <w:tc>
          <w:tcPr>
            <w:tcW w:type="dxa" w:w="1008"/>
          </w:tcPr>
          <w:p>
            <w:pPr>
              <w:spacing w:before="40" w:after="40" w:line="240" w:lineRule="auto"/>
              <w:jc w:val="center"/>
            </w:pPr>
            <w:r/>
            <w:r>
              <w:rPr>
                <w:rFonts w:ascii="Times New Roman" w:hAnsi="Times New Roman" w:eastAsia="Times New Roman" w:cs="Times New Roman"/>
                <w:b w:val="0"/>
                <w:i w:val="0"/>
                <w:sz w:val="18"/>
              </w:rPr>
              <w:t>0.473</w:t>
            </w:r>
          </w:p>
        </w:tc>
        <w:tc>
          <w:tcPr>
            <w:tcW w:type="dxa" w:w="1008"/>
          </w:tcPr>
          <w:p>
            <w:pPr>
              <w:spacing w:before="40" w:after="40" w:line="240" w:lineRule="auto"/>
              <w:jc w:val="center"/>
            </w:pPr>
            <w:r/>
            <w:r>
              <w:rPr>
                <w:rFonts w:ascii="Times New Roman" w:hAnsi="Times New Roman" w:eastAsia="Times New Roman" w:cs="Times New Roman"/>
                <w:b w:val="0"/>
                <w:i w:val="0"/>
                <w:sz w:val="18"/>
              </w:rPr>
              <w:t>0.493</w:t>
            </w:r>
          </w:p>
        </w:tc>
        <w:tc>
          <w:tcPr>
            <w:tcW w:type="dxa" w:w="1008"/>
          </w:tcPr>
          <w:p>
            <w:pPr>
              <w:spacing w:before="40" w:after="40" w:line="240" w:lineRule="auto"/>
              <w:jc w:val="center"/>
            </w:pPr>
            <w:r/>
            <w:r>
              <w:rPr>
                <w:rFonts w:ascii="Times New Roman" w:hAnsi="Times New Roman" w:eastAsia="Times New Roman" w:cs="Times New Roman"/>
                <w:b w:val="0"/>
                <w:i w:val="0"/>
                <w:sz w:val="18"/>
              </w:rPr>
              <w:t>0.545</w:t>
            </w:r>
          </w:p>
        </w:tc>
        <w:tc>
          <w:tcPr>
            <w:tcW w:type="dxa" w:w="1008"/>
          </w:tcPr>
          <w:p>
            <w:pPr>
              <w:spacing w:before="40" w:after="40" w:line="240" w:lineRule="auto"/>
              <w:jc w:val="center"/>
            </w:pPr>
            <w:r/>
            <w:r>
              <w:rPr>
                <w:rFonts w:ascii="Times New Roman" w:hAnsi="Times New Roman" w:eastAsia="Times New Roman" w:cs="Times New Roman"/>
                <w:b w:val="0"/>
                <w:i w:val="0"/>
                <w:sz w:val="18"/>
              </w:rPr>
              <w:t>0.618</w:t>
            </w:r>
          </w:p>
        </w:tc>
        <w:tc>
          <w:tcPr>
            <w:tcW w:type="dxa" w:w="1008"/>
          </w:tcPr>
          <w:p>
            <w:pPr>
              <w:spacing w:before="40" w:after="40" w:line="240" w:lineRule="auto"/>
              <w:jc w:val="center"/>
            </w:pPr>
            <w:r/>
            <w:r>
              <w:rPr>
                <w:rFonts w:ascii="Times New Roman" w:hAnsi="Times New Roman" w:eastAsia="Times New Roman" w:cs="Times New Roman"/>
                <w:b w:val="0"/>
                <w:i w:val="0"/>
                <w:sz w:val="18"/>
              </w:rPr>
              <w:t>0.674</w:t>
            </w:r>
          </w:p>
        </w:tc>
        <w:tc>
          <w:tcPr>
            <w:tcW w:type="dxa" w:w="1008"/>
          </w:tcPr>
          <w:p>
            <w:pPr>
              <w:spacing w:before="40" w:after="40" w:line="240" w:lineRule="auto"/>
              <w:jc w:val="center"/>
            </w:pPr>
            <w:r/>
            <w:r>
              <w:rPr>
                <w:rFonts w:ascii="Times New Roman" w:hAnsi="Times New Roman" w:eastAsia="Times New Roman" w:cs="Times New Roman"/>
                <w:b w:val="0"/>
                <w:i w:val="0"/>
                <w:sz w:val="18"/>
              </w:rPr>
              <w:t>+0.214 [+0.167, +0.260]</w:t>
            </w:r>
          </w:p>
        </w:tc>
        <w:tc>
          <w:tcPr>
            <w:tcW w:type="dxa" w:w="1008"/>
          </w:tcPr>
          <w:p>
            <w:pPr>
              <w:spacing w:before="40" w:after="40" w:line="240" w:lineRule="auto"/>
              <w:jc w:val="center"/>
            </w:pPr>
            <w:r/>
            <w:r>
              <w:rPr>
                <w:rFonts w:ascii="Times New Roman" w:hAnsi="Times New Roman" w:eastAsia="Times New Roman" w:cs="Times New Roman"/>
                <w:b w:val="0"/>
                <w:i w:val="0"/>
                <w:sz w:val="18"/>
              </w:rPr>
              <w:t>0 / 15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0.706</w:t>
            </w:r>
          </w:p>
        </w:tc>
        <w:tc>
          <w:tcPr>
            <w:tcW w:type="dxa" w:w="1008"/>
          </w:tcPr>
          <w:p>
            <w:pPr>
              <w:spacing w:before="40" w:after="40" w:line="240" w:lineRule="auto"/>
              <w:jc w:val="center"/>
            </w:pPr>
            <w:r/>
            <w:r>
              <w:rPr>
                <w:rFonts w:ascii="Times New Roman" w:hAnsi="Times New Roman" w:eastAsia="Times New Roman" w:cs="Times New Roman"/>
                <w:b w:val="0"/>
                <w:i w:val="0"/>
                <w:sz w:val="18"/>
              </w:rPr>
              <w:t>0.713</w:t>
            </w:r>
          </w:p>
        </w:tc>
        <w:tc>
          <w:tcPr>
            <w:tcW w:type="dxa" w:w="1008"/>
          </w:tcPr>
          <w:p>
            <w:pPr>
              <w:spacing w:before="40" w:after="40" w:line="240" w:lineRule="auto"/>
              <w:jc w:val="center"/>
            </w:pPr>
            <w:r/>
            <w:r>
              <w:rPr>
                <w:rFonts w:ascii="Times New Roman" w:hAnsi="Times New Roman" w:eastAsia="Times New Roman" w:cs="Times New Roman"/>
                <w:b w:val="0"/>
                <w:i w:val="0"/>
                <w:sz w:val="18"/>
              </w:rPr>
              <w:t>0.719</w:t>
            </w:r>
          </w:p>
        </w:tc>
        <w:tc>
          <w:tcPr>
            <w:tcW w:type="dxa" w:w="1008"/>
          </w:tcPr>
          <w:p>
            <w:pPr>
              <w:spacing w:before="40" w:after="40" w:line="240" w:lineRule="auto"/>
              <w:jc w:val="center"/>
            </w:pPr>
            <w:r/>
            <w:r>
              <w:rPr>
                <w:rFonts w:ascii="Times New Roman" w:hAnsi="Times New Roman" w:eastAsia="Times New Roman" w:cs="Times New Roman"/>
                <w:b w:val="0"/>
                <w:i w:val="0"/>
                <w:sz w:val="18"/>
              </w:rPr>
              <w:t>0.730</w:t>
            </w:r>
          </w:p>
        </w:tc>
        <w:tc>
          <w:tcPr>
            <w:tcW w:type="dxa" w:w="1008"/>
          </w:tcPr>
          <w:p>
            <w:pPr>
              <w:spacing w:before="40" w:after="40" w:line="240" w:lineRule="auto"/>
              <w:jc w:val="center"/>
            </w:pPr>
            <w:r/>
            <w:r>
              <w:rPr>
                <w:rFonts w:ascii="Times New Roman" w:hAnsi="Times New Roman" w:eastAsia="Times New Roman" w:cs="Times New Roman"/>
                <w:b w:val="0"/>
                <w:i w:val="0"/>
                <w:sz w:val="18"/>
              </w:rPr>
              <w:t>0.736</w:t>
            </w:r>
          </w:p>
        </w:tc>
        <w:tc>
          <w:tcPr>
            <w:tcW w:type="dxa" w:w="1008"/>
          </w:tcPr>
          <w:p>
            <w:pPr>
              <w:spacing w:before="40" w:after="40" w:line="240" w:lineRule="auto"/>
              <w:jc w:val="center"/>
            </w:pPr>
            <w:r/>
            <w:r>
              <w:rPr>
                <w:rFonts w:ascii="Times New Roman" w:hAnsi="Times New Roman" w:eastAsia="Times New Roman" w:cs="Times New Roman"/>
                <w:b w:val="0"/>
                <w:i w:val="0"/>
                <w:sz w:val="18"/>
              </w:rPr>
              <w:t>0.739</w:t>
            </w:r>
          </w:p>
        </w:tc>
        <w:tc>
          <w:tcPr>
            <w:tcW w:type="dxa" w:w="1008"/>
          </w:tcPr>
          <w:p>
            <w:pPr>
              <w:spacing w:before="40" w:after="40" w:line="240" w:lineRule="auto"/>
              <w:jc w:val="center"/>
            </w:pPr>
            <w:r/>
            <w:r>
              <w:rPr>
                <w:rFonts w:ascii="Times New Roman" w:hAnsi="Times New Roman" w:eastAsia="Times New Roman" w:cs="Times New Roman"/>
                <w:b w:val="0"/>
                <w:i w:val="0"/>
                <w:sz w:val="18"/>
              </w:rPr>
              <w:t>+0.032 [+0.017, +0.048]</w:t>
            </w:r>
          </w:p>
        </w:tc>
        <w:tc>
          <w:tcPr>
            <w:tcW w:type="dxa" w:w="1008"/>
          </w:tcPr>
          <w:p>
            <w:pPr>
              <w:spacing w:before="40" w:after="40" w:line="240" w:lineRule="auto"/>
              <w:jc w:val="center"/>
            </w:pPr>
            <w:r/>
            <w:r>
              <w:rPr>
                <w:rFonts w:ascii="Times New Roman" w:hAnsi="Times New Roman" w:eastAsia="Times New Roman" w:cs="Times New Roman"/>
                <w:b w:val="0"/>
                <w:i w:val="0"/>
                <w:sz w:val="18"/>
              </w:rPr>
              <w:t>1 / 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0.497</w:t>
            </w:r>
          </w:p>
        </w:tc>
        <w:tc>
          <w:tcPr>
            <w:tcW w:type="dxa" w:w="1008"/>
          </w:tcPr>
          <w:p>
            <w:pPr>
              <w:spacing w:before="40" w:after="40" w:line="240" w:lineRule="auto"/>
              <w:jc w:val="center"/>
            </w:pPr>
            <w:r/>
            <w:r>
              <w:rPr>
                <w:rFonts w:ascii="Times New Roman" w:hAnsi="Times New Roman" w:eastAsia="Times New Roman" w:cs="Times New Roman"/>
                <w:b w:val="0"/>
                <w:i w:val="0"/>
                <w:sz w:val="18"/>
              </w:rPr>
              <w:t>0.502</w:t>
            </w:r>
          </w:p>
        </w:tc>
        <w:tc>
          <w:tcPr>
            <w:tcW w:type="dxa" w:w="1008"/>
          </w:tcPr>
          <w:p>
            <w:pPr>
              <w:spacing w:before="40" w:after="40" w:line="240" w:lineRule="auto"/>
              <w:jc w:val="center"/>
            </w:pPr>
            <w:r/>
            <w:r>
              <w:rPr>
                <w:rFonts w:ascii="Times New Roman" w:hAnsi="Times New Roman" w:eastAsia="Times New Roman" w:cs="Times New Roman"/>
                <w:b w:val="0"/>
                <w:i w:val="0"/>
                <w:sz w:val="18"/>
              </w:rPr>
              <w:t>0.510</w:t>
            </w:r>
          </w:p>
        </w:tc>
        <w:tc>
          <w:tcPr>
            <w:tcW w:type="dxa" w:w="1008"/>
          </w:tcPr>
          <w:p>
            <w:pPr>
              <w:spacing w:before="40" w:after="40" w:line="240" w:lineRule="auto"/>
              <w:jc w:val="center"/>
            </w:pPr>
            <w:r/>
            <w:r>
              <w:rPr>
                <w:rFonts w:ascii="Times New Roman" w:hAnsi="Times New Roman" w:eastAsia="Times New Roman" w:cs="Times New Roman"/>
                <w:b w:val="0"/>
                <w:i w:val="0"/>
                <w:sz w:val="18"/>
              </w:rPr>
              <w:t>0.524</w:t>
            </w:r>
          </w:p>
        </w:tc>
        <w:tc>
          <w:tcPr>
            <w:tcW w:type="dxa" w:w="1008"/>
          </w:tcPr>
          <w:p>
            <w:pPr>
              <w:spacing w:before="40" w:after="40" w:line="240" w:lineRule="auto"/>
              <w:jc w:val="center"/>
            </w:pPr>
            <w:r/>
            <w:r>
              <w:rPr>
                <w:rFonts w:ascii="Times New Roman" w:hAnsi="Times New Roman" w:eastAsia="Times New Roman" w:cs="Times New Roman"/>
                <w:b w:val="0"/>
                <w:i w:val="0"/>
                <w:sz w:val="18"/>
              </w:rPr>
              <w:t>0.526</w:t>
            </w:r>
          </w:p>
        </w:tc>
        <w:tc>
          <w:tcPr>
            <w:tcW w:type="dxa" w:w="1008"/>
          </w:tcPr>
          <w:p>
            <w:pPr>
              <w:spacing w:before="40" w:after="40" w:line="240" w:lineRule="auto"/>
              <w:jc w:val="center"/>
            </w:pPr>
            <w:r/>
            <w:r>
              <w:rPr>
                <w:rFonts w:ascii="Times New Roman" w:hAnsi="Times New Roman" w:eastAsia="Times New Roman" w:cs="Times New Roman"/>
                <w:b w:val="0"/>
                <w:i w:val="0"/>
                <w:sz w:val="18"/>
              </w:rPr>
              <w:t>0.526</w:t>
            </w:r>
          </w:p>
        </w:tc>
        <w:tc>
          <w:tcPr>
            <w:tcW w:type="dxa" w:w="1008"/>
          </w:tcPr>
          <w:p>
            <w:pPr>
              <w:spacing w:before="40" w:after="40" w:line="240" w:lineRule="auto"/>
              <w:jc w:val="center"/>
            </w:pPr>
            <w:r/>
            <w:r>
              <w:rPr>
                <w:rFonts w:ascii="Times New Roman" w:hAnsi="Times New Roman" w:eastAsia="Times New Roman" w:cs="Times New Roman"/>
                <w:b w:val="0"/>
                <w:i w:val="0"/>
                <w:sz w:val="18"/>
              </w:rPr>
              <w:t>+0.029 [+0.012, +0.048]</w:t>
            </w:r>
          </w:p>
        </w:tc>
        <w:tc>
          <w:tcPr>
            <w:tcW w:type="dxa" w:w="1008"/>
          </w:tcPr>
          <w:p>
            <w:pPr>
              <w:spacing w:before="40" w:after="40" w:line="240" w:lineRule="auto"/>
              <w:jc w:val="center"/>
            </w:pPr>
            <w:r/>
            <w:r>
              <w:rPr>
                <w:rFonts w:ascii="Times New Roman" w:hAnsi="Times New Roman" w:eastAsia="Times New Roman" w:cs="Times New Roman"/>
                <w:b w:val="0"/>
                <w:i w:val="0"/>
                <w:sz w:val="18"/>
              </w:rPr>
              <w:t>1 / 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0.591</w:t>
            </w:r>
          </w:p>
        </w:tc>
        <w:tc>
          <w:tcPr>
            <w:tcW w:type="dxa" w:w="1008"/>
          </w:tcPr>
          <w:p>
            <w:pPr>
              <w:spacing w:before="40" w:after="40" w:line="240" w:lineRule="auto"/>
              <w:jc w:val="center"/>
            </w:pPr>
            <w:r/>
            <w:r>
              <w:rPr>
                <w:rFonts w:ascii="Times New Roman" w:hAnsi="Times New Roman" w:eastAsia="Times New Roman" w:cs="Times New Roman"/>
                <w:b w:val="0"/>
                <w:i w:val="0"/>
                <w:sz w:val="18"/>
              </w:rPr>
              <w:t>0.589</w:t>
            </w:r>
          </w:p>
        </w:tc>
        <w:tc>
          <w:tcPr>
            <w:tcW w:type="dxa" w:w="1008"/>
          </w:tcPr>
          <w:p>
            <w:pPr>
              <w:spacing w:before="40" w:after="40" w:line="240" w:lineRule="auto"/>
              <w:jc w:val="center"/>
            </w:pPr>
            <w:r/>
            <w:r>
              <w:rPr>
                <w:rFonts w:ascii="Times New Roman" w:hAnsi="Times New Roman" w:eastAsia="Times New Roman" w:cs="Times New Roman"/>
                <w:b w:val="0"/>
                <w:i w:val="0"/>
                <w:sz w:val="18"/>
              </w:rPr>
              <w:t>0.588</w:t>
            </w:r>
          </w:p>
        </w:tc>
        <w:tc>
          <w:tcPr>
            <w:tcW w:type="dxa" w:w="1008"/>
          </w:tcPr>
          <w:p>
            <w:pPr>
              <w:spacing w:before="40" w:after="40" w:line="240" w:lineRule="auto"/>
              <w:jc w:val="center"/>
            </w:pPr>
            <w:r/>
            <w:r>
              <w:rPr>
                <w:rFonts w:ascii="Times New Roman" w:hAnsi="Times New Roman" w:eastAsia="Times New Roman" w:cs="Times New Roman"/>
                <w:b w:val="0"/>
                <w:i w:val="0"/>
                <w:sz w:val="18"/>
              </w:rPr>
              <w:t>0.587</w:t>
            </w:r>
          </w:p>
        </w:tc>
        <w:tc>
          <w:tcPr>
            <w:tcW w:type="dxa" w:w="1008"/>
          </w:tcPr>
          <w:p>
            <w:pPr>
              <w:spacing w:before="40" w:after="40" w:line="240" w:lineRule="auto"/>
              <w:jc w:val="center"/>
            </w:pPr>
            <w:r/>
            <w:r>
              <w:rPr>
                <w:rFonts w:ascii="Times New Roman" w:hAnsi="Times New Roman" w:eastAsia="Times New Roman" w:cs="Times New Roman"/>
                <w:b w:val="0"/>
                <w:i w:val="0"/>
                <w:sz w:val="18"/>
              </w:rPr>
              <w:t>−0.004 [−0.010, +0.002]</w:t>
            </w:r>
          </w:p>
        </w:tc>
        <w:tc>
          <w:tcPr>
            <w:tcW w:type="dxa" w:w="1008"/>
          </w:tcPr>
          <w:p>
            <w:pPr>
              <w:spacing w:before="40" w:after="40" w:line="240" w:lineRule="auto"/>
              <w:jc w:val="center"/>
            </w:pPr>
            <w:r/>
            <w:r>
              <w:rPr>
                <w:rFonts w:ascii="Times New Roman" w:hAnsi="Times New Roman" w:eastAsia="Times New Roman" w:cs="Times New Roman"/>
                <w:b w:val="0"/>
                <w:i w:val="0"/>
                <w:sz w:val="18"/>
              </w:rPr>
              <w:t>10 / 16</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Two benchmarks respond in opposite directions, and the split is not a matter of degree: every grasp-and-lift subject loses accuracy as the correction is strengthened, and not one SEED subject does. The BCI sessions are already close to their best at λ = 1 and gain little from any correction, and NER2015, whose features carry no free origin, is flat. The value of λ that is best on the grid is therefore a property of the recording, not of the algorithm: about zero for grasp-and-lift, one for SEED and the BCI datasets. Section 4.14 asks what property of the recording it tracks.</w:t>
      </w:r>
    </w:p>
    <w:p>
      <w:pPr>
        <w:spacing w:before="0" w:after="0" w:line="480" w:lineRule="auto"/>
        <w:ind w:firstLine="0" w:left="0"/>
        <w:jc w:val="left"/>
      </w:pPr>
      <w:r>
        <w:rPr>
          <w:rFonts w:ascii="Times New Roman" w:hAnsi="Times New Roman" w:eastAsia="Times New Roman" w:cs="Times New Roman"/>
          <w:b w:val="0"/>
          <w:i w:val="0"/>
          <w:sz w:val="24"/>
        </w:rPr>
        <w:t>A caveat on the reading. These are grid optima, not a continuous optimum, and λ was applied as a constant chosen per session; the figure says how the benchmarks respond, not that a deployment can know the right value in advance. An estimator that produces λ from the stream is a way of guessing that constant, and Section 4.2 compares several.</w:t>
      </w:r>
    </w:p>
    <w:p>
      <w:pPr>
        <w:keepNext/>
        <w:spacing w:before="240" w:after="120" w:line="240" w:lineRule="auto"/>
      </w:pPr>
      <w:r>
        <w:rPr>
          <w:rFonts w:ascii="Times New Roman" w:hAnsi="Times New Roman" w:eastAsia="Times New Roman" w:cs="Times New Roman"/>
          <w:b/>
          <w:i/>
          <w:sz w:val="24"/>
        </w:rPr>
        <w:t>4.14. Temporal structure of the shift covaries with the loss</w:t>
      </w:r>
    </w:p>
    <w:p>
      <w:pPr>
        <w:spacing w:before="0" w:after="0" w:line="480" w:lineRule="auto"/>
        <w:ind w:firstLine="0" w:left="0"/>
        <w:jc w:val="left"/>
      </w:pPr>
      <w:r>
        <w:rPr>
          <w:rFonts w:ascii="Times New Roman" w:hAnsi="Times New Roman" w:eastAsia="Times New Roman" w:cs="Times New Roman"/>
          <w:b w:val="0"/>
          <w:i w:val="0"/>
          <w:sz w:val="24"/>
        </w:rPr>
        <w:t>If the right strength is a property of the recording, it should be visible in how the target mean moves. For every cell we took the block displacements d_b = P W (μ_b − μ_A), fitted a linear ramp to each score component, and measured R², the share of their variance the ramp explains. The number is only interpretable against a null: with five blocks, block order alone produces R² ≈ 0.25 by chance. We therefore permuted the block order 500 times per cell and report the excess ΔR² = R² − E[R²_null].</w:t>
      </w:r>
    </w:p>
    <w:p>
      <w:pPr>
        <w:keepNext/>
        <w:spacing w:before="240" w:after="80" w:line="240" w:lineRule="auto"/>
      </w:pPr>
      <w:r>
        <w:rPr>
          <w:rFonts w:ascii="Times New Roman" w:hAnsi="Times New Roman" w:eastAsia="Times New Roman" w:cs="Times New Roman"/>
          <w:b/>
          <w:i w:val="0"/>
          <w:sz w:val="21"/>
        </w:rPr>
        <w:t xml:space="preserve">Table 17. </w:t>
      </w:r>
      <w:r>
        <w:rPr>
          <w:rFonts w:ascii="Times New Roman" w:hAnsi="Times New Roman" w:eastAsia="Times New Roman" w:cs="Times New Roman"/>
          <w:b w:val="0"/>
          <w:i w:val="0"/>
          <w:sz w:val="21"/>
        </w:rPr>
        <w:t>Temporal structure and its relation to the correction loss,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blocks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R²</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R² under permuted order</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ΔR²</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lag-1</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loss</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0.800</w:t>
            </w:r>
          </w:p>
        </w:tc>
        <w:tc>
          <w:tcPr>
            <w:tcW w:type="dxa" w:w="1296"/>
          </w:tcPr>
          <w:p>
            <w:pPr>
              <w:spacing w:before="40" w:after="40" w:line="240" w:lineRule="auto"/>
              <w:jc w:val="center"/>
            </w:pPr>
            <w:r/>
            <w:r>
              <w:rPr>
                <w:rFonts w:ascii="Times New Roman" w:hAnsi="Times New Roman" w:eastAsia="Times New Roman" w:cs="Times New Roman"/>
                <w:b w:val="0"/>
                <w:i w:val="0"/>
                <w:sz w:val="18"/>
              </w:rPr>
              <w:t>0.255</w:t>
            </w:r>
          </w:p>
        </w:tc>
        <w:tc>
          <w:tcPr>
            <w:tcW w:type="dxa" w:w="1296"/>
          </w:tcPr>
          <w:p>
            <w:pPr>
              <w:spacing w:before="40" w:after="40" w:line="240" w:lineRule="auto"/>
              <w:jc w:val="center"/>
            </w:pPr>
            <w:r/>
            <w:r>
              <w:rPr>
                <w:rFonts w:ascii="Times New Roman" w:hAnsi="Times New Roman" w:eastAsia="Times New Roman" w:cs="Times New Roman"/>
                <w:b w:val="0"/>
                <w:i w:val="0"/>
                <w:sz w:val="18"/>
              </w:rPr>
              <w:t>+0.528</w:t>
            </w:r>
          </w:p>
        </w:tc>
        <w:tc>
          <w:tcPr>
            <w:tcW w:type="dxa" w:w="1296"/>
          </w:tcPr>
          <w:p>
            <w:pPr>
              <w:spacing w:before="40" w:after="40" w:line="240" w:lineRule="auto"/>
              <w:jc w:val="center"/>
            </w:pPr>
            <w:r/>
            <w:r>
              <w:rPr>
                <w:rFonts w:ascii="Times New Roman" w:hAnsi="Times New Roman" w:eastAsia="Times New Roman" w:cs="Times New Roman"/>
                <w:b w:val="0"/>
                <w:i w:val="0"/>
                <w:sz w:val="18"/>
              </w:rPr>
              <w:t>+0.65</w:t>
            </w:r>
          </w:p>
        </w:tc>
        <w:tc>
          <w:tcPr>
            <w:tcW w:type="dxa" w:w="1296"/>
          </w:tcPr>
          <w:p>
            <w:pPr>
              <w:spacing w:before="40" w:after="40" w:line="240" w:lineRule="auto"/>
              <w:jc w:val="center"/>
            </w:pPr>
            <w:r/>
            <w:r>
              <w:rPr>
                <w:rFonts w:ascii="Times New Roman" w:hAnsi="Times New Roman" w:eastAsia="Times New Roman" w:cs="Times New Roman"/>
                <w:b w:val="0"/>
                <w:i w:val="0"/>
                <w:sz w:val="18"/>
              </w:rPr>
              <w:t>+0.102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227</w:t>
            </w:r>
          </w:p>
        </w:tc>
        <w:tc>
          <w:tcPr>
            <w:tcW w:type="dxa" w:w="1296"/>
          </w:tcPr>
          <w:p>
            <w:pPr>
              <w:spacing w:before="40" w:after="40" w:line="240" w:lineRule="auto"/>
              <w:jc w:val="center"/>
            </w:pPr>
            <w:r/>
            <w:r>
              <w:rPr>
                <w:rFonts w:ascii="Times New Roman" w:hAnsi="Times New Roman" w:eastAsia="Times New Roman" w:cs="Times New Roman"/>
                <w:b w:val="0"/>
                <w:i w:val="0"/>
                <w:sz w:val="18"/>
              </w:rPr>
              <w:t>0.063</w:t>
            </w:r>
          </w:p>
        </w:tc>
        <w:tc>
          <w:tcPr>
            <w:tcW w:type="dxa" w:w="1296"/>
          </w:tcPr>
          <w:p>
            <w:pPr>
              <w:spacing w:before="40" w:after="40" w:line="240" w:lineRule="auto"/>
              <w:jc w:val="center"/>
            </w:pPr>
            <w:r/>
            <w:r>
              <w:rPr>
                <w:rFonts w:ascii="Times New Roman" w:hAnsi="Times New Roman" w:eastAsia="Times New Roman" w:cs="Times New Roman"/>
                <w:b w:val="0"/>
                <w:i w:val="0"/>
                <w:sz w:val="18"/>
              </w:rPr>
              <w:t>0.004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c>
          <w:tcPr>
            <w:tcW w:type="dxa" w:w="1296"/>
          </w:tcPr>
          <w:p>
            <w:pPr>
              <w:spacing w:before="40" w:after="40" w:line="240" w:lineRule="auto"/>
              <w:jc w:val="center"/>
            </w:pPr>
            <w:r/>
            <w:r>
              <w:rPr>
                <w:rFonts w:ascii="Times New Roman" w:hAnsi="Times New Roman" w:eastAsia="Times New Roman" w:cs="Times New Roman"/>
                <w:b w:val="0"/>
                <w:i w:val="0"/>
                <w:sz w:val="18"/>
              </w:rPr>
              <w:t>+0.95</w:t>
            </w:r>
          </w:p>
        </w:tc>
        <w:tc>
          <w:tcPr>
            <w:tcW w:type="dxa" w:w="1296"/>
          </w:tcPr>
          <w:p>
            <w:pPr>
              <w:spacing w:before="40" w:after="40" w:line="240" w:lineRule="auto"/>
              <w:jc w:val="center"/>
            </w:pPr>
            <w:r/>
            <w:r>
              <w:rPr>
                <w:rFonts w:ascii="Times New Roman" w:hAnsi="Times New Roman" w:eastAsia="Times New Roman" w:cs="Times New Roman"/>
                <w:b w:val="0"/>
                <w:i w:val="0"/>
                <w:sz w:val="18"/>
              </w:rPr>
              <w:t>−0.181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0.104</w:t>
            </w:r>
          </w:p>
        </w:tc>
        <w:tc>
          <w:tcPr>
            <w:tcW w:type="dxa" w:w="1296"/>
          </w:tcPr>
          <w:p>
            <w:pPr>
              <w:spacing w:before="40" w:after="40" w:line="240" w:lineRule="auto"/>
              <w:jc w:val="center"/>
            </w:pPr>
            <w:r/>
            <w:r>
              <w:rPr>
                <w:rFonts w:ascii="Times New Roman" w:hAnsi="Times New Roman" w:eastAsia="Times New Roman" w:cs="Times New Roman"/>
                <w:b w:val="0"/>
                <w:i w:val="0"/>
                <w:sz w:val="18"/>
              </w:rPr>
              <w:t>0.130</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c>
          <w:tcPr>
            <w:tcW w:type="dxa" w:w="1296"/>
          </w:tcPr>
          <w:p>
            <w:pPr>
              <w:spacing w:before="40" w:after="40" w:line="240" w:lineRule="auto"/>
              <w:jc w:val="center"/>
            </w:pPr>
            <w:r/>
            <w:r>
              <w:rPr>
                <w:rFonts w:ascii="Times New Roman" w:hAnsi="Times New Roman" w:eastAsia="Times New Roman" w:cs="Times New Roman"/>
                <w:b w:val="0"/>
                <w:i w:val="0"/>
                <w:sz w:val="18"/>
              </w:rPr>
              <w:t>−0.16</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20</w:t>
            </w:r>
          </w:p>
        </w:tc>
        <w:tc>
          <w:tcPr>
            <w:tcW w:type="dxa" w:w="1296"/>
          </w:tcPr>
          <w:p>
            <w:pPr>
              <w:spacing w:before="40" w:after="40" w:line="240" w:lineRule="auto"/>
              <w:jc w:val="center"/>
            </w:pPr>
            <w:r/>
            <w:r>
              <w:rPr>
                <w:rFonts w:ascii="Times New Roman" w:hAnsi="Times New Roman" w:eastAsia="Times New Roman" w:cs="Times New Roman"/>
                <w:b w:val="0"/>
                <w:i w:val="0"/>
                <w:sz w:val="18"/>
              </w:rPr>
              <w:t>0.120</w:t>
            </w:r>
          </w:p>
        </w:tc>
        <w:tc>
          <w:tcPr>
            <w:tcW w:type="dxa" w:w="1296"/>
          </w:tcPr>
          <w:p>
            <w:pPr>
              <w:spacing w:before="40" w:after="40" w:line="240" w:lineRule="auto"/>
              <w:jc w:val="center"/>
            </w:pPr>
            <w:r/>
            <w:r>
              <w:rPr>
                <w:rFonts w:ascii="Times New Roman" w:hAnsi="Times New Roman" w:eastAsia="Times New Roman" w:cs="Times New Roman"/>
                <w:b w:val="0"/>
                <w:i w:val="0"/>
                <w:sz w:val="18"/>
              </w:rPr>
              <w:t>0.053</w:t>
            </w:r>
          </w:p>
        </w:tc>
        <w:tc>
          <w:tcPr>
            <w:tcW w:type="dxa" w:w="1296"/>
          </w:tcPr>
          <w:p>
            <w:pPr>
              <w:spacing w:before="40" w:after="40" w:line="240" w:lineRule="auto"/>
              <w:jc w:val="center"/>
            </w:pPr>
            <w:r/>
            <w:r>
              <w:rPr>
                <w:rFonts w:ascii="Times New Roman" w:hAnsi="Times New Roman" w:eastAsia="Times New Roman" w:cs="Times New Roman"/>
                <w:b w:val="0"/>
                <w:i w:val="0"/>
                <w:sz w:val="18"/>
              </w:rPr>
              <w:t>+0.067</w:t>
            </w:r>
          </w:p>
        </w:tc>
        <w:tc>
          <w:tcPr>
            <w:tcW w:type="dxa" w:w="1296"/>
          </w:tcPr>
          <w:p>
            <w:pPr>
              <w:spacing w:before="40" w:after="40" w:line="240" w:lineRule="auto"/>
              <w:jc w:val="center"/>
            </w:pPr>
            <w:r/>
            <w:r>
              <w:rPr>
                <w:rFonts w:ascii="Times New Roman" w:hAnsi="Times New Roman" w:eastAsia="Times New Roman" w:cs="Times New Roman"/>
                <w:b w:val="0"/>
                <w:i w:val="0"/>
                <w:sz w:val="18"/>
              </w:rPr>
              <w:t>+0.17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0.213</w:t>
            </w:r>
          </w:p>
        </w:tc>
        <w:tc>
          <w:tcPr>
            <w:tcW w:type="dxa" w:w="1296"/>
          </w:tcPr>
          <w:p>
            <w:pPr>
              <w:spacing w:before="40" w:after="40" w:line="240" w:lineRule="auto"/>
              <w:jc w:val="center"/>
            </w:pPr>
            <w:r/>
            <w:r>
              <w:rPr>
                <w:rFonts w:ascii="Times New Roman" w:hAnsi="Times New Roman" w:eastAsia="Times New Roman" w:cs="Times New Roman"/>
                <w:b w:val="0"/>
                <w:i w:val="0"/>
                <w:sz w:val="18"/>
              </w:rPr>
              <w:t>0.329</w:t>
            </w:r>
          </w:p>
        </w:tc>
        <w:tc>
          <w:tcPr>
            <w:tcW w:type="dxa" w:w="1296"/>
          </w:tcPr>
          <w:p>
            <w:pPr>
              <w:spacing w:before="40" w:after="40" w:line="240" w:lineRule="auto"/>
              <w:jc w:val="center"/>
            </w:pPr>
            <w:r/>
            <w:r>
              <w:rPr>
                <w:rFonts w:ascii="Times New Roman" w:hAnsi="Times New Roman" w:eastAsia="Times New Roman" w:cs="Times New Roman"/>
                <w:b w:val="0"/>
                <w:i w:val="0"/>
                <w:sz w:val="18"/>
              </w:rPr>
              <w:t>−0.096</w:t>
            </w:r>
          </w:p>
        </w:tc>
        <w:tc>
          <w:tcPr>
            <w:tcW w:type="dxa" w:w="1296"/>
          </w:tcPr>
          <w:p>
            <w:pPr>
              <w:spacing w:before="40" w:after="40" w:line="240" w:lineRule="auto"/>
              <w:jc w:val="center"/>
            </w:pPr>
            <w:r/>
            <w:r>
              <w:rPr>
                <w:rFonts w:ascii="Times New Roman" w:hAnsi="Times New Roman" w:eastAsia="Times New Roman" w:cs="Times New Roman"/>
                <w:b w:val="0"/>
                <w:i w:val="0"/>
                <w:sz w:val="18"/>
              </w:rPr>
              <w:t>−0.39</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bl>
    <w:p>
      <w:pPr>
        <w:spacing w:before="0" w:after="200" w:line="240" w:lineRule="auto"/>
        <w:ind w:firstLine="0" w:left="0"/>
        <w:jc w:val="left"/>
      </w:pPr>
    </w:p>
    <w:p>
      <w:pPr>
        <w:keepNext/>
        <w:spacing w:before="240" w:after="80" w:line="240" w:lineRule="auto"/>
        <w:jc w:val="center"/>
      </w:pPr>
      <w:r>
        <w:drawing>
          <wp:inline xmlns:a="http://schemas.openxmlformats.org/drawingml/2006/main" xmlns:pic="http://schemas.openxmlformats.org/drawingml/2006/picture">
            <wp:extent cx="5669280" cy="2312469"/>
            <wp:docPr id="7" name="Picture 7"/>
            <wp:cNvGraphicFramePr>
              <a:graphicFrameLocks noChangeAspect="1"/>
            </wp:cNvGraphicFramePr>
            <a:graphic>
              <a:graphicData uri="http://schemas.openxmlformats.org/drawingml/2006/picture">
                <pic:pic>
                  <pic:nvPicPr>
                    <pic:cNvPr id="0" name="fig_trend.png"/>
                    <pic:cNvPicPr/>
                  </pic:nvPicPr>
                  <pic:blipFill>
                    <a:blip r:embed="rId16"/>
                    <a:stretch>
                      <a:fillRect/>
                    </a:stretch>
                  </pic:blipFill>
                  <pic:spPr>
                    <a:xfrm>
                      <a:off x="0" y="0"/>
                      <a:ext cx="5669280" cy="2312469"/>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7.</w:t>
      </w:r>
      <w:r>
        <w:rPr>
          <w:rFonts w:ascii="Times New Roman" w:hAnsi="Times New Roman" w:eastAsia="Times New Roman" w:cs="Times New Roman"/>
          <w:b w:val="0"/>
          <w:i w:val="0"/>
          <w:sz w:val="21"/>
        </w:rPr>
        <w:t xml:space="preserve"> (a) Excess trend ΔR² against the correction loss, one point per subject, datasets in different colours; (b) the grasp-and-lift subjects alone.</w:t>
      </w:r>
    </w:p>
    <w:p>
      <w:pPr>
        <w:spacing w:before="0" w:after="0" w:line="480" w:lineRule="auto"/>
        <w:ind w:firstLine="0" w:left="0"/>
        <w:jc w:val="left"/>
      </w:pPr>
      <w:r>
        <w:rPr>
          <w:rFonts w:ascii="Times New Roman" w:hAnsi="Times New Roman" w:eastAsia="Times New Roman" w:cs="Times New Roman"/>
          <w:b w:val="0"/>
          <w:i w:val="0"/>
          <w:sz w:val="24"/>
        </w:rPr>
        <w:t>Across the twelve grasp-and-lift subjects the association is rho = +0.776 (p = 0.003); it survives using only the four equal-length blocks (rho = 0.706) and leaving out any single subject (0.727 to 0.864). Within the other datasets it is weaker and not significant (SEED 0.364, BCI-2b 0.200, BCI-2a 0.450, NER2015 −0.035), and when the three largest are pooled with the dataset means removed the association is rho = +0.432 [+0.163, +0.634] over 36 subjects. The strong number is therefore the within-dataset one, and it is a statement about grasp-and-lift, not a law about EEG.</w:t>
      </w:r>
    </w:p>
    <w:p>
      <w:pPr>
        <w:spacing w:before="0" w:after="0" w:line="480" w:lineRule="auto"/>
        <w:ind w:firstLine="0" w:left="0"/>
        <w:jc w:val="left"/>
      </w:pPr>
      <w:r>
        <w:rPr>
          <w:rFonts w:ascii="Times New Roman" w:hAnsi="Times New Roman" w:eastAsia="Times New Roman" w:cs="Times New Roman"/>
          <w:b w:val="0"/>
          <w:i w:val="0"/>
          <w:sz w:val="24"/>
        </w:rPr>
        <w:t>Three limits belong with it. The permutation null is iid, so it destroys the temporal correlation that the block means actually carry (lag-1 is 0.65 on grasp-and-lift and 0.95 on SEED); ΔR² therefore measures order dependence, not specifically a linear drift, and a block-bootstrap null would be more conservative. Five blocks give the R² a coarse resolution, which is why the inference is at the subject level and not per cell. And the association is an association: the trend covaries with the loss, it does not identify what produced the trend.</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cumulative mean loses least among the fixed rules while still losing 0.024 on grasp-and-lift, where the block-wise rule of (9) gains 0.008.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comparison adds to a textbook statement is a measured boundary and a map. The correction is exact for its own component, it composes with second-order alignment, and it can be transported to the decision space of a frozen model; it restores neither the observed cross-protocol difference nor a calibration that the wrong convention destroyed.</w:t>
      </w:r>
    </w:p>
    <w:p>
      <w:pPr>
        <w:spacing w:before="0" w:after="0" w:line="480" w:lineRule="auto"/>
        <w:ind w:firstLine="0" w:left="0"/>
        <w:jc w:val="left"/>
      </w:pPr>
      <w:r>
        <w:rPr>
          <w:rFonts w:ascii="Times New Roman" w:hAnsi="Times New Roman" w:eastAsia="Times New Roman" w:cs="Times New Roman"/>
          <w:b w:val="0"/>
          <w:i w:val="0"/>
          <w:sz w:val="24"/>
        </w:rPr>
        <w:t>The map answers the question the data forced on us: why does a correction that tracks the change accurately sometimes make decoding worse? Because the strength that helps is a property of the recording. Sweeping it from zero to one moves grasp-and-lift down by 0.108 and SEED up by 0.214, with every subject of each benchmark on the same side, and no estimator in our comparison changes that ordering — different estimators only pick different points on the same response curve. The temporal structure of the measured displacement covaries with which side a recording is on: a linear ramp explains 0.80 of the variance of the grasp-and-lift block means against 0.25 expected from block order, and the excess correlates with the loss across the twelve subjects (rho = 0.78). That is an association measured on five-block sessions, not an identified cause, and the pooled across-dataset version of it is much weaker (0.43).</w:t>
      </w:r>
    </w:p>
    <w:p>
      <w:pPr>
        <w:spacing w:before="0" w:after="0" w:line="480" w:lineRule="auto"/>
        <w:ind w:firstLine="0" w:left="0"/>
        <w:jc w:val="left"/>
      </w:pPr>
      <w:r>
        <w:rPr>
          <w:rFonts w:ascii="Times New Roman" w:hAnsi="Times New Roman" w:eastAsia="Times New Roman" w:cs="Times New Roman"/>
          <w:b w:val="0"/>
          <w:i w:val="0"/>
          <w:sz w:val="24"/>
        </w:rPr>
        <w:t>What remains open we state plainly. The synthetic regimes reproduce the pattern of the real benchmarks but do not identify which mechanism dominates a given recording; the held-out dataset belongs to the same emotion paradigm as SEED; the comparison with an oracle weight (0.01 to 0.05 per dataset) marks what deciding from the stream rather than from labels still costs; and the weighting rules we compared, including the predictive one, differ far less from each other than the strength they produce differs across recordings. The question we would put to the field is the one the map raises: a correction that tracks the distribution is not the same as a correction that improves decoding, and what separates them is how much of it is applied.</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ce4e290260),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