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Invariance of mean correction in cross-session EEG decoding: verification, failure mechanism and boundaries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A mean correction is the first step of almost every cross-session EEG pipeline, and two operations circulate under that name: centring both sessions, or centring one. We ask which is invariant, what the other costs, and whether the correction survives when the target session arrives one trial at a time. Equivariance: a correction is invariant to a change of the coordinate origin exactly when it translates by a translation-equivariant estimate of the target mean; that family is larger than the sample mean. Score-difference equivalence: two corrections leave every class-score difference unchanged exactly when their references differ by a vector whose projection onto the centred classifier weights vanishes. The study covers 845 cells from five datasets plus 90 held-out cells from SEED-IV. An origin sweep leaves the equivariant pipelines unchanged by 0.000 in balanced accuracy and drives the one-sided form toward chance; an equal-norm direction control shows that only the component of the origin along the weights matters. A Gaussian model of the displacement explains the sign of the change when its parameters are read from the target, and a source-only version does not beat the majority sign: it is a mechanism, not a predictor. On a common post-prefix test set, a causal running mean matches the batch correction on BCI-2b and BCI-2a, approaches it on SEED as the calibration window grows, and fails on grasp-and-lift, where no correction is better than a badly estimated one. A source-only statistic ranks feature families but does not screen sessions.</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 verification study of that choice rather than a proposal for a new decoder: it establishes which corrections are invariant, measures what the non-invariant one costs, and reports where the mechanism demonstrably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Pairwise margins and any ranking measure computed from the raw class scores are therefore unchanged.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One test is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and reported with its median, interval and effect size.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Ledoit-Wolf shrinkage, logistic regression with C = 1 and the lbfgs solver, linear SVM with C = 0.01, all with a fixed random state of 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protocol in use is transductive, and that matters.</w:t>
      </w:r>
      <w:r>
        <w:rPr>
          <w:rFonts w:ascii="Times New Roman" w:hAnsi="Times New Roman" w:eastAsia="Times New Roman" w:cs="Times New Roman"/>
          <w:b w:val="0"/>
          <w:i w:val="0"/>
          <w:sz w:val="24"/>
        </w:rPr>
        <w:t xml:space="preserve"> Centring the target on its own mean uses the whole session. A deployment does not have it. We therefore scored five methods on </w:t>
      </w:r>
      <w:r>
        <w:rPr>
          <w:rFonts w:ascii="Times New Roman" w:hAnsi="Times New Roman" w:eastAsia="Times New Roman" w:cs="Times New Roman"/>
          <w:b w:val="0"/>
          <w:i/>
          <w:sz w:val="24"/>
        </w:rPr>
        <w:t>one common set of test trials</w:t>
      </w:r>
      <w:r>
        <w:rPr>
          <w:rFonts w:ascii="Times New Roman" w:hAnsi="Times New Roman" w:eastAsia="Times New Roman" w:cs="Times New Roman"/>
          <w:b w:val="0"/>
          <w:i w:val="0"/>
          <w:sz w:val="24"/>
        </w:rPr>
        <w:t>: the trials that follow a calibration prefix of k trials, in the recorded order. The methods are the batch correction (μ from all target trials, scored on the same post-prefix trials), a frozen prefix (μ from the first k trials), a causal running mean (trial i is centred on the mean of trials 1 … i−1), standardisation by the source statistics only, and no correction.</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the common post-prefix test trials, LDA, mean over cells.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transductive and is scored on the same trials as the others, so the comparison is paired. The subject-level paired difference is for the frozen prefix against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at k = 50.</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k</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frozen prefix</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running mean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source std</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0.7408</w:t>
            </w:r>
          </w:p>
        </w:tc>
        <w:tc>
          <w:tcPr>
            <w:tcW w:type="dxa" w:w="1296"/>
          </w:tcPr>
          <w:p>
            <w:pPr>
              <w:spacing w:before="40" w:after="40" w:line="240" w:lineRule="auto"/>
              <w:jc w:val="center"/>
            </w:pPr>
            <w:r/>
            <w:r>
              <w:rPr>
                <w:rFonts w:ascii="Times New Roman" w:hAnsi="Times New Roman" w:eastAsia="Times New Roman" w:cs="Times New Roman"/>
                <w:b w:val="0"/>
                <w:i w:val="0"/>
                <w:sz w:val="18"/>
              </w:rPr>
              <w:t>0.7034</w:t>
            </w:r>
          </w:p>
        </w:tc>
        <w:tc>
          <w:tcPr>
            <w:tcW w:type="dxa" w:w="1296"/>
          </w:tcPr>
          <w:p>
            <w:pPr>
              <w:spacing w:before="40" w:after="40" w:line="240" w:lineRule="auto"/>
              <w:jc w:val="center"/>
            </w:pPr>
            <w:r/>
            <w:r>
              <w:rPr>
                <w:rFonts w:ascii="Times New Roman" w:hAnsi="Times New Roman" w:eastAsia="Times New Roman" w:cs="Times New Roman"/>
                <w:b w:val="0"/>
                <w:i w:val="0"/>
                <w:sz w:val="18"/>
              </w:rPr>
              <w:t>0.7413</w:t>
            </w:r>
          </w:p>
        </w:tc>
        <w:tc>
          <w:tcPr>
            <w:tcW w:type="dxa" w:w="1296"/>
          </w:tcPr>
          <w:p>
            <w:pPr>
              <w:spacing w:before="40" w:after="40" w:line="240" w:lineRule="auto"/>
              <w:jc w:val="center"/>
            </w:pPr>
            <w:r/>
            <w:r>
              <w:rPr>
                <w:rFonts w:ascii="Times New Roman" w:hAnsi="Times New Roman" w:eastAsia="Times New Roman" w:cs="Times New Roman"/>
                <w:b w:val="0"/>
                <w:i w:val="0"/>
                <w:sz w:val="18"/>
              </w:rPr>
              <w:t>0.5735</w:t>
            </w:r>
          </w:p>
        </w:tc>
        <w:tc>
          <w:tcPr>
            <w:tcW w:type="dxa" w:w="1296"/>
          </w:tcPr>
          <w:p>
            <w:pPr>
              <w:spacing w:before="40" w:after="40" w:line="240" w:lineRule="auto"/>
              <w:jc w:val="center"/>
            </w:pPr>
            <w:r/>
            <w:r>
              <w:rPr>
                <w:rFonts w:ascii="Times New Roman" w:hAnsi="Times New Roman" w:eastAsia="Times New Roman" w:cs="Times New Roman"/>
                <w:b w:val="0"/>
                <w:i w:val="0"/>
                <w:sz w:val="18"/>
              </w:rPr>
              <w:t>0.7072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0.7516</w:t>
            </w:r>
          </w:p>
        </w:tc>
        <w:tc>
          <w:tcPr>
            <w:tcW w:type="dxa" w:w="1296"/>
          </w:tcPr>
          <w:p>
            <w:pPr>
              <w:spacing w:before="40" w:after="40" w:line="240" w:lineRule="auto"/>
              <w:jc w:val="center"/>
            </w:pPr>
            <w:r/>
            <w:r>
              <w:rPr>
                <w:rFonts w:ascii="Times New Roman" w:hAnsi="Times New Roman" w:eastAsia="Times New Roman" w:cs="Times New Roman"/>
                <w:b w:val="0"/>
                <w:i w:val="0"/>
                <w:sz w:val="18"/>
              </w:rPr>
              <w:t>0.7486</w:t>
            </w:r>
          </w:p>
        </w:tc>
        <w:tc>
          <w:tcPr>
            <w:tcW w:type="dxa" w:w="1296"/>
          </w:tcPr>
          <w:p>
            <w:pPr>
              <w:spacing w:before="40" w:after="40" w:line="240" w:lineRule="auto"/>
              <w:jc w:val="center"/>
            </w:pPr>
            <w:r/>
            <w:r>
              <w:rPr>
                <w:rFonts w:ascii="Times New Roman" w:hAnsi="Times New Roman" w:eastAsia="Times New Roman" w:cs="Times New Roman"/>
                <w:b w:val="0"/>
                <w:i w:val="0"/>
                <w:sz w:val="18"/>
              </w:rPr>
              <w:t>0.7483</w:t>
            </w:r>
          </w:p>
        </w:tc>
        <w:tc>
          <w:tcPr>
            <w:tcW w:type="dxa" w:w="1296"/>
          </w:tcPr>
          <w:p>
            <w:pPr>
              <w:spacing w:before="40" w:after="40" w:line="240" w:lineRule="auto"/>
              <w:jc w:val="center"/>
            </w:pPr>
            <w:r/>
            <w:r>
              <w:rPr>
                <w:rFonts w:ascii="Times New Roman" w:hAnsi="Times New Roman" w:eastAsia="Times New Roman" w:cs="Times New Roman"/>
                <w:b w:val="0"/>
                <w:i w:val="0"/>
                <w:sz w:val="18"/>
              </w:rPr>
              <w:t>0.5748</w:t>
            </w:r>
          </w:p>
        </w:tc>
        <w:tc>
          <w:tcPr>
            <w:tcW w:type="dxa" w:w="1296"/>
          </w:tcPr>
          <w:p>
            <w:pPr>
              <w:spacing w:before="40" w:after="40" w:line="240" w:lineRule="auto"/>
              <w:jc w:val="center"/>
            </w:pPr>
            <w:r/>
            <w:r>
              <w:rPr>
                <w:rFonts w:ascii="Times New Roman" w:hAnsi="Times New Roman" w:eastAsia="Times New Roman" w:cs="Times New Roman"/>
                <w:b w:val="0"/>
                <w:i w:val="0"/>
                <w:sz w:val="18"/>
              </w:rPr>
              <w:t>0.7146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0.6124</w:t>
            </w:r>
          </w:p>
        </w:tc>
        <w:tc>
          <w:tcPr>
            <w:tcW w:type="dxa" w:w="1296"/>
          </w:tcPr>
          <w:p>
            <w:pPr>
              <w:spacing w:before="40" w:after="40" w:line="240" w:lineRule="auto"/>
              <w:jc w:val="center"/>
            </w:pPr>
            <w:r/>
            <w:r>
              <w:rPr>
                <w:rFonts w:ascii="Times New Roman" w:hAnsi="Times New Roman" w:eastAsia="Times New Roman" w:cs="Times New Roman"/>
                <w:b w:val="0"/>
                <w:i w:val="0"/>
                <w:sz w:val="18"/>
              </w:rPr>
              <w:t>0.4939</w:t>
            </w:r>
          </w:p>
        </w:tc>
        <w:tc>
          <w:tcPr>
            <w:tcW w:type="dxa" w:w="1296"/>
          </w:tcPr>
          <w:p>
            <w:pPr>
              <w:spacing w:before="40" w:after="40" w:line="240" w:lineRule="auto"/>
              <w:jc w:val="center"/>
            </w:pPr>
            <w:r/>
            <w:r>
              <w:rPr>
                <w:rFonts w:ascii="Times New Roman" w:hAnsi="Times New Roman" w:eastAsia="Times New Roman" w:cs="Times New Roman"/>
                <w:b w:val="0"/>
                <w:i w:val="0"/>
                <w:sz w:val="18"/>
              </w:rPr>
              <w:t>0.6087</w:t>
            </w:r>
          </w:p>
        </w:tc>
        <w:tc>
          <w:tcPr>
            <w:tcW w:type="dxa" w:w="1296"/>
          </w:tcPr>
          <w:p>
            <w:pPr>
              <w:spacing w:before="40" w:after="40" w:line="240" w:lineRule="auto"/>
              <w:jc w:val="center"/>
            </w:pPr>
            <w:r/>
            <w:r>
              <w:rPr>
                <w:rFonts w:ascii="Times New Roman" w:hAnsi="Times New Roman" w:eastAsia="Times New Roman" w:cs="Times New Roman"/>
                <w:b w:val="0"/>
                <w:i w:val="0"/>
                <w:sz w:val="18"/>
              </w:rPr>
              <w:t>0.5208</w:t>
            </w:r>
          </w:p>
        </w:tc>
        <w:tc>
          <w:tcPr>
            <w:tcW w:type="dxa" w:w="1296"/>
          </w:tcPr>
          <w:p>
            <w:pPr>
              <w:spacing w:before="40" w:after="40" w:line="240" w:lineRule="auto"/>
              <w:jc w:val="center"/>
            </w:pPr>
            <w:r/>
            <w:r>
              <w:rPr>
                <w:rFonts w:ascii="Times New Roman" w:hAnsi="Times New Roman" w:eastAsia="Times New Roman" w:cs="Times New Roman"/>
                <w:b w:val="0"/>
                <w:i w:val="0"/>
                <w:sz w:val="18"/>
              </w:rPr>
              <w:t>0.5656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0.6111</w:t>
            </w:r>
          </w:p>
        </w:tc>
        <w:tc>
          <w:tcPr>
            <w:tcW w:type="dxa" w:w="1296"/>
          </w:tcPr>
          <w:p>
            <w:pPr>
              <w:spacing w:before="40" w:after="40" w:line="240" w:lineRule="auto"/>
              <w:jc w:val="center"/>
            </w:pPr>
            <w:r/>
            <w:r>
              <w:rPr>
                <w:rFonts w:ascii="Times New Roman" w:hAnsi="Times New Roman" w:eastAsia="Times New Roman" w:cs="Times New Roman"/>
                <w:b w:val="0"/>
                <w:i w:val="0"/>
                <w:sz w:val="18"/>
              </w:rPr>
              <w:t>0.5917</w:t>
            </w:r>
          </w:p>
        </w:tc>
        <w:tc>
          <w:tcPr>
            <w:tcW w:type="dxa" w:w="1296"/>
          </w:tcPr>
          <w:p>
            <w:pPr>
              <w:spacing w:before="40" w:after="40" w:line="240" w:lineRule="auto"/>
              <w:jc w:val="center"/>
            </w:pPr>
            <w:r/>
            <w:r>
              <w:rPr>
                <w:rFonts w:ascii="Times New Roman" w:hAnsi="Times New Roman" w:eastAsia="Times New Roman" w:cs="Times New Roman"/>
                <w:b w:val="0"/>
                <w:i w:val="0"/>
                <w:sz w:val="18"/>
              </w:rPr>
              <w:t>0.6083</w:t>
            </w:r>
          </w:p>
        </w:tc>
        <w:tc>
          <w:tcPr>
            <w:tcW w:type="dxa" w:w="1296"/>
          </w:tcPr>
          <w:p>
            <w:pPr>
              <w:spacing w:before="40" w:after="40" w:line="240" w:lineRule="auto"/>
              <w:jc w:val="center"/>
            </w:pPr>
            <w:r/>
            <w:r>
              <w:rPr>
                <w:rFonts w:ascii="Times New Roman" w:hAnsi="Times New Roman" w:eastAsia="Times New Roman" w:cs="Times New Roman"/>
                <w:b w:val="0"/>
                <w:i w:val="0"/>
                <w:sz w:val="18"/>
              </w:rPr>
              <w:t>0.5201</w:t>
            </w:r>
          </w:p>
        </w:tc>
        <w:tc>
          <w:tcPr>
            <w:tcW w:type="dxa" w:w="1296"/>
          </w:tcPr>
          <w:p>
            <w:pPr>
              <w:spacing w:before="40" w:after="40" w:line="240" w:lineRule="auto"/>
              <w:jc w:val="center"/>
            </w:pPr>
            <w:r/>
            <w:r>
              <w:rPr>
                <w:rFonts w:ascii="Times New Roman" w:hAnsi="Times New Roman" w:eastAsia="Times New Roman" w:cs="Times New Roman"/>
                <w:b w:val="0"/>
                <w:i w:val="0"/>
                <w:sz w:val="18"/>
              </w:rPr>
              <w:t>0.5623</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0.7094</w:t>
            </w:r>
          </w:p>
        </w:tc>
        <w:tc>
          <w:tcPr>
            <w:tcW w:type="dxa" w:w="1296"/>
          </w:tcPr>
          <w:p>
            <w:pPr>
              <w:spacing w:before="40" w:after="40" w:line="240" w:lineRule="auto"/>
              <w:jc w:val="center"/>
            </w:pPr>
            <w:r/>
            <w:r>
              <w:rPr>
                <w:rFonts w:ascii="Times New Roman" w:hAnsi="Times New Roman" w:eastAsia="Times New Roman" w:cs="Times New Roman"/>
                <w:b w:val="0"/>
                <w:i w:val="0"/>
                <w:sz w:val="18"/>
              </w:rPr>
              <w:t>0.5265</w:t>
            </w:r>
          </w:p>
        </w:tc>
        <w:tc>
          <w:tcPr>
            <w:tcW w:type="dxa" w:w="1296"/>
          </w:tcPr>
          <w:p>
            <w:pPr>
              <w:spacing w:before="40" w:after="40" w:line="240" w:lineRule="auto"/>
              <w:jc w:val="center"/>
            </w:pPr>
            <w:r/>
            <w:r>
              <w:rPr>
                <w:rFonts w:ascii="Times New Roman" w:hAnsi="Times New Roman" w:eastAsia="Times New Roman" w:cs="Times New Roman"/>
                <w:b w:val="0"/>
                <w:i w:val="0"/>
                <w:sz w:val="18"/>
              </w:rPr>
              <w:t>0.6714</w:t>
            </w:r>
          </w:p>
        </w:tc>
        <w:tc>
          <w:tcPr>
            <w:tcW w:type="dxa" w:w="1296"/>
          </w:tcPr>
          <w:p>
            <w:pPr>
              <w:spacing w:before="40" w:after="40" w:line="240" w:lineRule="auto"/>
              <w:jc w:val="center"/>
            </w:pPr>
            <w:r/>
            <w:r>
              <w:rPr>
                <w:rFonts w:ascii="Times New Roman" w:hAnsi="Times New Roman" w:eastAsia="Times New Roman" w:cs="Times New Roman"/>
                <w:b w:val="0"/>
                <w:i w:val="0"/>
                <w:sz w:val="18"/>
              </w:rPr>
              <w:t>0.3388</w:t>
            </w:r>
          </w:p>
        </w:tc>
        <w:tc>
          <w:tcPr>
            <w:tcW w:type="dxa" w:w="1296"/>
          </w:tcPr>
          <w:p>
            <w:pPr>
              <w:spacing w:before="40" w:after="40" w:line="240" w:lineRule="auto"/>
              <w:jc w:val="center"/>
            </w:pPr>
            <w:r/>
            <w:r>
              <w:rPr>
                <w:rFonts w:ascii="Times New Roman" w:hAnsi="Times New Roman" w:eastAsia="Times New Roman" w:cs="Times New Roman"/>
                <w:b w:val="0"/>
                <w:i w:val="0"/>
                <w:sz w:val="18"/>
              </w:rPr>
              <w:t>0.4592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0.7094</w:t>
            </w:r>
          </w:p>
        </w:tc>
        <w:tc>
          <w:tcPr>
            <w:tcW w:type="dxa" w:w="1296"/>
          </w:tcPr>
          <w:p>
            <w:pPr>
              <w:spacing w:before="40" w:after="40" w:line="240" w:lineRule="auto"/>
              <w:jc w:val="center"/>
            </w:pPr>
            <w:r/>
            <w:r>
              <w:rPr>
                <w:rFonts w:ascii="Times New Roman" w:hAnsi="Times New Roman" w:eastAsia="Times New Roman" w:cs="Times New Roman"/>
                <w:b w:val="0"/>
                <w:i w:val="0"/>
                <w:sz w:val="18"/>
              </w:rPr>
              <w:t>0.5283</w:t>
            </w:r>
          </w:p>
        </w:tc>
        <w:tc>
          <w:tcPr>
            <w:tcW w:type="dxa" w:w="1296"/>
          </w:tcPr>
          <w:p>
            <w:pPr>
              <w:spacing w:before="40" w:after="40" w:line="240" w:lineRule="auto"/>
              <w:jc w:val="center"/>
            </w:pPr>
            <w:r/>
            <w:r>
              <w:rPr>
                <w:rFonts w:ascii="Times New Roman" w:hAnsi="Times New Roman" w:eastAsia="Times New Roman" w:cs="Times New Roman"/>
                <w:b w:val="0"/>
                <w:i w:val="0"/>
                <w:sz w:val="18"/>
              </w:rPr>
              <w:t>0.6782</w:t>
            </w:r>
          </w:p>
        </w:tc>
        <w:tc>
          <w:tcPr>
            <w:tcW w:type="dxa" w:w="1296"/>
          </w:tcPr>
          <w:p>
            <w:pPr>
              <w:spacing w:before="40" w:after="40" w:line="240" w:lineRule="auto"/>
              <w:jc w:val="center"/>
            </w:pPr>
            <w:r/>
            <w:r>
              <w:rPr>
                <w:rFonts w:ascii="Times New Roman" w:hAnsi="Times New Roman" w:eastAsia="Times New Roman" w:cs="Times New Roman"/>
                <w:b w:val="0"/>
                <w:i w:val="0"/>
                <w:sz w:val="18"/>
              </w:rPr>
              <w:t>0.3390</w:t>
            </w:r>
          </w:p>
        </w:tc>
        <w:tc>
          <w:tcPr>
            <w:tcW w:type="dxa" w:w="1296"/>
          </w:tcPr>
          <w:p>
            <w:pPr>
              <w:spacing w:before="40" w:after="40" w:line="240" w:lineRule="auto"/>
              <w:jc w:val="center"/>
            </w:pPr>
            <w:r/>
            <w:r>
              <w:rPr>
                <w:rFonts w:ascii="Times New Roman" w:hAnsi="Times New Roman" w:eastAsia="Times New Roman" w:cs="Times New Roman"/>
                <w:b w:val="0"/>
                <w:i w:val="0"/>
                <w:sz w:val="18"/>
              </w:rPr>
              <w:t>0.4599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200</w:t>
            </w:r>
          </w:p>
        </w:tc>
        <w:tc>
          <w:tcPr>
            <w:tcW w:type="dxa" w:w="1296"/>
          </w:tcPr>
          <w:p>
            <w:pPr>
              <w:spacing w:before="40" w:after="40" w:line="240" w:lineRule="auto"/>
              <w:jc w:val="center"/>
            </w:pPr>
            <w:r/>
            <w:r>
              <w:rPr>
                <w:rFonts w:ascii="Times New Roman" w:hAnsi="Times New Roman" w:eastAsia="Times New Roman" w:cs="Times New Roman"/>
                <w:b w:val="0"/>
                <w:i w:val="0"/>
                <w:sz w:val="18"/>
              </w:rPr>
              <w:t>0.7085</w:t>
            </w:r>
          </w:p>
        </w:tc>
        <w:tc>
          <w:tcPr>
            <w:tcW w:type="dxa" w:w="1296"/>
          </w:tcPr>
          <w:p>
            <w:pPr>
              <w:spacing w:before="40" w:after="40" w:line="240" w:lineRule="auto"/>
              <w:jc w:val="center"/>
            </w:pPr>
            <w:r/>
            <w:r>
              <w:rPr>
                <w:rFonts w:ascii="Times New Roman" w:hAnsi="Times New Roman" w:eastAsia="Times New Roman" w:cs="Times New Roman"/>
                <w:b w:val="0"/>
                <w:i w:val="0"/>
                <w:sz w:val="18"/>
              </w:rPr>
              <w:t>0.5156</w:t>
            </w:r>
          </w:p>
        </w:tc>
        <w:tc>
          <w:tcPr>
            <w:tcW w:type="dxa" w:w="1296"/>
          </w:tcPr>
          <w:p>
            <w:pPr>
              <w:spacing w:before="40" w:after="40" w:line="240" w:lineRule="auto"/>
              <w:jc w:val="center"/>
            </w:pPr>
            <w:r/>
            <w:r>
              <w:rPr>
                <w:rFonts w:ascii="Times New Roman" w:hAnsi="Times New Roman" w:eastAsia="Times New Roman" w:cs="Times New Roman"/>
                <w:b w:val="0"/>
                <w:i w:val="0"/>
                <w:sz w:val="18"/>
              </w:rPr>
              <w:t>0.6992</w:t>
            </w:r>
          </w:p>
        </w:tc>
        <w:tc>
          <w:tcPr>
            <w:tcW w:type="dxa" w:w="1296"/>
          </w:tcPr>
          <w:p>
            <w:pPr>
              <w:spacing w:before="40" w:after="40" w:line="240" w:lineRule="auto"/>
              <w:jc w:val="center"/>
            </w:pPr>
            <w:r/>
            <w:r>
              <w:rPr>
                <w:rFonts w:ascii="Times New Roman" w:hAnsi="Times New Roman" w:eastAsia="Times New Roman" w:cs="Times New Roman"/>
                <w:b w:val="0"/>
                <w:i w:val="0"/>
                <w:sz w:val="18"/>
              </w:rPr>
              <w:t>0.3396</w:t>
            </w:r>
          </w:p>
        </w:tc>
        <w:tc>
          <w:tcPr>
            <w:tcW w:type="dxa" w:w="1296"/>
          </w:tcPr>
          <w:p>
            <w:pPr>
              <w:spacing w:before="40" w:after="40" w:line="240" w:lineRule="auto"/>
              <w:jc w:val="center"/>
            </w:pPr>
            <w:r/>
            <w:r>
              <w:rPr>
                <w:rFonts w:ascii="Times New Roman" w:hAnsi="Times New Roman" w:eastAsia="Times New Roman" w:cs="Times New Roman"/>
                <w:b w:val="0"/>
                <w:i w:val="0"/>
                <w:sz w:val="18"/>
              </w:rPr>
              <w:t>0.4598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0.7836</w:t>
            </w:r>
          </w:p>
        </w:tc>
        <w:tc>
          <w:tcPr>
            <w:tcW w:type="dxa" w:w="1296"/>
          </w:tcPr>
          <w:p>
            <w:pPr>
              <w:spacing w:before="40" w:after="40" w:line="240" w:lineRule="auto"/>
              <w:jc w:val="center"/>
            </w:pPr>
            <w:r/>
            <w:r>
              <w:rPr>
                <w:rFonts w:ascii="Times New Roman" w:hAnsi="Times New Roman" w:eastAsia="Times New Roman" w:cs="Times New Roman"/>
                <w:b w:val="0"/>
                <w:i w:val="0"/>
                <w:sz w:val="18"/>
              </w:rPr>
              <w:t>0.6944</w:t>
            </w:r>
          </w:p>
        </w:tc>
        <w:tc>
          <w:tcPr>
            <w:tcW w:type="dxa" w:w="1296"/>
          </w:tcPr>
          <w:p>
            <w:pPr>
              <w:spacing w:before="40" w:after="40" w:line="240" w:lineRule="auto"/>
              <w:jc w:val="center"/>
            </w:pPr>
            <w:r/>
            <w:r>
              <w:rPr>
                <w:rFonts w:ascii="Times New Roman" w:hAnsi="Times New Roman" w:eastAsia="Times New Roman" w:cs="Times New Roman"/>
                <w:b w:val="0"/>
                <w:i w:val="0"/>
                <w:sz w:val="18"/>
              </w:rPr>
              <w:t>0.6658</w:t>
            </w:r>
          </w:p>
        </w:tc>
        <w:tc>
          <w:tcPr>
            <w:tcW w:type="dxa" w:w="1296"/>
          </w:tcPr>
          <w:p>
            <w:pPr>
              <w:spacing w:before="40" w:after="40" w:line="240" w:lineRule="auto"/>
              <w:jc w:val="center"/>
            </w:pPr>
            <w:r/>
            <w:r>
              <w:rPr>
                <w:rFonts w:ascii="Times New Roman" w:hAnsi="Times New Roman" w:eastAsia="Times New Roman" w:cs="Times New Roman"/>
                <w:b w:val="0"/>
                <w:i w:val="0"/>
                <w:sz w:val="18"/>
              </w:rPr>
              <w:t>0.7000</w:t>
            </w:r>
          </w:p>
        </w:tc>
        <w:tc>
          <w:tcPr>
            <w:tcW w:type="dxa" w:w="1296"/>
          </w:tcPr>
          <w:p>
            <w:pPr>
              <w:spacing w:before="40" w:after="40" w:line="240" w:lineRule="auto"/>
              <w:jc w:val="center"/>
            </w:pPr>
            <w:r/>
            <w:r>
              <w:rPr>
                <w:rFonts w:ascii="Times New Roman" w:hAnsi="Times New Roman" w:eastAsia="Times New Roman" w:cs="Times New Roman"/>
                <w:b w:val="0"/>
                <w:i w:val="0"/>
                <w:sz w:val="18"/>
              </w:rPr>
              <w:t>0.7782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20</w:t>
            </w:r>
          </w:p>
        </w:tc>
        <w:tc>
          <w:tcPr>
            <w:tcW w:type="dxa" w:w="1296"/>
          </w:tcPr>
          <w:p>
            <w:pPr>
              <w:spacing w:before="40" w:after="40" w:line="240" w:lineRule="auto"/>
              <w:jc w:val="center"/>
            </w:pPr>
            <w:r/>
            <w:r>
              <w:rPr>
                <w:rFonts w:ascii="Times New Roman" w:hAnsi="Times New Roman" w:eastAsia="Times New Roman" w:cs="Times New Roman"/>
                <w:b w:val="0"/>
                <w:i w:val="0"/>
                <w:sz w:val="18"/>
              </w:rPr>
              <w:t>0.7764</w:t>
            </w:r>
          </w:p>
        </w:tc>
        <w:tc>
          <w:tcPr>
            <w:tcW w:type="dxa" w:w="1296"/>
          </w:tcPr>
          <w:p>
            <w:pPr>
              <w:spacing w:before="40" w:after="40" w:line="240" w:lineRule="auto"/>
              <w:jc w:val="center"/>
            </w:pPr>
            <w:r/>
            <w:r>
              <w:rPr>
                <w:rFonts w:ascii="Times New Roman" w:hAnsi="Times New Roman" w:eastAsia="Times New Roman" w:cs="Times New Roman"/>
                <w:b w:val="0"/>
                <w:i w:val="0"/>
                <w:sz w:val="18"/>
              </w:rPr>
              <w:t>0.6855</w:t>
            </w:r>
          </w:p>
        </w:tc>
        <w:tc>
          <w:tcPr>
            <w:tcW w:type="dxa" w:w="1296"/>
          </w:tcPr>
          <w:p>
            <w:pPr>
              <w:spacing w:before="40" w:after="40" w:line="240" w:lineRule="auto"/>
              <w:jc w:val="center"/>
            </w:pPr>
            <w:r/>
            <w:r>
              <w:rPr>
                <w:rFonts w:ascii="Times New Roman" w:hAnsi="Times New Roman" w:eastAsia="Times New Roman" w:cs="Times New Roman"/>
                <w:b w:val="0"/>
                <w:i w:val="0"/>
                <w:sz w:val="18"/>
              </w:rPr>
              <w:t>0.6560</w:t>
            </w:r>
          </w:p>
        </w:tc>
        <w:tc>
          <w:tcPr>
            <w:tcW w:type="dxa" w:w="1296"/>
          </w:tcPr>
          <w:p>
            <w:pPr>
              <w:spacing w:before="40" w:after="40" w:line="240" w:lineRule="auto"/>
              <w:jc w:val="center"/>
            </w:pPr>
            <w:r/>
            <w:r>
              <w:rPr>
                <w:rFonts w:ascii="Times New Roman" w:hAnsi="Times New Roman" w:eastAsia="Times New Roman" w:cs="Times New Roman"/>
                <w:b w:val="0"/>
                <w:i w:val="0"/>
                <w:sz w:val="18"/>
              </w:rPr>
              <w:t>0.6941</w:t>
            </w:r>
          </w:p>
        </w:tc>
        <w:tc>
          <w:tcPr>
            <w:tcW w:type="dxa" w:w="1296"/>
          </w:tcPr>
          <w:p>
            <w:pPr>
              <w:spacing w:before="40" w:after="40" w:line="240" w:lineRule="auto"/>
              <w:jc w:val="center"/>
            </w:pPr>
            <w:r/>
            <w:r>
              <w:rPr>
                <w:rFonts w:ascii="Times New Roman" w:hAnsi="Times New Roman" w:eastAsia="Times New Roman" w:cs="Times New Roman"/>
                <w:b w:val="0"/>
                <w:i w:val="0"/>
                <w:sz w:val="18"/>
              </w:rPr>
              <w:t>0.7704</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0.5957</w:t>
            </w:r>
          </w:p>
        </w:tc>
        <w:tc>
          <w:tcPr>
            <w:tcW w:type="dxa" w:w="1296"/>
          </w:tcPr>
          <w:p>
            <w:pPr>
              <w:spacing w:before="40" w:after="40" w:line="240" w:lineRule="auto"/>
              <w:jc w:val="center"/>
            </w:pPr>
            <w:r/>
            <w:r>
              <w:rPr>
                <w:rFonts w:ascii="Times New Roman" w:hAnsi="Times New Roman" w:eastAsia="Times New Roman" w:cs="Times New Roman"/>
                <w:b w:val="0"/>
                <w:i w:val="0"/>
                <w:sz w:val="18"/>
              </w:rPr>
              <w:t>0.5878</w:t>
            </w:r>
          </w:p>
        </w:tc>
        <w:tc>
          <w:tcPr>
            <w:tcW w:type="dxa" w:w="1296"/>
          </w:tcPr>
          <w:p>
            <w:pPr>
              <w:spacing w:before="40" w:after="40" w:line="240" w:lineRule="auto"/>
              <w:jc w:val="center"/>
            </w:pPr>
            <w:r/>
            <w:r>
              <w:rPr>
                <w:rFonts w:ascii="Times New Roman" w:hAnsi="Times New Roman" w:eastAsia="Times New Roman" w:cs="Times New Roman"/>
                <w:b w:val="0"/>
                <w:i w:val="0"/>
                <w:sz w:val="18"/>
              </w:rPr>
              <w:t>0.5908</w:t>
            </w:r>
          </w:p>
        </w:tc>
        <w:tc>
          <w:tcPr>
            <w:tcW w:type="dxa" w:w="1296"/>
          </w:tcPr>
          <w:p>
            <w:pPr>
              <w:spacing w:before="40" w:after="40" w:line="240" w:lineRule="auto"/>
              <w:jc w:val="center"/>
            </w:pPr>
            <w:r/>
            <w:r>
              <w:rPr>
                <w:rFonts w:ascii="Times New Roman" w:hAnsi="Times New Roman" w:eastAsia="Times New Roman" w:cs="Times New Roman"/>
                <w:b w:val="0"/>
                <w:i w:val="0"/>
                <w:sz w:val="18"/>
              </w:rPr>
              <w:t>0.5772</w:t>
            </w:r>
          </w:p>
        </w:tc>
        <w:tc>
          <w:tcPr>
            <w:tcW w:type="dxa" w:w="1296"/>
          </w:tcPr>
          <w:p>
            <w:pPr>
              <w:spacing w:before="40" w:after="40" w:line="240" w:lineRule="auto"/>
              <w:jc w:val="center"/>
            </w:pPr>
            <w:r/>
            <w:r>
              <w:rPr>
                <w:rFonts w:ascii="Times New Roman" w:hAnsi="Times New Roman" w:eastAsia="Times New Roman" w:cs="Times New Roman"/>
                <w:b w:val="0"/>
                <w:i w:val="0"/>
                <w:sz w:val="18"/>
              </w:rPr>
              <w:t>0.5932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20</w:t>
            </w:r>
          </w:p>
        </w:tc>
        <w:tc>
          <w:tcPr>
            <w:tcW w:type="dxa" w:w="1296"/>
          </w:tcPr>
          <w:p>
            <w:pPr>
              <w:spacing w:before="40" w:after="40" w:line="240" w:lineRule="auto"/>
              <w:jc w:val="center"/>
            </w:pPr>
            <w:r/>
            <w:r>
              <w:rPr>
                <w:rFonts w:ascii="Times New Roman" w:hAnsi="Times New Roman" w:eastAsia="Times New Roman" w:cs="Times New Roman"/>
                <w:b w:val="0"/>
                <w:i w:val="0"/>
                <w:sz w:val="18"/>
              </w:rPr>
              <w:t>0.5883</w:t>
            </w:r>
          </w:p>
        </w:tc>
        <w:tc>
          <w:tcPr>
            <w:tcW w:type="dxa" w:w="1296"/>
          </w:tcPr>
          <w:p>
            <w:pPr>
              <w:spacing w:before="40" w:after="40" w:line="240" w:lineRule="auto"/>
              <w:jc w:val="center"/>
            </w:pPr>
            <w:r/>
            <w:r>
              <w:rPr>
                <w:rFonts w:ascii="Times New Roman" w:hAnsi="Times New Roman" w:eastAsia="Times New Roman" w:cs="Times New Roman"/>
                <w:b w:val="0"/>
                <w:i w:val="0"/>
                <w:sz w:val="18"/>
              </w:rPr>
              <w:t>0.5842</w:t>
            </w:r>
          </w:p>
        </w:tc>
        <w:tc>
          <w:tcPr>
            <w:tcW w:type="dxa" w:w="1296"/>
          </w:tcPr>
          <w:p>
            <w:pPr>
              <w:spacing w:before="40" w:after="40" w:line="240" w:lineRule="auto"/>
              <w:jc w:val="center"/>
            </w:pPr>
            <w:r/>
            <w:r>
              <w:rPr>
                <w:rFonts w:ascii="Times New Roman" w:hAnsi="Times New Roman" w:eastAsia="Times New Roman" w:cs="Times New Roman"/>
                <w:b w:val="0"/>
                <w:i w:val="0"/>
                <w:sz w:val="18"/>
              </w:rPr>
              <w:t>0.5840</w:t>
            </w:r>
          </w:p>
        </w:tc>
        <w:tc>
          <w:tcPr>
            <w:tcW w:type="dxa" w:w="1296"/>
          </w:tcPr>
          <w:p>
            <w:pPr>
              <w:spacing w:before="40" w:after="40" w:line="240" w:lineRule="auto"/>
              <w:jc w:val="center"/>
            </w:pPr>
            <w:r/>
            <w:r>
              <w:rPr>
                <w:rFonts w:ascii="Times New Roman" w:hAnsi="Times New Roman" w:eastAsia="Times New Roman" w:cs="Times New Roman"/>
                <w:b w:val="0"/>
                <w:i w:val="0"/>
                <w:sz w:val="18"/>
              </w:rPr>
              <w:t>0.5777</w:t>
            </w:r>
          </w:p>
        </w:tc>
        <w:tc>
          <w:tcPr>
            <w:tcW w:type="dxa" w:w="1296"/>
          </w:tcPr>
          <w:p>
            <w:pPr>
              <w:spacing w:before="40" w:after="40" w:line="240" w:lineRule="auto"/>
              <w:jc w:val="center"/>
            </w:pPr>
            <w:r/>
            <w:r>
              <w:rPr>
                <w:rFonts w:ascii="Times New Roman" w:hAnsi="Times New Roman" w:eastAsia="Times New Roman" w:cs="Times New Roman"/>
                <w:b w:val="0"/>
                <w:i w:val="0"/>
                <w:sz w:val="18"/>
              </w:rPr>
              <w:t>0.5878</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different behaviours appear, and they are the reason the protocol matters. On BCI-2b the causal running mean matches the batch correction from the fifth trial onward (0.7413 against 0.7408) and the frozen prefix converges to it by fifty trials (difference −0.003, 95% CI [−0.006, +0.000]). On BCI-2a the running mean is again within 0.004 of batch at every k, while the frozen prefix is 0.019 below it at k = 50 (CI [−0.037, −0.006]). On SEED the frozen prefix fails and keeps failing — 0.527 at k = 5 and 0.516 at k = 200 — because the session is a sequence of film blocks whose mean shifts from block to block, so a prefix estimates the mean of the first block and nothing else; the running mean tracks the shift and climbs from 0.671 to 0.699, within 0.010 of the transductive value. On grasp-and-lift both online estimates are far below batch (0.666 and 0.694 against 0.784) and </w:t>
      </w:r>
      <w:r>
        <w:rPr>
          <w:rFonts w:ascii="Times New Roman" w:hAnsi="Times New Roman" w:eastAsia="Times New Roman" w:cs="Times New Roman"/>
          <w:b w:val="0"/>
          <w:i/>
          <w:sz w:val="24"/>
        </w:rPr>
        <w:t>below doing nothing</w:t>
      </w:r>
      <w:r>
        <w:rPr>
          <w:rFonts w:ascii="Times New Roman" w:hAnsi="Times New Roman" w:eastAsia="Times New Roman" w:cs="Times New Roman"/>
          <w:b w:val="0"/>
          <w:i w:val="0"/>
          <w:sz w:val="24"/>
        </w:rPr>
        <w:t xml:space="preserve"> (0.778), so with a rapidly drifting mean a badly estimated correction is worse than no correction; NER2015 has no origin offset and every method is the same within 0.006.</w:t>
      </w:r>
    </w:p>
    <w:p>
      <w:pPr>
        <w:spacing w:before="0" w:after="0" w:line="480" w:lineRule="auto"/>
        <w:ind w:firstLine="0" w:left="0"/>
        <w:jc w:val="left"/>
      </w:pPr>
      <w:r>
        <w:rPr>
          <w:rFonts w:ascii="Times New Roman" w:hAnsi="Times New Roman" w:eastAsia="Times New Roman" w:cs="Times New Roman"/>
          <w:b w:val="0"/>
          <w:i w:val="0"/>
          <w:sz w:val="24"/>
        </w:rPr>
        <w:t>The practical reading is therefore not "correct with a prefix" but "correct causally, and check that the correction beats no correction": a running mean is the only estimator that survives block structure, and none of them rescues a mean that drifts faster than the window can follow.</w:t>
      </w:r>
    </w:p>
    <w:p>
      <w:pPr>
        <w:spacing w:before="0" w:after="0" w:line="480" w:lineRule="auto"/>
        <w:ind w:firstLine="0" w:left="0"/>
        <w:jc w:val="left"/>
      </w:pPr>
      <w:r>
        <w:rPr>
          <w:rFonts w:ascii="Times New Roman" w:hAnsi="Times New Roman" w:eastAsia="Times New Roman" w:cs="Times New Roman"/>
          <w:b w:val="0"/>
          <w:i w:val="0"/>
          <w:sz w:val="24"/>
        </w:rPr>
        <w:t xml:space="preserve">This experiment also gives the one-sided pipeline a realistic origin. A practitioner who observes drift and adds a running-mean normaliser at prediction time, without re-fitting the model on centred training data, has built exactly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the model sees raw features, the input sees centred ones. Table 4 is the cost of that patch on five datasets — small on BCI-2b and BCI-2a, nil on NER2015, and on grasp-and-lift a loss of 0.11 against not patching at all.</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the same z_T to within one unit in the second decimal,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xml:space="preserve"> and is placed next to the median only as a summary of the spread.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wraps scikit-learn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then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running-mean experiment shows the limit: with the trials in a random order five trials suffice (0.7334 against 0.7365 on BCI-2b), while with the recorded order the same pipeline is exact on BCI-2b (0.7409) and clearly worse on the block-structured datasets (0.6724 against 0.7094 on SEED; 0.6781 against 0.7938 on grasp-and-lift). A running reference does not remove the need for a calibration block.</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verification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9c32dcfd1e),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