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Highlights</w:t>
      </w:r>
    </w:p>
    <w:p>
      <w:pPr>
        <w:pStyle w:val="ListBullet"/>
      </w:pPr>
      <w:r>
        <w:t>The equivariant family of mean corrections is stated; uniqueness is not claimed.</w:t>
      </w:r>
    </w:p>
    <w:p>
      <w:pPr>
        <w:pStyle w:val="ListBullet"/>
      </w:pPr>
      <w:r>
        <w:t>Score-difference equivalence is characterised by the centred classifier weights.</w:t>
      </w:r>
    </w:p>
    <w:p>
      <w:pPr>
        <w:pStyle w:val="ListBullet"/>
      </w:pPr>
      <w:r>
        <w:t>Only the origin's projection on the weights damages the decoder, not its norm.</w:t>
      </w:r>
    </w:p>
    <w:p>
      <w:pPr>
        <w:pStyle w:val="ListBullet"/>
      </w:pPr>
      <w:r>
        <w:t>A threshold-displacement model explains the sign for LDA and logistic.</w:t>
      </w:r>
    </w:p>
    <w:p>
      <w:pPr>
        <w:pStyle w:val="ListBullet"/>
      </w:pPr>
      <w:r>
        <w:t>Three released framework components take the mean from the training fold.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