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Causal mean correction in cross-session EEG decoding: when it helps, and how much to correct</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Removing a session mean is the first step of almost every cross-session EEG pipeline, and in deployment the mean has to be estimated from the trials that have already arrived. We state when a correction helps, compare four causal estimators, and derive one that is safe where the obvious ones fail. Theorem 1 gives the condition: under the equal-variance model a displacement s on a threshold error t helps iff s(2t+s) &lt; 0. Exact for the model and weak when estimated (it reproduces the sign on 0.598 of 800 cells against 0.564 by majority), it explains the mechanism and does not predict. The experiments cover 845 cells from five datasets plus 90 held-out cells from SEED-IV. A cumulative mean recovers 0.22 on SEED and loses 0.115 on grasp-and-lift; a window and an exponential average lose on SEED. The estimator we propose corrects by the mean of the blocks seen, weighted by the share of it that is signal: λ = ‖d̄‖²/(‖d̄‖² + K V_d/B), with d_b = P W (μ_b − μ_A). The weight is continuous, so nothing decides whether to correct: it decides how much. The paired gains over no correction are +0.027, +0.025, +0.216, +0.008 and −0.001 on the five development datasets, and +0.183 [+0.154, +0.212] on the held-out one, at a cost of 0.007 on BCI-2b and 0.003 on SEED. Shifting the feature origin leaves every prediction unchanged. The weight itself adds little over an unweighted block mean; the block-wise structure carries the gain. Four gates that decide by a threshold are reported as failures.</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compares the estimators a deployment can actually build from that choice, measures what the inconsistent variant costs, and reports where each estimator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The operation is in current use.</w:t>
      </w:r>
      <w:r>
        <w:rPr>
          <w:rFonts w:ascii="Times New Roman" w:hAnsi="Times New Roman" w:eastAsia="Times New Roman" w:cs="Times New Roman"/>
          <w:b w:val="0"/>
          <w:i w:val="0"/>
          <w:sz w:val="24"/>
        </w:rPr>
        <w:t xml:space="preserve"> A recent controlled benchmark makes the question concrete rather than academic: Rahimipour and Van Hulle [20] compare a tangent-space pipeline with unsupervised test-time recentering against deep sequence models on eight public motor-imagery datasets and conclude that the recentering, not the architecture, carries the cross-session advantage — the pipeline beats its recentering-free twin only across sessions, and is indistinguishable from it within a session. Their recentering is computed at test time, i.e. transductively, and it acts in the tangent space of the SPD manifold rather than on a Euclidean feature mean; the two operations share the word but not the object, and what we analyse here is the Euclidean one. That is also the operation a deployment can compute from a stream of feature vectors, which is why the causal question in Section 4.2 is worth asking of it. If the correction is the operative ingredient, then which correction it is, and whether it survives being computed online, are the questions worth answering.</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Per-class, cross-sample rankings of the raw scores and of pairwise margins are therefore unchanged, and so is a macro-averaged one-versus-rest AUC computed from those scores, since each class score is shifted by the same constant. A measure computed from softmax probabilities is not covered: the per-class constants change the normalisation even though every margin is fixed.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Theorem 1 (when the correction helps).</w:t>
      </w:r>
      <w:r>
        <w:rPr>
          <w:rFonts w:ascii="Times New Roman" w:hAnsi="Times New Roman" w:eastAsia="Times New Roman" w:cs="Times New Roman"/>
          <w:b w:val="0"/>
          <w:i w:val="0"/>
          <w:sz w:val="24"/>
        </w:rPr>
        <w:t xml:space="preserve"> Under (3), with c &gt; 0, a displacement s applied on top of a threshold error t improves balanced accuracy if and only if |t + s| &lt; |t|, equivalently s(2t + s) &lt; 0. The improvement region is therefore a band in (t, s): for s &gt; 0 it requires t &lt; −s/2, and for s &lt; 0 it requires t &gt; −s/2 &gt; 0, so a correction of a given sign helps only when the existing error has the opposite sign and is at least half the displacement. This is the precise form of the statement that the sign is carried by t*, and it also shows why a well-calibrated classifier (t ≈ 0) is damaged by any displacement, while a badly calibrated one can be repaired by it.</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Immediate from (3): the balanced accuracy is symmetric and decreasing in |t|, so ΔBA = BA(c, t+s) − BA(c, t) &gt; 0 iff |t+s| &lt; |t|, which squares to s(2t+s) &lt; 0. QED</w:t>
      </w:r>
    </w:p>
    <w:p>
      <w:pPr>
        <w:spacing w:before="0" w:after="0" w:line="480" w:lineRule="auto"/>
        <w:ind w:firstLine="0" w:left="0"/>
        <w:jc w:val="left"/>
      </w:pPr>
      <w:r>
        <w:rPr>
          <w:rFonts w:ascii="Times New Roman" w:hAnsi="Times New Roman" w:eastAsia="Times New Roman" w:cs="Times New Roman"/>
          <w:b w:val="0"/>
          <w:i w:val="0"/>
          <w:sz w:val="24"/>
        </w:rPr>
        <w:t>The theorem is exact under its assumptions and weak when they are estimated. Taking t</w:t>
      </w:r>
      <w:r>
        <w:rPr>
          <w:rFonts w:ascii="Times New Roman" w:hAnsi="Times New Roman" w:eastAsia="Times New Roman" w:cs="Times New Roman"/>
          <w:b w:val="0"/>
          <w:i/>
          <w:sz w:val="24"/>
        </w:rPr>
        <w:t xml:space="preserve"> as the target-optimal threshold of the fitted model and s as its displacement, the sign it predicts agrees with the observed sign on 478 of the 800 binary cells, 0.598 against a majority rate of 0.564. The theorem therefore explains </w:t>
      </w:r>
      <w:r>
        <w:rPr>
          <w:rFonts w:ascii="Times New Roman" w:hAnsi="Times New Roman" w:eastAsia="Times New Roman" w:cs="Times New Roman"/>
          <w:b w:val="0"/>
          <w:i w:val="0"/>
          <w:sz w:val="24"/>
        </w:rPr>
        <w:t>why* the sign varies — it is a statement about the model — but it is not an estimator of the sign, and the paper does not use it as one. This is the same gap that the source-only parameterisation of Section 4.5 exposes from the other side, and it is the reason the decision rule of Section 4.2 is empirical.</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SEED and SEED-IV are distributed as separate cohorts; the releases we used share no subject identifiers, and we treat them as different subjects while noting that we cannot verify that no individual took part in both.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Five tests are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with Holm control across the five. After Holm the p-values are 3.05 × 10⁻⁴ (SEED), 0.016 (BCI-2a), 0.016 (BCI-2b), 0.104 (grasp-and-lift) and 0.320 (NER2015), so the gain is established on three datasets, not on five; grasp-and-lift's raw p of 0.052 becomes 0.104 and its median gain of 0.003 is not claimed as an improvement.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w:t>
      </w:r>
      <w:r>
        <w:rPr>
          <w:rFonts w:ascii="Courier New" w:hAnsi="Courier New" w:eastAsia="Courier New" w:cs="Courier New"/>
          <w:b w:val="0"/>
          <w:i w:val="0"/>
          <w:sz w:val="24"/>
        </w:rPr>
        <w:t>solver='lsqr'</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shrinkage='auto'</w:t>
      </w:r>
      <w:r>
        <w:rPr>
          <w:rFonts w:ascii="Times New Roman" w:hAnsi="Times New Roman" w:eastAsia="Times New Roman" w:cs="Times New Roman"/>
          <w:b w:val="0"/>
          <w:i w:val="0"/>
          <w:sz w:val="24"/>
        </w:rPr>
        <w:t xml:space="preserve"> (the </w:t>
      </w:r>
      <w:r>
        <w:rPr>
          <w:rFonts w:ascii="Courier New" w:hAnsi="Courier New" w:eastAsia="Courier New" w:cs="Courier New"/>
          <w:b w:val="0"/>
          <w:i w:val="0"/>
          <w:sz w:val="24"/>
        </w:rPr>
        <w:t>svd</w:t>
      </w:r>
      <w:r>
        <w:rPr>
          <w:rFonts w:ascii="Times New Roman" w:hAnsi="Times New Roman" w:eastAsia="Times New Roman" w:cs="Times New Roman"/>
          <w:b w:val="0"/>
          <w:i w:val="0"/>
          <w:sz w:val="24"/>
        </w:rPr>
        <w:t xml:space="preserve"> solver does not support shrinkage), logistic regression with C = 1 and the lbfgs solver, linear SVM with C = 0.01 and </w:t>
      </w:r>
      <w:r>
        <w:rPr>
          <w:rFonts w:ascii="Courier New" w:hAnsi="Courier New" w:eastAsia="Courier New" w:cs="Courier New"/>
          <w:b w:val="0"/>
          <w:i w:val="0"/>
          <w:sz w:val="24"/>
        </w:rPr>
        <w:t>dual=False</w:t>
      </w:r>
      <w:r>
        <w:rPr>
          <w:rFonts w:ascii="Times New Roman" w:hAnsi="Times New Roman" w:eastAsia="Times New Roman" w:cs="Times New Roman"/>
          <w:b w:val="0"/>
          <w:i w:val="0"/>
          <w:sz w:val="24"/>
        </w:rPr>
        <w:t xml:space="preserve">, all with a fixed random state of 0; numpy 1.21, scipy 1.7, scikit-learn 1.0.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9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 What Table 4 calls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a different object: it standardises the target only (or subtracts its mean only) and leaves the training session raw, which is not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does not inherit its agreement with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on a logarithmic axis whose floor is 10⁻¹⁶, so that a zero is drawn at the floor rather than as a measured value.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mean has to be estimated online, and the estimator is a design choice.</w:t>
      </w:r>
      <w:r>
        <w:rPr>
          <w:rFonts w:ascii="Times New Roman" w:hAnsi="Times New Roman" w:eastAsia="Times New Roman" w:cs="Times New Roman"/>
          <w:b w:val="0"/>
          <w:i w:val="0"/>
          <w:sz w:val="24"/>
        </w:rPr>
        <w:t xml:space="preserve"> Centring the target on its own mean uses the whole session; a deployment has only the trials that have arrived. Two different constructions then exist and must not be confused. The </w:t>
      </w:r>
      <w:r>
        <w:rPr>
          <w:rFonts w:ascii="Times New Roman" w:hAnsi="Times New Roman" w:eastAsia="Times New Roman" w:cs="Times New Roman"/>
          <w:b w:val="0"/>
          <w:i/>
          <w:sz w:val="24"/>
        </w:rPr>
        <w:t>two-sided online correction</w:t>
      </w:r>
      <w:r>
        <w:rPr>
          <w:rFonts w:ascii="Times New Roman" w:hAnsi="Times New Roman" w:eastAsia="Times New Roman" w:cs="Times New Roman"/>
          <w:b w:val="0"/>
          <w:i w:val="0"/>
          <w:sz w:val="24"/>
        </w:rPr>
        <w:t xml:space="preserve"> fits the model on the uncorrected training session and corrects trial t by</w:t>
      </w:r>
    </w:p>
    <w:p>
      <w:pPr>
        <w:spacing w:before="0" w:after="0" w:line="480" w:lineRule="auto"/>
        <w:ind w:firstLine="0" w:left="0"/>
        <w:jc w:val="left"/>
      </w:pPr>
      <w:r>
        <w:rPr>
          <w:rFonts w:ascii="Times New Roman" w:hAnsi="Times New Roman" w:eastAsia="Times New Roman" w:cs="Times New Roman"/>
          <w:b w:val="0"/>
          <w:i w:val="0"/>
          <w:sz w:val="24"/>
        </w:rPr>
        <w:t>x̃_t = x_t − μ̂_{t−1} + μ_A ,                                                (7)</w:t>
      </w:r>
    </w:p>
    <w:p>
      <w:pPr>
        <w:spacing w:before="0" w:after="0" w:line="480" w:lineRule="auto"/>
        <w:ind w:firstLine="0" w:left="0"/>
        <w:jc w:val="left"/>
      </w:pPr>
      <w:r>
        <w:rPr>
          <w:rFonts w:ascii="Times New Roman" w:hAnsi="Times New Roman" w:eastAsia="Times New Roman" w:cs="Times New Roman"/>
          <w:b w:val="0"/>
          <w:i w:val="0"/>
          <w:sz w:val="24"/>
        </w:rPr>
        <w:t xml:space="preserve">with μ̂_{t−1} an estimate from trials 1 … t−1; as μ̂ → μ_B it converges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the same without the training mean,</w:t>
      </w:r>
    </w:p>
    <w:p>
      <w:pPr>
        <w:spacing w:before="0" w:after="0" w:line="480" w:lineRule="auto"/>
        <w:ind w:firstLine="0" w:left="0"/>
        <w:jc w:val="left"/>
      </w:pPr>
      <w:r>
        <w:rPr>
          <w:rFonts w:ascii="Times New Roman" w:hAnsi="Times New Roman" w:eastAsia="Times New Roman" w:cs="Times New Roman"/>
          <w:b w:val="0"/>
          <w:i w:val="0"/>
          <w:sz w:val="24"/>
        </w:rPr>
        <w:t>x̃_t = x_t − μ̂_{t−1} ,                                                      (8)</w:t>
      </w:r>
    </w:p>
    <w:p>
      <w:pPr>
        <w:spacing w:before="0" w:after="0" w:line="480" w:lineRule="auto"/>
        <w:ind w:firstLine="0" w:left="0"/>
        <w:jc w:val="left"/>
      </w:pPr>
      <w:r>
        <w:rPr>
          <w:rFonts w:ascii="Times New Roman" w:hAnsi="Times New Roman" w:eastAsia="Times New Roman" w:cs="Times New Roman"/>
          <w:b w:val="0"/>
          <w:i w:val="0"/>
          <w:sz w:val="24"/>
        </w:rPr>
        <w:t xml:space="preserve">which is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The two differ by μ_A, i.e. by exactly the quantity at issue, and only (7) is a correction of the consistency problem.</w:t>
      </w:r>
    </w:p>
    <w:p>
      <w:pPr>
        <w:spacing w:before="0" w:after="0" w:line="480" w:lineRule="auto"/>
        <w:ind w:firstLine="0" w:left="0"/>
        <w:jc w:val="left"/>
      </w:pPr>
      <w:r>
        <w:rPr>
          <w:rFonts w:ascii="Times New Roman" w:hAnsi="Times New Roman" w:eastAsia="Times New Roman" w:cs="Times New Roman"/>
          <w:b/>
          <w:i w:val="0"/>
          <w:sz w:val="24"/>
        </w:rPr>
        <w:t>Four estimators, and why no fixed memory is safe.</w:t>
      </w:r>
      <w:r>
        <w:rPr>
          <w:rFonts w:ascii="Times New Roman" w:hAnsi="Times New Roman" w:eastAsia="Times New Roman" w:cs="Times New Roman"/>
          <w:b w:val="0"/>
          <w:i w:val="0"/>
          <w:sz w:val="24"/>
        </w:rPr>
        <w:t xml:space="preserve"> Equation (7) leaves the choice of μ̂. We compare a cumulative mean, a sliding window of 50 trials, an exponential average with α = 0.05, and a shrunk cumulative mean whose weight is n_eff/(n_eff + τ) with τ = 50. Table 4 reports them on one common post-prefix test set, with the strictly causal (source-only) representations of Section 3.</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the common post-prefix test set (trials k+1 … n; k = 20, or 50 for SEED and SEED-IV), LDA, source-only representations.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transductive correction scored on the same trials.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window</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exponential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one-sided patch</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0.7063</w:t>
            </w:r>
          </w:p>
        </w:tc>
        <w:tc>
          <w:tcPr>
            <w:tcW w:type="dxa" w:w="1134"/>
          </w:tcPr>
          <w:p>
            <w:pPr>
              <w:spacing w:before="40" w:after="40" w:line="240" w:lineRule="auto"/>
              <w:jc w:val="center"/>
            </w:pPr>
            <w:r/>
            <w:r>
              <w:rPr>
                <w:rFonts w:ascii="Times New Roman" w:hAnsi="Times New Roman" w:eastAsia="Times New Roman" w:cs="Times New Roman"/>
                <w:b w:val="0"/>
                <w:i w:val="0"/>
                <w:sz w:val="18"/>
              </w:rPr>
              <w:t>0.7428</w:t>
            </w:r>
          </w:p>
        </w:tc>
        <w:tc>
          <w:tcPr>
            <w:tcW w:type="dxa" w:w="1134"/>
          </w:tcPr>
          <w:p>
            <w:pPr>
              <w:spacing w:before="40" w:after="40" w:line="240" w:lineRule="auto"/>
              <w:jc w:val="center"/>
            </w:pPr>
            <w:r/>
            <w:r>
              <w:rPr>
                <w:rFonts w:ascii="Times New Roman" w:hAnsi="Times New Roman" w:eastAsia="Times New Roman" w:cs="Times New Roman"/>
                <w:b w:val="0"/>
                <w:i w:val="0"/>
                <w:sz w:val="18"/>
              </w:rPr>
              <w:t>0.7417</w:t>
            </w:r>
          </w:p>
        </w:tc>
        <w:tc>
          <w:tcPr>
            <w:tcW w:type="dxa" w:w="1134"/>
          </w:tcPr>
          <w:p>
            <w:pPr>
              <w:spacing w:before="40" w:after="40" w:line="240" w:lineRule="auto"/>
              <w:jc w:val="center"/>
            </w:pPr>
            <w:r/>
            <w:r>
              <w:rPr>
                <w:rFonts w:ascii="Times New Roman" w:hAnsi="Times New Roman" w:eastAsia="Times New Roman" w:cs="Times New Roman"/>
                <w:b w:val="0"/>
                <w:i w:val="0"/>
                <w:sz w:val="18"/>
              </w:rPr>
              <w:t>0.7419</w:t>
            </w:r>
          </w:p>
        </w:tc>
        <w:tc>
          <w:tcPr>
            <w:tcW w:type="dxa" w:w="1134"/>
          </w:tcPr>
          <w:p>
            <w:pPr>
              <w:spacing w:before="40" w:after="40" w:line="240" w:lineRule="auto"/>
              <w:jc w:val="center"/>
            </w:pPr>
            <w:r/>
            <w:r>
              <w:rPr>
                <w:rFonts w:ascii="Times New Roman" w:hAnsi="Times New Roman" w:eastAsia="Times New Roman" w:cs="Times New Roman"/>
                <w:b w:val="0"/>
                <w:i w:val="0"/>
                <w:sz w:val="18"/>
              </w:rPr>
              <w:t>0.7420</w:t>
            </w:r>
          </w:p>
        </w:tc>
        <w:tc>
          <w:tcPr>
            <w:tcW w:type="dxa" w:w="1134"/>
          </w:tcPr>
          <w:p>
            <w:pPr>
              <w:spacing w:before="40" w:after="40" w:line="240" w:lineRule="auto"/>
              <w:jc w:val="center"/>
            </w:pPr>
            <w:r/>
            <w:r>
              <w:rPr>
                <w:rFonts w:ascii="Times New Roman" w:hAnsi="Times New Roman" w:eastAsia="Times New Roman" w:cs="Times New Roman"/>
                <w:b w:val="0"/>
                <w:i w:val="0"/>
                <w:sz w:val="18"/>
              </w:rPr>
              <w:t>0.7327</w:t>
            </w:r>
          </w:p>
        </w:tc>
        <w:tc>
          <w:tcPr>
            <w:tcW w:type="dxa" w:w="1134"/>
          </w:tcPr>
          <w:p>
            <w:pPr>
              <w:spacing w:before="40" w:after="40" w:line="240" w:lineRule="auto"/>
              <w:jc w:val="center"/>
            </w:pPr>
            <w:r/>
            <w:r>
              <w:rPr>
                <w:rFonts w:ascii="Times New Roman" w:hAnsi="Times New Roman" w:eastAsia="Times New Roman" w:cs="Times New Roman"/>
                <w:b w:val="0"/>
                <w:i w:val="0"/>
                <w:sz w:val="18"/>
              </w:rPr>
              <w:t>0.5839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0.5640</w:t>
            </w:r>
          </w:p>
        </w:tc>
        <w:tc>
          <w:tcPr>
            <w:tcW w:type="dxa" w:w="1134"/>
          </w:tcPr>
          <w:p>
            <w:pPr>
              <w:spacing w:before="40" w:after="40" w:line="240" w:lineRule="auto"/>
              <w:jc w:val="center"/>
            </w:pPr>
            <w:r/>
            <w:r>
              <w:rPr>
                <w:rFonts w:ascii="Times New Roman" w:hAnsi="Times New Roman" w:eastAsia="Times New Roman" w:cs="Times New Roman"/>
                <w:b w:val="0"/>
                <w:i w:val="0"/>
                <w:sz w:val="18"/>
              </w:rPr>
              <w:t>0.6111</w:t>
            </w:r>
          </w:p>
        </w:tc>
        <w:tc>
          <w:tcPr>
            <w:tcW w:type="dxa" w:w="1134"/>
          </w:tcPr>
          <w:p>
            <w:pPr>
              <w:spacing w:before="40" w:after="40" w:line="240" w:lineRule="auto"/>
              <w:jc w:val="center"/>
            </w:pPr>
            <w:r/>
            <w:r>
              <w:rPr>
                <w:rFonts w:ascii="Times New Roman" w:hAnsi="Times New Roman" w:eastAsia="Times New Roman" w:cs="Times New Roman"/>
                <w:b w:val="0"/>
                <w:i w:val="0"/>
                <w:sz w:val="18"/>
              </w:rPr>
              <w:t>0.6077</w:t>
            </w:r>
          </w:p>
        </w:tc>
        <w:tc>
          <w:tcPr>
            <w:tcW w:type="dxa" w:w="1134"/>
          </w:tcPr>
          <w:p>
            <w:pPr>
              <w:spacing w:before="40" w:after="40" w:line="240" w:lineRule="auto"/>
              <w:jc w:val="center"/>
            </w:pPr>
            <w:r/>
            <w:r>
              <w:rPr>
                <w:rFonts w:ascii="Times New Roman" w:hAnsi="Times New Roman" w:eastAsia="Times New Roman" w:cs="Times New Roman"/>
                <w:b w:val="0"/>
                <w:i w:val="0"/>
                <w:sz w:val="18"/>
              </w:rPr>
              <w:t>0.6145</w:t>
            </w:r>
          </w:p>
        </w:tc>
        <w:tc>
          <w:tcPr>
            <w:tcW w:type="dxa" w:w="1134"/>
          </w:tcPr>
          <w:p>
            <w:pPr>
              <w:spacing w:before="40" w:after="40" w:line="240" w:lineRule="auto"/>
              <w:jc w:val="center"/>
            </w:pPr>
            <w:r/>
            <w:r>
              <w:rPr>
                <w:rFonts w:ascii="Times New Roman" w:hAnsi="Times New Roman" w:eastAsia="Times New Roman" w:cs="Times New Roman"/>
                <w:b w:val="0"/>
                <w:i w:val="0"/>
                <w:sz w:val="18"/>
              </w:rPr>
              <w:t>0.6138</w:t>
            </w:r>
          </w:p>
        </w:tc>
        <w:tc>
          <w:tcPr>
            <w:tcW w:type="dxa" w:w="1134"/>
          </w:tcPr>
          <w:p>
            <w:pPr>
              <w:spacing w:before="40" w:after="40" w:line="240" w:lineRule="auto"/>
              <w:jc w:val="center"/>
            </w:pPr>
            <w:r/>
            <w:r>
              <w:rPr>
                <w:rFonts w:ascii="Times New Roman" w:hAnsi="Times New Roman" w:eastAsia="Times New Roman" w:cs="Times New Roman"/>
                <w:b w:val="0"/>
                <w:i w:val="0"/>
                <w:sz w:val="18"/>
              </w:rPr>
              <w:t>0.6043</w:t>
            </w:r>
          </w:p>
        </w:tc>
        <w:tc>
          <w:tcPr>
            <w:tcW w:type="dxa" w:w="1134"/>
          </w:tcPr>
          <w:p>
            <w:pPr>
              <w:spacing w:before="40" w:after="40" w:line="240" w:lineRule="auto"/>
              <w:jc w:val="center"/>
            </w:pPr>
            <w:r/>
            <w:r>
              <w:rPr>
                <w:rFonts w:ascii="Times New Roman" w:hAnsi="Times New Roman" w:eastAsia="Times New Roman" w:cs="Times New Roman"/>
                <w:b w:val="0"/>
                <w:i w:val="0"/>
                <w:sz w:val="18"/>
              </w:rPr>
              <w:t>0.5169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0.4194</w:t>
            </w:r>
          </w:p>
        </w:tc>
        <w:tc>
          <w:tcPr>
            <w:tcW w:type="dxa" w:w="1134"/>
          </w:tcPr>
          <w:p>
            <w:pPr>
              <w:spacing w:before="40" w:after="40" w:line="240" w:lineRule="auto"/>
              <w:jc w:val="center"/>
            </w:pPr>
            <w:r/>
            <w:r>
              <w:rPr>
                <w:rFonts w:ascii="Times New Roman" w:hAnsi="Times New Roman" w:eastAsia="Times New Roman" w:cs="Times New Roman"/>
                <w:b w:val="0"/>
                <w:i w:val="0"/>
                <w:sz w:val="18"/>
              </w:rPr>
              <w:t>0.4178</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0.3394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0.7764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0.6488</w:t>
            </w:r>
          </w:p>
        </w:tc>
        <w:tc>
          <w:tcPr>
            <w:tcW w:type="dxa" w:w="1134"/>
          </w:tcPr>
          <w:p>
            <w:pPr>
              <w:spacing w:before="40" w:after="40" w:line="240" w:lineRule="auto"/>
              <w:jc w:val="center"/>
            </w:pPr>
            <w:r/>
            <w:r>
              <w:rPr>
                <w:rFonts w:ascii="Times New Roman" w:hAnsi="Times New Roman" w:eastAsia="Times New Roman" w:cs="Times New Roman"/>
                <w:b w:val="0"/>
                <w:i w:val="0"/>
                <w:sz w:val="18"/>
              </w:rPr>
              <w:t>0.6236</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0.5942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0.5883</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0.5842</w:t>
            </w:r>
          </w:p>
        </w:tc>
        <w:tc>
          <w:tcPr>
            <w:tcW w:type="dxa" w:w="1134"/>
          </w:tcPr>
          <w:p>
            <w:pPr>
              <w:spacing w:before="40" w:after="40" w:line="240" w:lineRule="auto"/>
              <w:jc w:val="center"/>
            </w:pPr>
            <w:r/>
            <w:r>
              <w:rPr>
                <w:rFonts w:ascii="Times New Roman" w:hAnsi="Times New Roman" w:eastAsia="Times New Roman" w:cs="Times New Roman"/>
                <w:b w:val="0"/>
                <w:i w:val="0"/>
                <w:sz w:val="18"/>
              </w:rPr>
              <w:t>0.5822</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regimes appear. Where the session mean is stable (BCI-2b, BCI-2a) every estimator recovers the transductive gain within 0.01 and the choice does not matter. Where the mean changes between blocks (SEED) a </w:t>
      </w:r>
      <w:r>
        <w:rPr>
          <w:rFonts w:ascii="Times New Roman" w:hAnsi="Times New Roman" w:eastAsia="Times New Roman" w:cs="Times New Roman"/>
          <w:b w:val="0"/>
          <w:i/>
          <w:sz w:val="24"/>
        </w:rPr>
        <w:t>short-memory</w:t>
      </w:r>
      <w:r>
        <w:rPr>
          <w:rFonts w:ascii="Times New Roman" w:hAnsi="Times New Roman" w:eastAsia="Times New Roman" w:cs="Times New Roman"/>
          <w:b w:val="0"/>
          <w:i w:val="0"/>
          <w:sz w:val="24"/>
        </w:rPr>
        <w:t xml:space="preserve"> estimator is harmful — the window and the exponential average both fall below no correction, because within one film block the window sees only that block — while a long-memory estimator keeps the gain. Where the mean drifts </w:t>
      </w:r>
      <w:r>
        <w:rPr>
          <w:rFonts w:ascii="Times New Roman" w:hAnsi="Times New Roman" w:eastAsia="Times New Roman" w:cs="Times New Roman"/>
          <w:b w:val="0"/>
          <w:i/>
          <w:sz w:val="24"/>
        </w:rPr>
        <w:t>within</w:t>
      </w:r>
      <w:r>
        <w:rPr>
          <w:rFonts w:ascii="Times New Roman" w:hAnsi="Times New Roman" w:eastAsia="Times New Roman" w:cs="Times New Roman"/>
          <w:b w:val="0"/>
          <w:i w:val="0"/>
          <w:sz w:val="24"/>
        </w:rPr>
        <w:t xml:space="preserve"> a session (grasp-and-lift) the reverse happens: the cumulative mean loses 0.115. No fixed memory is safe on both, and the one-sided patch costs 0.05 to 0.18 on top of that.</w:t>
      </w:r>
    </w:p>
    <w:p>
      <w:pPr>
        <w:spacing w:before="0" w:after="0" w:line="480" w:lineRule="auto"/>
        <w:ind w:firstLine="0" w:left="0"/>
        <w:jc w:val="left"/>
      </w:pPr>
      <w:r>
        <w:rPr>
          <w:rFonts w:ascii="Times New Roman" w:hAnsi="Times New Roman" w:eastAsia="Times New Roman" w:cs="Times New Roman"/>
          <w:b/>
          <w:i w:val="0"/>
          <w:sz w:val="24"/>
        </w:rPr>
        <w:t>A block-wise estimate, weighted by its own reliability.</w:t>
      </w:r>
      <w:r>
        <w:rPr>
          <w:rFonts w:ascii="Times New Roman" w:hAnsi="Times New Roman" w:eastAsia="Times New Roman" w:cs="Times New Roman"/>
          <w:b w:val="0"/>
          <w:i w:val="0"/>
          <w:sz w:val="24"/>
        </w:rPr>
        <w:t xml:space="preserve"> The estimator that is safe in both regimes corrects with the mean of the blocks already seen, weighted by how much of that mean is signal rather than block-to-block scatter. The weight must be built from </w:t>
      </w:r>
      <w:r>
        <w:rPr>
          <w:rFonts w:ascii="Times New Roman" w:hAnsi="Times New Roman" w:eastAsia="Times New Roman" w:cs="Times New Roman"/>
          <w:b w:val="0"/>
          <w:i/>
          <w:sz w:val="24"/>
        </w:rPr>
        <w:t>displacements relative to the source session</w:t>
      </w:r>
      <w:r>
        <w:rPr>
          <w:rFonts w:ascii="Times New Roman" w:hAnsi="Times New Roman" w:eastAsia="Times New Roman" w:cs="Times New Roman"/>
          <w:b w:val="0"/>
          <w:i w:val="0"/>
          <w:sz w:val="24"/>
        </w:rPr>
        <w:t>, not from absolute projections, or it would depend on where the feature origin sits and contradict Proposition 1. Let d_b = P W (μ̂_b − μ_A) be the displacement that block b asks for, in the score space, with μ̂_b the mean of the features in block b; let d̄ be the mean of the d_b over the B blocks seen and V_d their variance across blocks. The weight and the correction are</w:t>
      </w:r>
    </w:p>
    <w:p>
      <w:pPr>
        <w:spacing w:before="0" w:after="0" w:line="480" w:lineRule="auto"/>
        <w:ind w:firstLine="0" w:left="0"/>
        <w:jc w:val="left"/>
      </w:pPr>
      <w:r>
        <w:rPr>
          <w:rFonts w:ascii="Times New Roman" w:hAnsi="Times New Roman" w:eastAsia="Times New Roman" w:cs="Times New Roman"/>
          <w:b w:val="0"/>
          <w:i w:val="0"/>
          <w:sz w:val="24"/>
        </w:rPr>
        <w:t>λ = ‖d̄‖² / (‖d̄‖² + K V_d / B) ,        s_corrected = s − λ d̄ .            (9)</w:t>
      </w:r>
    </w:p>
    <w:p>
      <w:pPr>
        <w:spacing w:before="0" w:after="0" w:line="480" w:lineRule="auto"/>
        <w:ind w:firstLine="0" w:left="0"/>
        <w:jc w:val="left"/>
      </w:pPr>
      <w:r>
        <w:rPr>
          <w:rFonts w:ascii="Times New Roman" w:hAnsi="Times New Roman" w:eastAsia="Times New Roman" w:cs="Times New Roman"/>
          <w:b w:val="0"/>
          <w:i w:val="0"/>
          <w:sz w:val="24"/>
        </w:rPr>
        <w:t>Every d_b is unchanged by a common translation of the features, so λ is too: shifting all features by a constant and refitting leaves the predictions identical in 1.000 of the cells, in every dataset, at every block length. The weight is the share of the displacement that is signal rather than scatter; it is the ratio a random-effects model would give if the offset had variance ‖d̄‖²/K and each block estimated it with variance V_d/B, and we use it as a data-driven weight rather than as a posterior probability. It is continuous, so no threshold decides whether to correct at all: when the blocks agree it tends to one, and when they scatter it tends to zero and the pipeline falls back to no correction.</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The block-wise estimator on the source-only representations (Table 4 includes the two target-informed ones, which is why its BCI-2a baseline differs), m = 15. </w:t>
      </w:r>
      <w:r>
        <w:rPr>
          <w:rFonts w:ascii="Courier New" w:hAnsi="Courier New" w:eastAsia="Courier New" w:cs="Courier New"/>
          <w:b w:val="0"/>
          <w:i w:val="0"/>
          <w:sz w:val="21"/>
        </w:rPr>
        <w:t>λ = 1</w:t>
      </w:r>
      <w:r>
        <w:rPr>
          <w:rFonts w:ascii="Times New Roman" w:hAnsi="Times New Roman" w:eastAsia="Times New Roman" w:cs="Times New Roman"/>
          <w:b w:val="0"/>
          <w:i w:val="0"/>
          <w:sz w:val="21"/>
        </w:rPr>
        <w:t xml:space="preserve"> is the unweighted block mean; </w:t>
      </w:r>
      <w:r>
        <w:rPr>
          <w:rFonts w:ascii="Courier New" w:hAnsi="Courier New" w:eastAsia="Courier New" w:cs="Courier New"/>
          <w:b w:val="0"/>
          <w:i w:val="0"/>
          <w:sz w:val="21"/>
        </w:rPr>
        <w:t>Eq. (9)</w:t>
      </w:r>
      <w:r>
        <w:rPr>
          <w:rFonts w:ascii="Times New Roman" w:hAnsi="Times New Roman" w:eastAsia="Times New Roman" w:cs="Times New Roman"/>
          <w:b w:val="0"/>
          <w:i w:val="0"/>
          <w:sz w:val="21"/>
        </w:rPr>
        <w:t xml:space="preserve"> is the weighted one; the last row is the held-out dataset. The intervals are subject-level paired differences against no correction (4,000 bootstrap resamples).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block mean (λ = 1)</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 − 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 − λ=1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0.7064</w:t>
            </w:r>
          </w:p>
        </w:tc>
        <w:tc>
          <w:tcPr>
            <w:tcW w:type="dxa" w:w="1134"/>
          </w:tcPr>
          <w:p>
            <w:pPr>
              <w:spacing w:before="40" w:after="40" w:line="240" w:lineRule="auto"/>
              <w:jc w:val="center"/>
            </w:pPr>
            <w:r/>
            <w:r>
              <w:rPr>
                <w:rFonts w:ascii="Times New Roman" w:hAnsi="Times New Roman" w:eastAsia="Times New Roman" w:cs="Times New Roman"/>
                <w:b w:val="0"/>
                <w:i w:val="0"/>
                <w:sz w:val="18"/>
              </w:rPr>
              <w:t>0.7407</w:t>
            </w:r>
          </w:p>
        </w:tc>
        <w:tc>
          <w:tcPr>
            <w:tcW w:type="dxa" w:w="1134"/>
          </w:tcPr>
          <w:p>
            <w:pPr>
              <w:spacing w:before="40" w:after="40" w:line="240" w:lineRule="auto"/>
              <w:jc w:val="center"/>
            </w:pPr>
            <w:r/>
            <w:r>
              <w:rPr>
                <w:rFonts w:ascii="Times New Roman" w:hAnsi="Times New Roman" w:eastAsia="Times New Roman" w:cs="Times New Roman"/>
                <w:b w:val="0"/>
                <w:i w:val="0"/>
                <w:sz w:val="18"/>
              </w:rPr>
              <w:t>0.7314</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0.7333</w:t>
            </w:r>
          </w:p>
        </w:tc>
        <w:tc>
          <w:tcPr>
            <w:tcW w:type="dxa" w:w="1134"/>
          </w:tcPr>
          <w:p>
            <w:pPr>
              <w:spacing w:before="40" w:after="40" w:line="240" w:lineRule="auto"/>
              <w:jc w:val="center"/>
            </w:pPr>
            <w:r/>
            <w:r>
              <w:rPr>
                <w:rFonts w:ascii="Times New Roman" w:hAnsi="Times New Roman" w:eastAsia="Times New Roman" w:cs="Times New Roman"/>
                <w:b w:val="0"/>
                <w:i w:val="0"/>
                <w:sz w:val="18"/>
              </w:rPr>
              <w:t>+0.027 [+0.016, +0.039]</w:t>
            </w:r>
          </w:p>
        </w:tc>
        <w:tc>
          <w:tcPr>
            <w:tcW w:type="dxa" w:w="1134"/>
          </w:tcPr>
          <w:p>
            <w:pPr>
              <w:spacing w:before="40" w:after="40" w:line="240" w:lineRule="auto"/>
              <w:jc w:val="center"/>
            </w:pPr>
            <w:r/>
            <w:r>
              <w:rPr>
                <w:rFonts w:ascii="Times New Roman" w:hAnsi="Times New Roman" w:eastAsia="Times New Roman" w:cs="Times New Roman"/>
                <w:b w:val="0"/>
                <w:i w:val="0"/>
                <w:sz w:val="18"/>
              </w:rPr>
              <w:t>+0.005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0.4969</w:t>
            </w:r>
          </w:p>
        </w:tc>
        <w:tc>
          <w:tcPr>
            <w:tcW w:type="dxa" w:w="1134"/>
          </w:tcPr>
          <w:p>
            <w:pPr>
              <w:spacing w:before="40" w:after="40" w:line="240" w:lineRule="auto"/>
              <w:jc w:val="center"/>
            </w:pPr>
            <w:r/>
            <w:r>
              <w:rPr>
                <w:rFonts w:ascii="Times New Roman" w:hAnsi="Times New Roman" w:eastAsia="Times New Roman" w:cs="Times New Roman"/>
                <w:b w:val="0"/>
                <w:i w:val="0"/>
                <w:sz w:val="18"/>
              </w:rPr>
              <w:t>0.5268</w:t>
            </w:r>
          </w:p>
        </w:tc>
        <w:tc>
          <w:tcPr>
            <w:tcW w:type="dxa" w:w="1134"/>
          </w:tcPr>
          <w:p>
            <w:pPr>
              <w:spacing w:before="40" w:after="40" w:line="240" w:lineRule="auto"/>
              <w:jc w:val="center"/>
            </w:pPr>
            <w:r/>
            <w:r>
              <w:rPr>
                <w:rFonts w:ascii="Times New Roman" w:hAnsi="Times New Roman" w:eastAsia="Times New Roman" w:cs="Times New Roman"/>
                <w:b w:val="0"/>
                <w:i w:val="0"/>
                <w:sz w:val="18"/>
              </w:rPr>
              <w:t>0.5271</w:t>
            </w:r>
          </w:p>
        </w:tc>
        <w:tc>
          <w:tcPr>
            <w:tcW w:type="dxa" w:w="1134"/>
          </w:tcPr>
          <w:p>
            <w:pPr>
              <w:spacing w:before="40" w:after="40" w:line="240" w:lineRule="auto"/>
              <w:jc w:val="center"/>
            </w:pPr>
            <w:r/>
            <w:r>
              <w:rPr>
                <w:rFonts w:ascii="Times New Roman" w:hAnsi="Times New Roman" w:eastAsia="Times New Roman" w:cs="Times New Roman"/>
                <w:b w:val="0"/>
                <w:i w:val="0"/>
                <w:sz w:val="18"/>
              </w:rPr>
              <w:t>0.5272</w:t>
            </w:r>
          </w:p>
        </w:tc>
        <w:tc>
          <w:tcPr>
            <w:tcW w:type="dxa" w:w="1134"/>
          </w:tcPr>
          <w:p>
            <w:pPr>
              <w:spacing w:before="40" w:after="40" w:line="240" w:lineRule="auto"/>
              <w:jc w:val="center"/>
            </w:pPr>
            <w:r/>
            <w:r>
              <w:rPr>
                <w:rFonts w:ascii="Times New Roman" w:hAnsi="Times New Roman" w:eastAsia="Times New Roman" w:cs="Times New Roman"/>
                <w:b w:val="0"/>
                <w:i w:val="0"/>
                <w:sz w:val="18"/>
              </w:rPr>
              <w:t>0.5220</w:t>
            </w:r>
          </w:p>
        </w:tc>
        <w:tc>
          <w:tcPr>
            <w:tcW w:type="dxa" w:w="1134"/>
          </w:tcPr>
          <w:p>
            <w:pPr>
              <w:spacing w:before="40" w:after="40" w:line="240" w:lineRule="auto"/>
              <w:jc w:val="center"/>
            </w:pPr>
            <w:r/>
            <w:r>
              <w:rPr>
                <w:rFonts w:ascii="Times New Roman" w:hAnsi="Times New Roman" w:eastAsia="Times New Roman" w:cs="Times New Roman"/>
                <w:b w:val="0"/>
                <w:i w:val="0"/>
                <w:sz w:val="18"/>
              </w:rPr>
              <w:t>+0.025 [+0.009, +0.044]</w:t>
            </w:r>
          </w:p>
        </w:tc>
        <w:tc>
          <w:tcPr>
            <w:tcW w:type="dxa" w:w="1134"/>
          </w:tcPr>
          <w:p>
            <w:pPr>
              <w:spacing w:before="40" w:after="40" w:line="240" w:lineRule="auto"/>
              <w:jc w:val="center"/>
            </w:pPr>
            <w:r/>
            <w:r>
              <w:rPr>
                <w:rFonts w:ascii="Times New Roman" w:hAnsi="Times New Roman" w:eastAsia="Times New Roman" w:cs="Times New Roman"/>
                <w:b w:val="0"/>
                <w:i w:val="0"/>
                <w:sz w:val="18"/>
              </w:rPr>
              <w:t>−0.005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0.6771</w:t>
            </w:r>
          </w:p>
        </w:tc>
        <w:tc>
          <w:tcPr>
            <w:tcW w:type="dxa" w:w="1134"/>
          </w:tcPr>
          <w:p>
            <w:pPr>
              <w:spacing w:before="40" w:after="40" w:line="240" w:lineRule="auto"/>
              <w:jc w:val="center"/>
            </w:pPr>
            <w:r/>
            <w:r>
              <w:rPr>
                <w:rFonts w:ascii="Times New Roman" w:hAnsi="Times New Roman" w:eastAsia="Times New Roman" w:cs="Times New Roman"/>
                <w:b w:val="0"/>
                <w:i w:val="0"/>
                <w:sz w:val="18"/>
              </w:rPr>
              <w:t>0.6757</w:t>
            </w:r>
          </w:p>
        </w:tc>
        <w:tc>
          <w:tcPr>
            <w:tcW w:type="dxa" w:w="1134"/>
          </w:tcPr>
          <w:p>
            <w:pPr>
              <w:spacing w:before="40" w:after="40" w:line="240" w:lineRule="auto"/>
              <w:jc w:val="center"/>
            </w:pPr>
            <w:r/>
            <w:r>
              <w:rPr>
                <w:rFonts w:ascii="Times New Roman" w:hAnsi="Times New Roman" w:eastAsia="Times New Roman" w:cs="Times New Roman"/>
                <w:b w:val="0"/>
                <w:i w:val="0"/>
                <w:sz w:val="18"/>
              </w:rPr>
              <w:t>+0.216 [+0.167, +0.265]</w:t>
            </w:r>
          </w:p>
        </w:tc>
        <w:tc>
          <w:tcPr>
            <w:tcW w:type="dxa" w:w="1134"/>
          </w:tcPr>
          <w:p>
            <w:pPr>
              <w:spacing w:before="40" w:after="40" w:line="240" w:lineRule="auto"/>
              <w:jc w:val="center"/>
            </w:pPr>
            <w:r/>
            <w:r>
              <w:rPr>
                <w:rFonts w:ascii="Times New Roman" w:hAnsi="Times New Roman" w:eastAsia="Times New Roman" w:cs="Times New Roman"/>
                <w:b w:val="0"/>
                <w:i w:val="0"/>
                <w:sz w:val="18"/>
              </w:rPr>
              <w:t>−0.001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0.7707</w:t>
            </w:r>
          </w:p>
        </w:tc>
        <w:tc>
          <w:tcPr>
            <w:tcW w:type="dxa" w:w="1134"/>
          </w:tcPr>
          <w:p>
            <w:pPr>
              <w:spacing w:before="40" w:after="40" w:line="240" w:lineRule="auto"/>
              <w:jc w:val="center"/>
            </w:pPr>
            <w:r/>
            <w:r>
              <w:rPr>
                <w:rFonts w:ascii="Times New Roman" w:hAnsi="Times New Roman" w:eastAsia="Times New Roman" w:cs="Times New Roman"/>
                <w:b w:val="0"/>
                <w:i w:val="0"/>
                <w:sz w:val="18"/>
              </w:rPr>
              <w:t>0.7779</w:t>
            </w:r>
          </w:p>
        </w:tc>
        <w:tc>
          <w:tcPr>
            <w:tcW w:type="dxa" w:w="1134"/>
          </w:tcPr>
          <w:p>
            <w:pPr>
              <w:spacing w:before="40" w:after="40" w:line="240" w:lineRule="auto"/>
              <w:jc w:val="center"/>
            </w:pPr>
            <w:r/>
            <w:r>
              <w:rPr>
                <w:rFonts w:ascii="Times New Roman" w:hAnsi="Times New Roman" w:eastAsia="Times New Roman" w:cs="Times New Roman"/>
                <w:b w:val="0"/>
                <w:i w:val="0"/>
                <w:sz w:val="18"/>
              </w:rPr>
              <w:t>+0.008 [+0.004, +0.011]</w:t>
            </w:r>
          </w:p>
        </w:tc>
        <w:tc>
          <w:tcPr>
            <w:tcW w:type="dxa" w:w="1134"/>
          </w:tcPr>
          <w:p>
            <w:pPr>
              <w:spacing w:before="40" w:after="40" w:line="240" w:lineRule="auto"/>
              <w:jc w:val="center"/>
            </w:pPr>
            <w:r/>
            <w:r>
              <w:rPr>
                <w:rFonts w:ascii="Times New Roman" w:hAnsi="Times New Roman" w:eastAsia="Times New Roman" w:cs="Times New Roman"/>
                <w:b w:val="0"/>
                <w:i w:val="0"/>
                <w:sz w:val="18"/>
              </w:rPr>
              <w:t>+0.007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c>
          <w:tcPr>
            <w:tcW w:type="dxa" w:w="1134"/>
          </w:tcPr>
          <w:p>
            <w:pPr>
              <w:spacing w:before="40" w:after="40" w:line="240" w:lineRule="auto"/>
              <w:jc w:val="center"/>
            </w:pPr>
            <w:r/>
            <w:r>
              <w:rPr>
                <w:rFonts w:ascii="Times New Roman" w:hAnsi="Times New Roman" w:eastAsia="Times New Roman" w:cs="Times New Roman"/>
                <w:b w:val="0"/>
                <w:i w:val="0"/>
                <w:sz w:val="18"/>
              </w:rPr>
              <w:t>0.5868</w:t>
            </w:r>
          </w:p>
        </w:tc>
        <w:tc>
          <w:tcPr>
            <w:tcW w:type="dxa" w:w="1134"/>
          </w:tcPr>
          <w:p>
            <w:pPr>
              <w:spacing w:before="40" w:after="40" w:line="240" w:lineRule="auto"/>
              <w:jc w:val="center"/>
            </w:pPr>
            <w:r/>
            <w:r>
              <w:rPr>
                <w:rFonts w:ascii="Times New Roman" w:hAnsi="Times New Roman" w:eastAsia="Times New Roman" w:cs="Times New Roman"/>
                <w:b w:val="0"/>
                <w:i w:val="0"/>
                <w:sz w:val="18"/>
              </w:rPr>
              <w:t>−0.001 [−0.003, +0.002]</w:t>
            </w:r>
          </w:p>
        </w:tc>
        <w:tc>
          <w:tcPr>
            <w:tcW w:type="dxa" w:w="1134"/>
          </w:tcPr>
          <w:p>
            <w:pPr>
              <w:spacing w:before="40" w:after="40" w:line="240" w:lineRule="auto"/>
              <w:jc w:val="center"/>
            </w:pPr>
            <w:r/>
            <w:r>
              <w:rPr>
                <w:rFonts w:ascii="Times New Roman" w:hAnsi="Times New Roman" w:eastAsia="Times New Roman" w:cs="Times New Roman"/>
                <w:b w:val="0"/>
                <w:i w:val="0"/>
                <w:sz w:val="18"/>
              </w:rPr>
              <w:t>+0.001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134"/>
          </w:tcPr>
          <w:p>
            <w:pPr>
              <w:spacing w:before="40" w:after="40" w:line="240" w:lineRule="auto"/>
              <w:jc w:val="left"/>
            </w:pPr>
            <w:r/>
            <w:r>
              <w:rPr>
                <w:rFonts w:ascii="Times New Roman" w:hAnsi="Times New Roman" w:eastAsia="Times New Roman" w:cs="Times New Roman"/>
                <w:b w:val="0"/>
                <w:i w:val="0"/>
                <w:sz w:val="18"/>
              </w:rPr>
              <w:t>0.3613</w:t>
            </w:r>
          </w:p>
        </w:tc>
        <w:tc>
          <w:tcPr>
            <w:tcW w:type="dxa" w:w="1134"/>
          </w:tcPr>
          <w:p>
            <w:pPr>
              <w:spacing w:before="40" w:after="40" w:line="240" w:lineRule="auto"/>
              <w:jc w:val="center"/>
            </w:pPr>
            <w:r/>
            <w:r>
              <w:rPr>
                <w:rFonts w:ascii="Times New Roman" w:hAnsi="Times New Roman" w:eastAsia="Times New Roman" w:cs="Times New Roman"/>
                <w:b w:val="0"/>
                <w:i w:val="0"/>
                <w:sz w:val="18"/>
              </w:rPr>
              <w:t>0.5499</w:t>
            </w:r>
          </w:p>
        </w:tc>
        <w:tc>
          <w:tcPr>
            <w:tcW w:type="dxa" w:w="1134"/>
          </w:tcPr>
          <w:p>
            <w:pPr>
              <w:spacing w:before="40" w:after="40" w:line="240" w:lineRule="auto"/>
              <w:jc w:val="center"/>
            </w:pPr>
            <w:r/>
            <w:r>
              <w:rPr>
                <w:rFonts w:ascii="Times New Roman" w:hAnsi="Times New Roman" w:eastAsia="Times New Roman" w:cs="Times New Roman"/>
                <w:b w:val="0"/>
                <w:i w:val="0"/>
                <w:sz w:val="18"/>
              </w:rPr>
              <w:t>0.5250</w:t>
            </w:r>
          </w:p>
        </w:tc>
        <w:tc>
          <w:tcPr>
            <w:tcW w:type="dxa" w:w="1134"/>
          </w:tcPr>
          <w:p>
            <w:pPr>
              <w:spacing w:before="40" w:after="40" w:line="240" w:lineRule="auto"/>
              <w:jc w:val="center"/>
            </w:pPr>
            <w:r/>
            <w:r>
              <w:rPr>
                <w:rFonts w:ascii="Times New Roman" w:hAnsi="Times New Roman" w:eastAsia="Times New Roman" w:cs="Times New Roman"/>
                <w:b w:val="0"/>
                <w:i w:val="0"/>
                <w:sz w:val="18"/>
              </w:rPr>
              <w:t>0.5475</w:t>
            </w:r>
          </w:p>
        </w:tc>
        <w:tc>
          <w:tcPr>
            <w:tcW w:type="dxa" w:w="1134"/>
          </w:tcPr>
          <w:p>
            <w:pPr>
              <w:spacing w:before="40" w:after="40" w:line="240" w:lineRule="auto"/>
              <w:jc w:val="center"/>
            </w:pPr>
            <w:r/>
            <w:r>
              <w:rPr>
                <w:rFonts w:ascii="Times New Roman" w:hAnsi="Times New Roman" w:eastAsia="Times New Roman" w:cs="Times New Roman"/>
                <w:b w:val="0"/>
                <w:i w:val="0"/>
                <w:sz w:val="18"/>
              </w:rPr>
              <w:t>0.5440</w:t>
            </w:r>
          </w:p>
        </w:tc>
        <w:tc>
          <w:tcPr>
            <w:tcW w:type="dxa" w:w="1134"/>
          </w:tcPr>
          <w:p>
            <w:pPr>
              <w:spacing w:before="40" w:after="40" w:line="240" w:lineRule="auto"/>
              <w:jc w:val="center"/>
            </w:pPr>
            <w:r/>
            <w:r>
              <w:rPr>
                <w:rFonts w:ascii="Times New Roman" w:hAnsi="Times New Roman" w:eastAsia="Times New Roman" w:cs="Times New Roman"/>
                <w:b w:val="0"/>
                <w:i w:val="0"/>
                <w:sz w:val="18"/>
              </w:rPr>
              <w:t>+0.183 [+0.154, +0.212]</w:t>
            </w:r>
          </w:p>
        </w:tc>
        <w:tc>
          <w:tcPr>
            <w:tcW w:type="dxa" w:w="1134"/>
          </w:tcPr>
          <w:p>
            <w:pPr>
              <w:spacing w:before="40" w:after="40" w:line="240" w:lineRule="auto"/>
              <w:jc w:val="center"/>
            </w:pPr>
            <w:r/>
            <w:r>
              <w:rPr>
                <w:rFonts w:ascii="Times New Roman" w:hAnsi="Times New Roman" w:eastAsia="Times New Roman" w:cs="Times New Roman"/>
                <w:b w:val="0"/>
                <w:i w:val="0"/>
                <w:sz w:val="18"/>
              </w:rPr>
              <w:t>−0.004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estimator is positive on four of the five development datasets, indistinguishable from zero on the fifth, and positive on the held-out one. It turns the grasp-and-lift loss of the cumulative mean (−0.115) into a gain of 0.008 and keeps 0.183 of the 0.189 the transductive correction achieves on SEED-IV. Two honest qualifications. First, the </w:t>
      </w:r>
      <w:r>
        <w:rPr>
          <w:rFonts w:ascii="Times New Roman" w:hAnsi="Times New Roman" w:eastAsia="Times New Roman" w:cs="Times New Roman"/>
          <w:b w:val="0"/>
          <w:i/>
          <w:sz w:val="24"/>
        </w:rPr>
        <w:t>weight</w:t>
      </w:r>
      <w:r>
        <w:rPr>
          <w:rFonts w:ascii="Times New Roman" w:hAnsi="Times New Roman" w:eastAsia="Times New Roman" w:cs="Times New Roman"/>
          <w:b w:val="0"/>
          <w:i w:val="0"/>
          <w:sz w:val="24"/>
        </w:rPr>
        <w:t xml:space="preserve"> adds little over the unweighted block mean — +0.005, −0.005, −0.001, +0.007, +0.001 and −0.004 — so the contribution is the block-wise structure, with the weight a refinement that is neutral on average and helps where the blocks disagree. Second, the price is paid where the correction is easy: 0.007 below the cumulative mean on BCI-2b and 0.0025 on SEED.</w:t>
      </w:r>
    </w:p>
    <w:p>
      <w:pPr>
        <w:spacing w:before="0" w:after="0" w:line="480" w:lineRule="auto"/>
        <w:ind w:firstLine="0" w:left="0"/>
        <w:jc w:val="left"/>
      </w:pPr>
      <w:r>
        <w:rPr>
          <w:rFonts w:ascii="Times New Roman" w:hAnsi="Times New Roman" w:eastAsia="Times New Roman" w:cs="Times New Roman"/>
          <w:b/>
          <w:i w:val="0"/>
          <w:sz w:val="24"/>
        </w:rPr>
        <w:t>The block length.</w:t>
      </w:r>
      <w:r>
        <w:rPr>
          <w:rFonts w:ascii="Times New Roman" w:hAnsi="Times New Roman" w:eastAsia="Times New Roman" w:cs="Times New Roman"/>
          <w:b w:val="0"/>
          <w:i w:val="0"/>
          <w:sz w:val="24"/>
        </w:rPr>
        <w:t xml:space="preserve"> Table 6 sweeps the only constant, m, and the choice made by leave-one-family-out: m is selected on three task families and evaluated on the fourth.</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Gain over no correction for Eq. (9), by block length.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4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203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m = 15</w:t>
            </w:r>
          </w:p>
        </w:tc>
        <w:tc>
          <w:tcPr>
            <w:tcW w:type="dxa" w:w="24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 = 25</w:t>
            </w:r>
          </w:p>
        </w:tc>
        <w:tc>
          <w:tcPr>
            <w:tcW w:type="dxa" w:w="2105"/>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 = 50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BCI-2b</w:t>
            </w:r>
          </w:p>
        </w:tc>
        <w:tc>
          <w:tcPr>
            <w:tcW w:type="dxa" w:w="2032"/>
          </w:tcPr>
          <w:p>
            <w:pPr>
              <w:spacing w:before="40" w:after="40" w:line="240" w:lineRule="auto"/>
              <w:jc w:val="left"/>
            </w:pPr>
            <w:r/>
            <w:r>
              <w:rPr>
                <w:rFonts w:ascii="Times New Roman" w:hAnsi="Times New Roman" w:eastAsia="Times New Roman" w:cs="Times New Roman"/>
                <w:b w:val="0"/>
                <w:i w:val="0"/>
                <w:sz w:val="18"/>
              </w:rPr>
              <w:t>+0.027</w:t>
            </w:r>
          </w:p>
        </w:tc>
        <w:tc>
          <w:tcPr>
            <w:tcW w:type="dxa" w:w="2468"/>
          </w:tcPr>
          <w:p>
            <w:pPr>
              <w:spacing w:before="40" w:after="40" w:line="240" w:lineRule="auto"/>
              <w:jc w:val="center"/>
            </w:pPr>
            <w:r/>
            <w:r>
              <w:rPr>
                <w:rFonts w:ascii="Times New Roman" w:hAnsi="Times New Roman" w:eastAsia="Times New Roman" w:cs="Times New Roman"/>
                <w:b w:val="0"/>
                <w:i w:val="0"/>
                <w:sz w:val="18"/>
              </w:rPr>
              <w:t>+0.018</w:t>
            </w:r>
          </w:p>
        </w:tc>
        <w:tc>
          <w:tcPr>
            <w:tcW w:type="dxa" w:w="2105"/>
          </w:tcPr>
          <w:p>
            <w:pPr>
              <w:spacing w:before="40" w:after="40" w:line="240" w:lineRule="auto"/>
              <w:jc w:val="center"/>
            </w:pPr>
            <w:r/>
            <w:r>
              <w:rPr>
                <w:rFonts w:ascii="Times New Roman" w:hAnsi="Times New Roman" w:eastAsia="Times New Roman" w:cs="Times New Roman"/>
                <w:b w:val="0"/>
                <w:i w:val="0"/>
                <w:sz w:val="18"/>
              </w:rPr>
              <w:t>+0.011</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BCI-2a</w:t>
            </w:r>
          </w:p>
        </w:tc>
        <w:tc>
          <w:tcPr>
            <w:tcW w:type="dxa" w:w="2032"/>
          </w:tcPr>
          <w:p>
            <w:pPr>
              <w:spacing w:before="40" w:after="40" w:line="240" w:lineRule="auto"/>
              <w:jc w:val="left"/>
            </w:pPr>
            <w:r/>
            <w:r>
              <w:rPr>
                <w:rFonts w:ascii="Times New Roman" w:hAnsi="Times New Roman" w:eastAsia="Times New Roman" w:cs="Times New Roman"/>
                <w:b w:val="0"/>
                <w:i w:val="0"/>
                <w:sz w:val="18"/>
              </w:rPr>
              <w:t>+0.025</w:t>
            </w:r>
          </w:p>
        </w:tc>
        <w:tc>
          <w:tcPr>
            <w:tcW w:type="dxa" w:w="2468"/>
          </w:tcPr>
          <w:p>
            <w:pPr>
              <w:spacing w:before="40" w:after="40" w:line="240" w:lineRule="auto"/>
              <w:jc w:val="center"/>
            </w:pPr>
            <w:r/>
            <w:r>
              <w:rPr>
                <w:rFonts w:ascii="Times New Roman" w:hAnsi="Times New Roman" w:eastAsia="Times New Roman" w:cs="Times New Roman"/>
                <w:b w:val="0"/>
                <w:i w:val="0"/>
                <w:sz w:val="18"/>
              </w:rPr>
              <w:t>+0.028</w:t>
            </w:r>
          </w:p>
        </w:tc>
        <w:tc>
          <w:tcPr>
            <w:tcW w:type="dxa" w:w="2105"/>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SEED</w:t>
            </w:r>
          </w:p>
        </w:tc>
        <w:tc>
          <w:tcPr>
            <w:tcW w:type="dxa" w:w="2032"/>
          </w:tcPr>
          <w:p>
            <w:pPr>
              <w:spacing w:before="40" w:after="40" w:line="240" w:lineRule="auto"/>
              <w:jc w:val="left"/>
            </w:pPr>
            <w:r/>
            <w:r>
              <w:rPr>
                <w:rFonts w:ascii="Times New Roman" w:hAnsi="Times New Roman" w:eastAsia="Times New Roman" w:cs="Times New Roman"/>
                <w:b w:val="0"/>
                <w:i w:val="0"/>
                <w:sz w:val="18"/>
              </w:rPr>
              <w:t>+0.216</w:t>
            </w:r>
          </w:p>
        </w:tc>
        <w:tc>
          <w:tcPr>
            <w:tcW w:type="dxa" w:w="2468"/>
          </w:tcPr>
          <w:p>
            <w:pPr>
              <w:spacing w:before="40" w:after="40" w:line="240" w:lineRule="auto"/>
              <w:jc w:val="center"/>
            </w:pPr>
            <w:r/>
            <w:r>
              <w:rPr>
                <w:rFonts w:ascii="Times New Roman" w:hAnsi="Times New Roman" w:eastAsia="Times New Roman" w:cs="Times New Roman"/>
                <w:b w:val="0"/>
                <w:i w:val="0"/>
                <w:sz w:val="18"/>
              </w:rPr>
              <w:t>+0.216</w:t>
            </w:r>
          </w:p>
        </w:tc>
        <w:tc>
          <w:tcPr>
            <w:tcW w:type="dxa" w:w="2105"/>
          </w:tcPr>
          <w:p>
            <w:pPr>
              <w:spacing w:before="40" w:after="40" w:line="240" w:lineRule="auto"/>
              <w:jc w:val="center"/>
            </w:pPr>
            <w:r/>
            <w:r>
              <w:rPr>
                <w:rFonts w:ascii="Times New Roman" w:hAnsi="Times New Roman" w:eastAsia="Times New Roman" w:cs="Times New Roman"/>
                <w:b w:val="0"/>
                <w:i w:val="0"/>
                <w:sz w:val="18"/>
              </w:rPr>
              <w:t>+0.219</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2032"/>
          </w:tcPr>
          <w:p>
            <w:pPr>
              <w:spacing w:before="40" w:after="40" w:line="240" w:lineRule="auto"/>
              <w:jc w:val="left"/>
            </w:pPr>
            <w:r/>
            <w:r>
              <w:rPr>
                <w:rFonts w:ascii="Times New Roman" w:hAnsi="Times New Roman" w:eastAsia="Times New Roman" w:cs="Times New Roman"/>
                <w:b w:val="0"/>
                <w:i w:val="0"/>
                <w:sz w:val="18"/>
              </w:rPr>
              <w:t>+0.008</w:t>
            </w:r>
          </w:p>
        </w:tc>
        <w:tc>
          <w:tcPr>
            <w:tcW w:type="dxa" w:w="2468"/>
          </w:tcPr>
          <w:p>
            <w:pPr>
              <w:spacing w:before="40" w:after="40" w:line="240" w:lineRule="auto"/>
              <w:jc w:val="center"/>
            </w:pPr>
            <w:r/>
            <w:r>
              <w:rPr>
                <w:rFonts w:ascii="Times New Roman" w:hAnsi="Times New Roman" w:eastAsia="Times New Roman" w:cs="Times New Roman"/>
                <w:b w:val="0"/>
                <w:i w:val="0"/>
                <w:sz w:val="18"/>
              </w:rPr>
              <w:t>+0.001</w:t>
            </w:r>
          </w:p>
        </w:tc>
        <w:tc>
          <w:tcPr>
            <w:tcW w:type="dxa" w:w="2105"/>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NER2015</w:t>
            </w:r>
          </w:p>
        </w:tc>
        <w:tc>
          <w:tcPr>
            <w:tcW w:type="dxa" w:w="2032"/>
          </w:tcPr>
          <w:p>
            <w:pPr>
              <w:spacing w:before="40" w:after="40" w:line="240" w:lineRule="auto"/>
              <w:jc w:val="left"/>
            </w:pPr>
            <w:r/>
            <w:r>
              <w:rPr>
                <w:rFonts w:ascii="Times New Roman" w:hAnsi="Times New Roman" w:eastAsia="Times New Roman" w:cs="Times New Roman"/>
                <w:b w:val="0"/>
                <w:i w:val="0"/>
                <w:sz w:val="18"/>
              </w:rPr>
              <w:t>−0.001</w:t>
            </w:r>
          </w:p>
        </w:tc>
        <w:tc>
          <w:tcPr>
            <w:tcW w:type="dxa" w:w="2468"/>
          </w:tcPr>
          <w:p>
            <w:pPr>
              <w:spacing w:before="40" w:after="40" w:line="240" w:lineRule="auto"/>
              <w:jc w:val="center"/>
            </w:pPr>
            <w:r/>
            <w:r>
              <w:rPr>
                <w:rFonts w:ascii="Times New Roman" w:hAnsi="Times New Roman" w:eastAsia="Times New Roman" w:cs="Times New Roman"/>
                <w:b w:val="0"/>
                <w:i w:val="0"/>
                <w:sz w:val="18"/>
              </w:rPr>
              <w:t>−0.002</w:t>
            </w:r>
          </w:p>
        </w:tc>
        <w:tc>
          <w:tcPr>
            <w:tcW w:type="dxa" w:w="2105"/>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2032"/>
          </w:tcPr>
          <w:p>
            <w:pPr>
              <w:spacing w:before="40" w:after="40" w:line="240" w:lineRule="auto"/>
              <w:jc w:val="left"/>
            </w:pPr>
            <w:r/>
            <w:r>
              <w:rPr>
                <w:rFonts w:ascii="Times New Roman" w:hAnsi="Times New Roman" w:eastAsia="Times New Roman" w:cs="Times New Roman"/>
                <w:b w:val="0"/>
                <w:i w:val="0"/>
                <w:sz w:val="18"/>
              </w:rPr>
              <w:t>+0.183</w:t>
            </w:r>
          </w:p>
        </w:tc>
        <w:tc>
          <w:tcPr>
            <w:tcW w:type="dxa" w:w="2468"/>
          </w:tcPr>
          <w:p>
            <w:pPr>
              <w:spacing w:before="40" w:after="40" w:line="240" w:lineRule="auto"/>
              <w:jc w:val="center"/>
            </w:pPr>
            <w:r/>
            <w:r>
              <w:rPr>
                <w:rFonts w:ascii="Times New Roman" w:hAnsi="Times New Roman" w:eastAsia="Times New Roman" w:cs="Times New Roman"/>
                <w:b w:val="0"/>
                <w:i w:val="0"/>
                <w:sz w:val="18"/>
              </w:rPr>
              <w:t>+0.176</w:t>
            </w:r>
          </w:p>
        </w:tc>
        <w:tc>
          <w:tcPr>
            <w:tcW w:type="dxa" w:w="2105"/>
          </w:tcPr>
          <w:p>
            <w:pPr>
              <w:spacing w:before="40" w:after="40" w:line="240" w:lineRule="auto"/>
              <w:jc w:val="center"/>
            </w:pPr>
            <w:r/>
            <w:r>
              <w:rPr>
                <w:rFonts w:ascii="Times New Roman" w:hAnsi="Times New Roman" w:eastAsia="Times New Roman" w:cs="Times New Roman"/>
                <w:b w:val="0"/>
                <w:i w:val="0"/>
                <w:sz w:val="18"/>
              </w:rPr>
              <w:t>+0.163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Leave-one-family-out selects m = 15 for all four families and gives +0.026 on motor imagery, +0.216 on emotion, −0.001 on error potentials and +0.008 on movement when that family is held out. The constant therefore transfers across families, and the held-out dataset prefers the same value, which is why m = 15 is the default.</w:t>
      </w:r>
    </w:p>
    <w:p>
      <w:pPr>
        <w:spacing w:before="0" w:after="0" w:line="480" w:lineRule="auto"/>
        <w:ind w:firstLine="0" w:left="0"/>
        <w:jc w:val="left"/>
      </w:pPr>
      <w:r>
        <w:rPr>
          <w:rFonts w:ascii="Times New Roman" w:hAnsi="Times New Roman" w:eastAsia="Times New Roman" w:cs="Times New Roman"/>
          <w:b/>
          <w:i w:val="0"/>
          <w:sz w:val="24"/>
        </w:rPr>
        <w:t>What does not work.</w:t>
      </w:r>
      <w:r>
        <w:rPr>
          <w:rFonts w:ascii="Times New Roman" w:hAnsi="Times New Roman" w:eastAsia="Times New Roman" w:cs="Times New Roman"/>
          <w:b w:val="0"/>
          <w:i w:val="0"/>
          <w:sz w:val="24"/>
        </w:rPr>
        <w:t xml:space="preserve"> Two gates built on amplitude fail: matching the corrected score margins to the source session selects no correction almost everywhere, and a variance ratio that measures block-to-block drift sets the weight to zero exactly where correction is worth 0.22. A PCA concentration measure, in score space or in feature space, degenerates because the source-calibrated null saturates at 1.0 in both. And a dispersion gate built on the exact identity, like a t-statistic gate on the block displacements, loses the same 0.047 on grasp-and-lift that the cumulative mean does. Those failures are why the rule above is continuous and estimated from the same blocks it uses, rather than a threshold applied to a single statistic.</w:t>
      </w:r>
    </w:p>
    <w:p>
      <w:pPr>
        <w:spacing w:before="0" w:after="0" w:line="480" w:lineRule="auto"/>
        <w:ind w:firstLine="0" w:left="0"/>
        <w:jc w:val="left"/>
      </w:pPr>
      <w:r>
        <w:rPr>
          <w:rFonts w:ascii="Times New Roman" w:hAnsi="Times New Roman" w:eastAsia="Times New Roman" w:cs="Times New Roman"/>
          <w:b/>
          <w:i w:val="0"/>
          <w:sz w:val="24"/>
        </w:rPr>
        <w:t>The one-sided patch is the harmful variant, and its cost is measurable.</w:t>
      </w:r>
      <w:r>
        <w:rPr>
          <w:rFonts w:ascii="Times New Roman" w:hAnsi="Times New Roman" w:eastAsia="Times New Roman" w:cs="Times New Roman"/>
          <w:b w:val="0"/>
          <w:i w:val="0"/>
          <w:sz w:val="24"/>
        </w:rPr>
        <w:t xml:space="preserve"> Subtracting the estimate without adding the training mean back (8) costs 0.122 on BCI-2b, 0.047 on BCI-2a, 0.121 on SEED and 0.176 on grasp-and-lift relative to not correcting at all. That is the quantity the theory of Section 2.3 predicts, and it is an order of magnitude larger than the differences between good estimators.</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z_T values within 0.3 of each other on BCI-2b and within 0.01 on grasp-and-lift, which is the point: an equal-norm origin leaves the norm-based statistic essentially unchanged while the penalty moves by 0.13 to 0.31,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spacing w:before="0" w:after="0" w:line="480" w:lineRule="auto"/>
        <w:ind w:firstLine="0" w:left="0"/>
        <w:jc w:val="left"/>
      </w:pPr>
      <w:r>
        <w:rPr>
          <w:rFonts w:ascii="Times New Roman" w:hAnsi="Times New Roman" w:eastAsia="Times New Roman" w:cs="Times New Roman"/>
          <w:b/>
          <w:i w:val="0"/>
          <w:sz w:val="24"/>
        </w:rPr>
        <w:t>The same decomposition on real session shifts.</w:t>
      </w:r>
      <w:r>
        <w:rPr>
          <w:rFonts w:ascii="Times New Roman" w:hAnsi="Times New Roman" w:eastAsia="Times New Roman" w:cs="Times New Roman"/>
          <w:b w:val="0"/>
          <w:i w:val="0"/>
          <w:sz w:val="24"/>
        </w:rPr>
        <w:t xml:space="preserve"> The sweep injects an origin; a session shift is not one. We therefore took the observed shift d = μ_B − μ_A of each cell, set A = P W, and split d into the row space of A and its complement, d∥ = A⁺A d and d⊥ = (I − A⁺A) d, so that d = d∥ + d⊥ and A d⊥ = 0 exactly. The split has to use A and not W: ker(W) is contained in ker(P W) but is generally smaller, so a shift can move the raw scores and still leave every class-score difference untouched, and projecting on W would count it as relevant. By construction only the first can move a decision, and that is what Proposition 3 says; what the data add is that its </w:t>
      </w:r>
      <w:r>
        <w:rPr>
          <w:rFonts w:ascii="Times New Roman" w:hAnsi="Times New Roman" w:eastAsia="Times New Roman" w:cs="Times New Roman"/>
          <w:b w:val="0"/>
          <w:i/>
          <w:sz w:val="24"/>
        </w:rPr>
        <w:t>magnitude</w:t>
      </w:r>
      <w:r>
        <w:rPr>
          <w:rFonts w:ascii="Times New Roman" w:hAnsi="Times New Roman" w:eastAsia="Times New Roman" w:cs="Times New Roman"/>
          <w:b w:val="0"/>
          <w:i w:val="0"/>
          <w:sz w:val="24"/>
        </w:rPr>
        <w:t xml:space="preserve"> does not order the damage: across the 845 cells the rank correlation between ‖A d‖ and the penalty is +0.03, and between ‖d⊥‖ and the penalty +0.08, with within-dataset values between −0.04 and +0.59. The reason is the one Equation (4) gives: the damage is a threshold-crossing function of the shift and of where the threshold sits, not a monotone function of the shift. A real shift therefore does not reproduce the clean sweep, and the paper does not claim that it does — the sweep is a controlled input, the model of Section 2.3 is what connects it to the damage, and the online comparison of Section 4.2 is what connects the model to a deployment.</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617"/>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27"/>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98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7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07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1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617"/>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csp</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0.22</w:t>
            </w:r>
          </w:p>
        </w:tc>
        <w:tc>
          <w:tcPr>
            <w:tcW w:type="dxa" w:w="1078"/>
          </w:tcPr>
          <w:p>
            <w:pPr>
              <w:spacing w:before="40" w:after="40" w:line="240" w:lineRule="auto"/>
              <w:jc w:val="center"/>
            </w:pPr>
            <w:r/>
            <w:r>
              <w:rPr>
                <w:rFonts w:ascii="Times New Roman" w:hAnsi="Times New Roman" w:eastAsia="Times New Roman" w:cs="Times New Roman"/>
                <w:b w:val="0"/>
                <w:i w:val="0"/>
                <w:sz w:val="18"/>
              </w:rPr>
              <w:t>0.068</w:t>
            </w:r>
          </w:p>
        </w:tc>
        <w:tc>
          <w:tcPr>
            <w:tcW w:type="dxa" w:w="1168"/>
          </w:tcPr>
          <w:p>
            <w:pPr>
              <w:spacing w:before="40" w:after="40" w:line="240" w:lineRule="auto"/>
              <w:jc w:val="center"/>
            </w:pPr>
            <w:r/>
            <w:r>
              <w:rPr>
                <w:rFonts w:ascii="Times New Roman" w:hAnsi="Times New Roman" w:eastAsia="Times New Roman" w:cs="Times New Roman"/>
                <w:b w:val="0"/>
                <w:i w:val="0"/>
                <w:sz w:val="18"/>
              </w:rPr>
              <w:t>+0.018</w:t>
            </w:r>
          </w:p>
        </w:tc>
        <w:tc>
          <w:tcPr>
            <w:tcW w:type="dxa" w:w="1617"/>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NER2015</w:t>
            </w:r>
          </w:p>
        </w:tc>
        <w:tc>
          <w:tcPr>
            <w:tcW w:type="dxa" w:w="1527"/>
          </w:tcPr>
          <w:p>
            <w:pPr>
              <w:spacing w:before="40" w:after="40" w:line="240" w:lineRule="auto"/>
              <w:jc w:val="left"/>
            </w:pPr>
            <w:r/>
            <w:r>
              <w:rPr>
                <w:rFonts w:ascii="Times New Roman" w:hAnsi="Times New Roman" w:eastAsia="Times New Roman" w:cs="Times New Roman"/>
                <w:b w:val="0"/>
                <w:i w:val="0"/>
                <w:sz w:val="18"/>
              </w:rPr>
              <w:t>time mean</w:t>
            </w:r>
          </w:p>
        </w:tc>
        <w:tc>
          <w:tcPr>
            <w:tcW w:type="dxa" w:w="988"/>
          </w:tcPr>
          <w:p>
            <w:pPr>
              <w:spacing w:before="40" w:after="40" w:line="240" w:lineRule="auto"/>
              <w:jc w:val="center"/>
            </w:pPr>
            <w:r/>
            <w:r>
              <w:rPr>
                <w:rFonts w:ascii="Times New Roman" w:hAnsi="Times New Roman" w:eastAsia="Times New Roman" w:cs="Times New Roman"/>
                <w:b w:val="0"/>
                <w:i w:val="0"/>
                <w:sz w:val="18"/>
              </w:rPr>
              <w:t>320</w:t>
            </w:r>
          </w:p>
        </w:tc>
        <w:tc>
          <w:tcPr>
            <w:tcW w:type="dxa" w:w="1078"/>
          </w:tcPr>
          <w:p>
            <w:pPr>
              <w:spacing w:before="40" w:after="40" w:line="240" w:lineRule="auto"/>
              <w:jc w:val="center"/>
            </w:pPr>
            <w:r/>
            <w:r>
              <w:rPr>
                <w:rFonts w:ascii="Times New Roman" w:hAnsi="Times New Roman" w:eastAsia="Times New Roman" w:cs="Times New Roman"/>
                <w:b w:val="0"/>
                <w:i w:val="0"/>
                <w:sz w:val="18"/>
              </w:rPr>
              <w:t>0.20</w:t>
            </w:r>
          </w:p>
        </w:tc>
        <w:tc>
          <w:tcPr>
            <w:tcW w:type="dxa" w:w="1078"/>
          </w:tcPr>
          <w:p>
            <w:pPr>
              <w:spacing w:before="40" w:after="40" w:line="240" w:lineRule="auto"/>
              <w:jc w:val="center"/>
            </w:pPr>
            <w:r/>
            <w:r>
              <w:rPr>
                <w:rFonts w:ascii="Times New Roman" w:hAnsi="Times New Roman" w:eastAsia="Times New Roman" w:cs="Times New Roman"/>
                <w:b w:val="0"/>
                <w:i w:val="0"/>
                <w:sz w:val="18"/>
              </w:rPr>
              <w:t>0.230</w:t>
            </w:r>
          </w:p>
        </w:tc>
        <w:tc>
          <w:tcPr>
            <w:tcW w:type="dxa" w:w="1168"/>
          </w:tcPr>
          <w:p>
            <w:pPr>
              <w:spacing w:before="40" w:after="40" w:line="240" w:lineRule="auto"/>
              <w:jc w:val="center"/>
            </w:pPr>
            <w:r/>
            <w:r>
              <w:rPr>
                <w:rFonts w:ascii="Times New Roman" w:hAnsi="Times New Roman" w:eastAsia="Times New Roman" w:cs="Times New Roman"/>
                <w:b w:val="0"/>
                <w:i w:val="0"/>
                <w:sz w:val="18"/>
              </w:rPr>
              <w:t>0.000</w:t>
            </w:r>
          </w:p>
        </w:tc>
        <w:tc>
          <w:tcPr>
            <w:tcW w:type="dxa" w:w="1617"/>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27"/>
          </w:tcPr>
          <w:p>
            <w:pPr>
              <w:spacing w:before="40" w:after="40" w:line="240" w:lineRule="auto"/>
              <w:jc w:val="left"/>
            </w:pPr>
            <w:r/>
            <w:r>
              <w:rPr>
                <w:rFonts w:ascii="Times New Roman" w:hAnsi="Times New Roman" w:eastAsia="Times New Roman" w:cs="Times New Roman"/>
                <w:b w:val="0"/>
                <w:i w:val="0"/>
                <w:sz w:val="18"/>
              </w:rPr>
              <w:t>log power</w:t>
            </w:r>
          </w:p>
        </w:tc>
        <w:tc>
          <w:tcPr>
            <w:tcW w:type="dxa" w:w="988"/>
          </w:tcPr>
          <w:p>
            <w:pPr>
              <w:spacing w:before="40" w:after="40" w:line="240" w:lineRule="auto"/>
              <w:jc w:val="center"/>
            </w:pPr>
            <w:r/>
            <w:r>
              <w:rPr>
                <w:rFonts w:ascii="Times New Roman" w:hAnsi="Times New Roman" w:eastAsia="Times New Roman" w:cs="Times New Roman"/>
                <w:b w:val="0"/>
                <w:i w:val="0"/>
                <w:sz w:val="18"/>
              </w:rPr>
              <w:t>336</w:t>
            </w:r>
          </w:p>
        </w:tc>
        <w:tc>
          <w:tcPr>
            <w:tcW w:type="dxa" w:w="1078"/>
          </w:tcPr>
          <w:p>
            <w:pPr>
              <w:spacing w:before="40" w:after="40" w:line="240" w:lineRule="auto"/>
              <w:jc w:val="center"/>
            </w:pPr>
            <w:r/>
            <w:r>
              <w:rPr>
                <w:rFonts w:ascii="Times New Roman" w:hAnsi="Times New Roman" w:eastAsia="Times New Roman" w:cs="Times New Roman"/>
                <w:b w:val="0"/>
                <w:i w:val="0"/>
                <w:sz w:val="18"/>
              </w:rPr>
              <w:t>0.25</w:t>
            </w:r>
          </w:p>
        </w:tc>
        <w:tc>
          <w:tcPr>
            <w:tcW w:type="dxa" w:w="1078"/>
          </w:tcPr>
          <w:p>
            <w:pPr>
              <w:spacing w:before="40" w:after="40" w:line="240" w:lineRule="auto"/>
              <w:jc w:val="center"/>
            </w:pPr>
            <w:r/>
            <w:r>
              <w:rPr>
                <w:rFonts w:ascii="Times New Roman" w:hAnsi="Times New Roman" w:eastAsia="Times New Roman" w:cs="Times New Roman"/>
                <w:b w:val="0"/>
                <w:i w:val="0"/>
                <w:sz w:val="18"/>
              </w:rPr>
              <w:t>0.289</w:t>
            </w:r>
          </w:p>
        </w:tc>
        <w:tc>
          <w:tcPr>
            <w:tcW w:type="dxa" w:w="1168"/>
          </w:tcPr>
          <w:p>
            <w:pPr>
              <w:spacing w:before="40" w:after="40" w:line="240" w:lineRule="auto"/>
              <w:jc w:val="center"/>
            </w:pPr>
            <w:r/>
            <w:r>
              <w:rPr>
                <w:rFonts w:ascii="Times New Roman" w:hAnsi="Times New Roman" w:eastAsia="Times New Roman" w:cs="Times New Roman"/>
                <w:b w:val="0"/>
                <w:i w:val="0"/>
                <w:sz w:val="18"/>
              </w:rPr>
              <w:t>−0.015</w:t>
            </w:r>
          </w:p>
        </w:tc>
        <w:tc>
          <w:tcPr>
            <w:tcW w:type="dxa" w:w="1617"/>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csp</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0.40</w:t>
            </w:r>
          </w:p>
        </w:tc>
        <w:tc>
          <w:tcPr>
            <w:tcW w:type="dxa" w:w="1078"/>
          </w:tcPr>
          <w:p>
            <w:pPr>
              <w:spacing w:before="40" w:after="40" w:line="240" w:lineRule="auto"/>
              <w:jc w:val="center"/>
            </w:pPr>
            <w:r/>
            <w:r>
              <w:rPr>
                <w:rFonts w:ascii="Times New Roman" w:hAnsi="Times New Roman" w:eastAsia="Times New Roman" w:cs="Times New Roman"/>
                <w:b w:val="0"/>
                <w:i w:val="0"/>
                <w:sz w:val="18"/>
              </w:rPr>
              <w:t>0.287</w:t>
            </w:r>
          </w:p>
        </w:tc>
        <w:tc>
          <w:tcPr>
            <w:tcW w:type="dxa" w:w="1168"/>
          </w:tcPr>
          <w:p>
            <w:pPr>
              <w:spacing w:before="40" w:after="40" w:line="240" w:lineRule="auto"/>
              <w:jc w:val="center"/>
            </w:pPr>
            <w:r/>
            <w:r>
              <w:rPr>
                <w:rFonts w:ascii="Times New Roman" w:hAnsi="Times New Roman" w:eastAsia="Times New Roman" w:cs="Times New Roman"/>
                <w:b w:val="0"/>
                <w:i w:val="0"/>
                <w:sz w:val="18"/>
              </w:rPr>
              <w:t>+0.024</w:t>
            </w:r>
          </w:p>
        </w:tc>
        <w:tc>
          <w:tcPr>
            <w:tcW w:type="dxa" w:w="1617"/>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tan †</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0.37</w:t>
            </w:r>
          </w:p>
        </w:tc>
        <w:tc>
          <w:tcPr>
            <w:tcW w:type="dxa" w:w="1078"/>
          </w:tcPr>
          <w:p>
            <w:pPr>
              <w:spacing w:before="40" w:after="40" w:line="240" w:lineRule="auto"/>
              <w:jc w:val="center"/>
            </w:pPr>
            <w:r/>
            <w:r>
              <w:rPr>
                <w:rFonts w:ascii="Times New Roman" w:hAnsi="Times New Roman" w:eastAsia="Times New Roman" w:cs="Times New Roman"/>
                <w:b w:val="0"/>
                <w:i w:val="0"/>
                <w:sz w:val="18"/>
              </w:rPr>
              <w:t>0.309</w:t>
            </w:r>
          </w:p>
        </w:tc>
        <w:tc>
          <w:tcPr>
            <w:tcW w:type="dxa" w:w="1168"/>
          </w:tcPr>
          <w:p>
            <w:pPr>
              <w:spacing w:before="40" w:after="40" w:line="240" w:lineRule="auto"/>
              <w:jc w:val="center"/>
            </w:pPr>
            <w:r/>
            <w:r>
              <w:rPr>
                <w:rFonts w:ascii="Times New Roman" w:hAnsi="Times New Roman" w:eastAsia="Times New Roman" w:cs="Times New Roman"/>
                <w:b w:val="0"/>
                <w:i w:val="0"/>
                <w:sz w:val="18"/>
              </w:rPr>
              <w:t>+0.014</w:t>
            </w:r>
          </w:p>
        </w:tc>
        <w:tc>
          <w:tcPr>
            <w:tcW w:type="dxa" w:w="1617"/>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euc_ea †</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0.64</w:t>
            </w:r>
          </w:p>
        </w:tc>
        <w:tc>
          <w:tcPr>
            <w:tcW w:type="dxa" w:w="1078"/>
          </w:tcPr>
          <w:p>
            <w:pPr>
              <w:spacing w:before="40" w:after="40" w:line="240" w:lineRule="auto"/>
              <w:jc w:val="center"/>
            </w:pPr>
            <w:r/>
            <w:r>
              <w:rPr>
                <w:rFonts w:ascii="Times New Roman" w:hAnsi="Times New Roman" w:eastAsia="Times New Roman" w:cs="Times New Roman"/>
                <w:b w:val="0"/>
                <w:i w:val="0"/>
                <w:sz w:val="18"/>
              </w:rPr>
              <w:t>0.597</w:t>
            </w:r>
          </w:p>
        </w:tc>
        <w:tc>
          <w:tcPr>
            <w:tcW w:type="dxa" w:w="1168"/>
          </w:tcPr>
          <w:p>
            <w:pPr>
              <w:spacing w:before="40" w:after="40" w:line="240" w:lineRule="auto"/>
              <w:jc w:val="center"/>
            </w:pPr>
            <w:r/>
            <w:r>
              <w:rPr>
                <w:rFonts w:ascii="Times New Roman" w:hAnsi="Times New Roman" w:eastAsia="Times New Roman" w:cs="Times New Roman"/>
                <w:b w:val="0"/>
                <w:i w:val="0"/>
                <w:sz w:val="18"/>
              </w:rPr>
              <w:t>−0.014</w:t>
            </w:r>
          </w:p>
        </w:tc>
        <w:tc>
          <w:tcPr>
            <w:tcW w:type="dxa" w:w="1617"/>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euc</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7.87</w:t>
            </w:r>
          </w:p>
        </w:tc>
        <w:tc>
          <w:tcPr>
            <w:tcW w:type="dxa" w:w="1078"/>
          </w:tcPr>
          <w:p>
            <w:pPr>
              <w:spacing w:before="40" w:after="40" w:line="240" w:lineRule="auto"/>
              <w:jc w:val="center"/>
            </w:pPr>
            <w:r/>
            <w:r>
              <w:rPr>
                <w:rFonts w:ascii="Times New Roman" w:hAnsi="Times New Roman" w:eastAsia="Times New Roman" w:cs="Times New Roman"/>
                <w:b w:val="0"/>
                <w:i w:val="0"/>
                <w:sz w:val="18"/>
              </w:rPr>
              <w:t>4.399</w:t>
            </w:r>
          </w:p>
        </w:tc>
        <w:tc>
          <w:tcPr>
            <w:tcW w:type="dxa" w:w="1168"/>
          </w:tcPr>
          <w:p>
            <w:pPr>
              <w:spacing w:before="40" w:after="40" w:line="240" w:lineRule="auto"/>
              <w:jc w:val="center"/>
            </w:pPr>
            <w:r/>
            <w:r>
              <w:rPr>
                <w:rFonts w:ascii="Times New Roman" w:hAnsi="Times New Roman" w:eastAsia="Times New Roman" w:cs="Times New Roman"/>
                <w:b w:val="0"/>
                <w:i w:val="0"/>
                <w:sz w:val="18"/>
              </w:rPr>
              <w:t>−0.184</w:t>
            </w:r>
          </w:p>
        </w:tc>
        <w:tc>
          <w:tcPr>
            <w:tcW w:type="dxa" w:w="1617"/>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tan †</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21.2</w:t>
            </w:r>
          </w:p>
        </w:tc>
        <w:tc>
          <w:tcPr>
            <w:tcW w:type="dxa" w:w="1078"/>
          </w:tcPr>
          <w:p>
            <w:pPr>
              <w:spacing w:before="40" w:after="40" w:line="240" w:lineRule="auto"/>
              <w:jc w:val="center"/>
            </w:pPr>
            <w:r/>
            <w:r>
              <w:rPr>
                <w:rFonts w:ascii="Times New Roman" w:hAnsi="Times New Roman" w:eastAsia="Times New Roman" w:cs="Times New Roman"/>
                <w:b w:val="0"/>
                <w:i w:val="0"/>
                <w:sz w:val="18"/>
              </w:rPr>
              <w:t>5.117</w:t>
            </w:r>
          </w:p>
        </w:tc>
        <w:tc>
          <w:tcPr>
            <w:tcW w:type="dxa" w:w="1168"/>
          </w:tcPr>
          <w:p>
            <w:pPr>
              <w:spacing w:before="40" w:after="40" w:line="240" w:lineRule="auto"/>
              <w:jc w:val="center"/>
            </w:pPr>
            <w:r/>
            <w:r>
              <w:rPr>
                <w:rFonts w:ascii="Times New Roman" w:hAnsi="Times New Roman" w:eastAsia="Times New Roman" w:cs="Times New Roman"/>
                <w:b w:val="0"/>
                <w:i w:val="0"/>
                <w:sz w:val="18"/>
              </w:rPr>
              <w:t>−0.160</w:t>
            </w:r>
          </w:p>
        </w:tc>
        <w:tc>
          <w:tcPr>
            <w:tcW w:type="dxa" w:w="1617"/>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euc_ea †</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14.2</w:t>
            </w:r>
          </w:p>
        </w:tc>
        <w:tc>
          <w:tcPr>
            <w:tcW w:type="dxa" w:w="1078"/>
          </w:tcPr>
          <w:p>
            <w:pPr>
              <w:spacing w:before="40" w:after="40" w:line="240" w:lineRule="auto"/>
              <w:jc w:val="center"/>
            </w:pPr>
            <w:r/>
            <w:r>
              <w:rPr>
                <w:rFonts w:ascii="Times New Roman" w:hAnsi="Times New Roman" w:eastAsia="Times New Roman" w:cs="Times New Roman"/>
                <w:b w:val="0"/>
                <w:i w:val="0"/>
                <w:sz w:val="18"/>
              </w:rPr>
              <w:t>5.405</w:t>
            </w:r>
          </w:p>
        </w:tc>
        <w:tc>
          <w:tcPr>
            <w:tcW w:type="dxa" w:w="1168"/>
          </w:tcPr>
          <w:p>
            <w:pPr>
              <w:spacing w:before="40" w:after="40" w:line="240" w:lineRule="auto"/>
              <w:jc w:val="center"/>
            </w:pPr>
            <w:r/>
            <w:r>
              <w:rPr>
                <w:rFonts w:ascii="Times New Roman" w:hAnsi="Times New Roman" w:eastAsia="Times New Roman" w:cs="Times New Roman"/>
                <w:b w:val="0"/>
                <w:i w:val="0"/>
                <w:sz w:val="18"/>
              </w:rPr>
              <w:t>−0.137</w:t>
            </w:r>
          </w:p>
        </w:tc>
        <w:tc>
          <w:tcPr>
            <w:tcW w:type="dxa" w:w="1617"/>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SEED</w:t>
            </w:r>
          </w:p>
        </w:tc>
        <w:tc>
          <w:tcPr>
            <w:tcW w:type="dxa" w:w="1527"/>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988"/>
          </w:tcPr>
          <w:p>
            <w:pPr>
              <w:spacing w:before="40" w:after="40" w:line="240" w:lineRule="auto"/>
              <w:jc w:val="center"/>
            </w:pPr>
            <w:r/>
            <w:r>
              <w:rPr>
                <w:rFonts w:ascii="Times New Roman" w:hAnsi="Times New Roman" w:eastAsia="Times New Roman" w:cs="Times New Roman"/>
                <w:b w:val="0"/>
                <w:i w:val="0"/>
                <w:sz w:val="18"/>
              </w:rPr>
              <w:t>45</w:t>
            </w:r>
          </w:p>
        </w:tc>
        <w:tc>
          <w:tcPr>
            <w:tcW w:type="dxa" w:w="1078"/>
          </w:tcPr>
          <w:p>
            <w:pPr>
              <w:spacing w:before="40" w:after="40" w:line="240" w:lineRule="auto"/>
              <w:jc w:val="center"/>
            </w:pPr>
            <w:r/>
            <w:r>
              <w:rPr>
                <w:rFonts w:ascii="Times New Roman" w:hAnsi="Times New Roman" w:eastAsia="Times New Roman" w:cs="Times New Roman"/>
                <w:b w:val="0"/>
                <w:i w:val="0"/>
                <w:sz w:val="18"/>
              </w:rPr>
              <w:t>34.2</w:t>
            </w:r>
          </w:p>
        </w:tc>
        <w:tc>
          <w:tcPr>
            <w:tcW w:type="dxa" w:w="1078"/>
          </w:tcPr>
          <w:p>
            <w:pPr>
              <w:spacing w:before="40" w:after="40" w:line="240" w:lineRule="auto"/>
              <w:jc w:val="center"/>
            </w:pPr>
            <w:r/>
            <w:r>
              <w:rPr>
                <w:rFonts w:ascii="Times New Roman" w:hAnsi="Times New Roman" w:eastAsia="Times New Roman" w:cs="Times New Roman"/>
                <w:b w:val="0"/>
                <w:i w:val="0"/>
                <w:sz w:val="18"/>
              </w:rPr>
              <w:t>12.36</w:t>
            </w:r>
          </w:p>
        </w:tc>
        <w:tc>
          <w:tcPr>
            <w:tcW w:type="dxa" w:w="1168"/>
          </w:tcPr>
          <w:p>
            <w:pPr>
              <w:spacing w:before="40" w:after="40" w:line="240" w:lineRule="auto"/>
              <w:jc w:val="center"/>
            </w:pPr>
            <w:r/>
            <w:r>
              <w:rPr>
                <w:rFonts w:ascii="Times New Roman" w:hAnsi="Times New Roman" w:eastAsia="Times New Roman" w:cs="Times New Roman"/>
                <w:b w:val="0"/>
                <w:i w:val="0"/>
                <w:sz w:val="18"/>
              </w:rPr>
              <w:t>−0.029</w:t>
            </w:r>
          </w:p>
        </w:tc>
        <w:tc>
          <w:tcPr>
            <w:tcW w:type="dxa" w:w="1617"/>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euc</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57.1</w:t>
            </w:r>
          </w:p>
        </w:tc>
        <w:tc>
          <w:tcPr>
            <w:tcW w:type="dxa" w:w="1078"/>
          </w:tcPr>
          <w:p>
            <w:pPr>
              <w:spacing w:before="40" w:after="40" w:line="240" w:lineRule="auto"/>
              <w:jc w:val="center"/>
            </w:pPr>
            <w:r/>
            <w:r>
              <w:rPr>
                <w:rFonts w:ascii="Times New Roman" w:hAnsi="Times New Roman" w:eastAsia="Times New Roman" w:cs="Times New Roman"/>
                <w:b w:val="0"/>
                <w:i w:val="0"/>
                <w:sz w:val="18"/>
              </w:rPr>
              <w:t>23.31</w:t>
            </w:r>
          </w:p>
        </w:tc>
        <w:tc>
          <w:tcPr>
            <w:tcW w:type="dxa" w:w="1168"/>
          </w:tcPr>
          <w:p>
            <w:pPr>
              <w:spacing w:before="40" w:after="40" w:line="240" w:lineRule="auto"/>
              <w:jc w:val="center"/>
            </w:pPr>
            <w:r/>
            <w:r>
              <w:rPr>
                <w:rFonts w:ascii="Times New Roman" w:hAnsi="Times New Roman" w:eastAsia="Times New Roman" w:cs="Times New Roman"/>
                <w:b w:val="0"/>
                <w:i w:val="0"/>
                <w:sz w:val="18"/>
              </w:rPr>
              <w:t>−0.186</w:t>
            </w:r>
          </w:p>
        </w:tc>
        <w:tc>
          <w:tcPr>
            <w:tcW w:type="dxa" w:w="1617"/>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12.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and the median is reported beside the mean, not inside that interval.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Six properties are checked by an executable test.</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tests_properties.py</w:t>
      </w:r>
      <w:r>
        <w:rPr>
          <w:rFonts w:ascii="Times New Roman" w:hAnsi="Times New Roman" w:eastAsia="Times New Roman" w:cs="Times New Roman"/>
          <w:b w:val="0"/>
          <w:i w:val="0"/>
          <w:sz w:val="24"/>
        </w:rPr>
        <w:t xml:space="preserve"> asserts, on a real cell of BCI-2b, that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give identical predictions sample by sample; that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do; that the feature-space and score-space corrections agree to 1e-10; that z_w is invariant to a class-common score term to 1e-12; that the collapse identity is consistent with the observed collapse; and that the causal mean at trial t is unchanged when every later trial is replaced by noise. All six pass, and the script prints one line per property.</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13.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stores a scaling estimated on the data given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(a fixed per-channel-type scaling by default, a fitted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in the </w:t>
            </w:r>
            <w:r>
              <w:rPr>
                <w:rFonts w:ascii="Courier New" w:hAnsi="Courier New" w:eastAsia="Courier New" w:cs="Courier New"/>
                <w:b w:val="0"/>
                <w:i w:val="0"/>
                <w:sz w:val="18"/>
              </w:rPr>
              <w:t>scalings='mean'</w:t>
            </w:r>
            <w:r>
              <w:rPr>
                <w:rFonts w:ascii="Times New Roman" w:hAnsi="Times New Roman" w:eastAsia="Times New Roman" w:cs="Times New Roman"/>
                <w:b w:val="0"/>
                <w:i w:val="0"/>
                <w:sz w:val="18"/>
              </w:rPr>
              <w:t xml:space="preserve"> mode) and applies it in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causal experiment of Section 4.2 maps the limit: a cumulative estimate recovers the transductive gain on BCI-2b, BCI-2a and SEED, loses 0.115 on grasp-and-lift because the mean drifts within the session, and the shrunk cumulative mean loses least among the fixed rules while still losing 0.024 on grasp-and-lift, where the block-wise rule of (9) gains 0.008. A causal reference does not remove the need for calibration; it changes what a calibration failure looks like.</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comparison adds to a textbook statement is a measured boundary and a rule. The correction is exact for its own component, it composes with second-order alignment, and it can be transported to the decision space of a frozen model; it restores neither the observed cross-protocol difference nor a calibration that the wrong convention destroyed. The rule follows from what the comparison shows: no fixed memory is safe, because a window loses on block structure and a cumulative mean loses on within-session drift, so the estimator that is safe on both is the one whose memory is set by its own scatter — the mean of the blocks already seen, weighted by the share of it that is signal rather than block-to-block noise. It keeps the gain where the correction is stable, gives it up where the mean drifts, and is the only rule we tested that is non-negative on all five development datasets and positive on the held-out sixth.</w:t>
      </w:r>
    </w:p>
    <w:p>
      <w:pPr>
        <w:spacing w:before="0" w:after="0" w:line="480" w:lineRule="auto"/>
        <w:ind w:firstLine="0" w:left="0"/>
        <w:jc w:val="left"/>
      </w:pPr>
      <w:r>
        <w:rPr>
          <w:rFonts w:ascii="Times New Roman" w:hAnsi="Times New Roman" w:eastAsia="Times New Roman" w:cs="Times New Roman"/>
          <w:b w:val="0"/>
          <w:i w:val="0"/>
          <w:sz w:val="24"/>
        </w:rPr>
        <w:t>What remains open is narrow and we state it as such. The held-out dataset belongs to the same emotion paradigm as SEED, so the external validation is within a family; a genuinely independent task would strengthen it, and we did not have one. A source-only statistic computed before the target session exists ranks feature families but does not screen sessions, and four threshold gates failed to decide the question the continuous weight answers by degree. The comparison with an oracle weight (0.01 to 0.05 per dataset) is the measure of what deciding from the stream rather than from labels still costs.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ee6e1eebfe),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