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117FF03B" w:rsidR="00EA06A9" w:rsidRDefault="00C87DC9" w:rsidP="00136FFC">
      <w:pPr>
        <w:jc w:val="center"/>
        <w:rPr>
          <w:rFonts w:ascii="Times New Roman" w:hAnsi="Times New Roman" w:cs="Times New Roman"/>
        </w:rPr>
      </w:pPr>
      <w:r w:rsidRPr="009B66FD">
        <w:rPr>
          <w:rFonts w:ascii="Times New Roman" w:hAnsi="Times New Roman" w:cs="Times New Roman"/>
        </w:rPr>
        <w:t>December</w:t>
      </w:r>
      <w:r w:rsidR="00136FFC" w:rsidRPr="009B66FD">
        <w:rPr>
          <w:rFonts w:ascii="Times New Roman" w:hAnsi="Times New Roman" w:cs="Times New Roman"/>
        </w:rPr>
        <w:t xml:space="preserve"> 2</w:t>
      </w:r>
      <w:r w:rsidRPr="009B66FD">
        <w:rPr>
          <w:rFonts w:ascii="Times New Roman" w:hAnsi="Times New Roman" w:cs="Times New Roman"/>
        </w:rPr>
        <w:t>0</w:t>
      </w:r>
      <w:r w:rsidR="00136FFC" w:rsidRPr="009B66FD">
        <w:rPr>
          <w:rFonts w:ascii="Times New Roman" w:hAnsi="Times New Roman" w:cs="Times New Roman"/>
        </w:rPr>
        <w:t>,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47809810" w:rsidR="00BE6D42" w:rsidRDefault="00BE6D42" w:rsidP="00136FFC">
      <w:pPr>
        <w:pStyle w:val="NormalWeb"/>
        <w:rPr>
          <w:rFonts w:ascii="TimesNewRomanPSMT" w:hAnsi="TimesNewRomanPSMT"/>
          <w:b/>
          <w:bCs/>
        </w:rPr>
      </w:pPr>
      <w:commentRangeStart w:id="0"/>
      <w:r>
        <w:rPr>
          <w:rFonts w:ascii="TimesNewRomanPSMT" w:hAnsi="TimesNewRomanPSMT"/>
          <w:b/>
          <w:bCs/>
        </w:rPr>
        <w:lastRenderedPageBreak/>
        <w:t xml:space="preserve">Context </w:t>
      </w:r>
      <w:commentRangeEnd w:id="0"/>
      <w:r w:rsidR="00F66BFE">
        <w:rPr>
          <w:rStyle w:val="CommentReference"/>
          <w:rFonts w:asciiTheme="minorHAnsi" w:eastAsiaTheme="minorHAnsi" w:hAnsiTheme="minorHAnsi" w:cstheme="minorBidi"/>
        </w:rPr>
        <w:commentReference w:id="0"/>
      </w:r>
    </w:p>
    <w:p w14:paraId="4C02AFD6" w14:textId="6EC67024" w:rsidR="00626C40" w:rsidRDefault="00626C40" w:rsidP="00136FFC">
      <w:pPr>
        <w:pStyle w:val="NormalWeb"/>
        <w:rPr>
          <w:b/>
          <w:bCs/>
        </w:rPr>
      </w:pPr>
      <w:commentRangeStart w:id="1"/>
      <w:r>
        <w:rPr>
          <w:rFonts w:ascii="TimesNewRomanPSMT" w:hAnsi="TimesNewRomanPSMT"/>
          <w:b/>
          <w:bCs/>
        </w:rPr>
        <w:t>Introduction</w:t>
      </w:r>
      <w:commentRangeEnd w:id="1"/>
      <w:r w:rsidR="00C167BA">
        <w:rPr>
          <w:rStyle w:val="CommentReference"/>
          <w:rFonts w:asciiTheme="minorHAnsi" w:eastAsiaTheme="minorHAnsi" w:hAnsiTheme="minorHAnsi" w:cstheme="minorBidi"/>
        </w:rPr>
        <w:commentReference w:id="1"/>
      </w:r>
    </w:p>
    <w:p w14:paraId="6B83E6EC" w14:textId="01FC4F73"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w:t>
      </w:r>
      <w:r w:rsidR="00485C1A">
        <w:t xml:space="preserve">prior </w:t>
      </w:r>
      <w:r w:rsidR="00CE1F28">
        <w:t>GPA</w:t>
      </w:r>
      <w:r w:rsidR="00485C1A">
        <w:t xml:space="preserve"> and </w:t>
      </w:r>
      <w:r w:rsidR="00CE1F28">
        <w:t xml:space="preserve">SAT scores, </w:t>
      </w:r>
      <w:r w:rsidR="00485C1A">
        <w:t>as well as pr</w:t>
      </w:r>
      <w:r w:rsidR="00626C40">
        <w:t>ior</w:t>
      </w:r>
      <w:r w:rsidR="00CE1F28">
        <w:t xml:space="preserve"> student credit hours. </w:t>
      </w:r>
    </w:p>
    <w:p w14:paraId="7695D6A0" w14:textId="5F83739C" w:rsidR="00EA06A9" w:rsidRPr="00455158" w:rsidRDefault="005338BF" w:rsidP="008731A9">
      <w:pPr>
        <w:pStyle w:val="NormalWeb"/>
        <w:ind w:firstLine="720"/>
        <w:contextualSpacing/>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774AE3">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2013)","previouslyFormattedCitation":"(Bowen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w:t>
      </w:r>
      <w:r w:rsidR="00C167BA">
        <w:t xml:space="preserve"> of research on hybrid and virtual learning effectiveness, this paper replicates</w:t>
      </w:r>
      <w:r w:rsidR="00785832">
        <w:t xml:space="preserve"> Alpert et al. (2016)’s</w:t>
      </w:r>
      <w:r w:rsidR="00C167BA">
        <w:t xml:space="preserve"> analysis to evaluate researchers’ original findings. Specifically, </w:t>
      </w:r>
      <w:r>
        <w:t>I will examine</w:t>
      </w:r>
      <w:r w:rsidR="00455158">
        <w:t xml:space="preserve"> the</w:t>
      </w:r>
      <w:r>
        <w:t xml:space="preserve"> effect of instructional format on </w:t>
      </w:r>
      <w:r w:rsidR="00EB55EA">
        <w:t>the final course grades that students receiv</w:t>
      </w:r>
      <w:r w:rsidR="00455158">
        <w:t xml:space="preserve">ed </w:t>
      </w:r>
      <w:r w:rsidR="008731A9">
        <w:t>(RQ1). In addition, GPA will be incorporated as a covariate in the relationship between instructional format and final grades. (RQ2). Finally</w:t>
      </w:r>
      <w:r w:rsidR="00455158">
        <w:t>,</w:t>
      </w:r>
      <w:r w:rsidR="00262F15">
        <w:t xml:space="preserve"> multiple comparisons </w:t>
      </w:r>
      <w:r>
        <w:t>will be conducted to examine</w:t>
      </w:r>
      <w:r w:rsidR="00262F15">
        <w:t xml:space="preserve"> pairwise</w:t>
      </w:r>
      <w:r>
        <w:t xml:space="preserve"> </w:t>
      </w:r>
      <w:r w:rsidR="00262F15">
        <w:t>differences in adjus</w:t>
      </w:r>
      <w:r w:rsidR="00156FFD">
        <w:t>ted</w:t>
      </w:r>
      <w:r w:rsidR="00262F15">
        <w:t xml:space="preserve"> group means for final course grades conditioned on prior GPA</w:t>
      </w:r>
      <w:r w:rsidR="00156FFD">
        <w:t xml:space="preserve">. </w:t>
      </w:r>
      <w:r w:rsidR="00EB55EA">
        <w:t xml:space="preserve"> </w:t>
      </w:r>
    </w:p>
    <w:p w14:paraId="254FCFFC" w14:textId="4DC90CAA" w:rsidR="00136FFC" w:rsidRDefault="00136FFC" w:rsidP="00136FFC">
      <w:pPr>
        <w:pStyle w:val="NormalWeb"/>
        <w:contextualSpacing/>
        <w:rPr>
          <w:b/>
          <w:bCs/>
        </w:rPr>
      </w:pPr>
    </w:p>
    <w:p w14:paraId="34F7ABB4" w14:textId="5E681B61" w:rsidR="00626C40" w:rsidRDefault="00626C40" w:rsidP="00136FFC">
      <w:pPr>
        <w:pStyle w:val="NormalWeb"/>
        <w:contextualSpacing/>
        <w:rPr>
          <w:b/>
          <w:bCs/>
        </w:rPr>
      </w:pPr>
      <w:r>
        <w:rPr>
          <w:b/>
          <w:bCs/>
        </w:rPr>
        <w:t xml:space="preserve">Methods </w:t>
      </w:r>
    </w:p>
    <w:p w14:paraId="5AEF35AC" w14:textId="70F3E15A" w:rsidR="00626C40" w:rsidRDefault="00626C40" w:rsidP="00136FFC">
      <w:pPr>
        <w:pStyle w:val="NormalWeb"/>
        <w:contextualSpacing/>
        <w:rPr>
          <w:b/>
          <w:bCs/>
        </w:rPr>
      </w:pPr>
    </w:p>
    <w:p w14:paraId="3D1DE6CD" w14:textId="12BAEAAA" w:rsidR="00626C40" w:rsidRPr="000766DB" w:rsidRDefault="00626C40" w:rsidP="00626C40">
      <w:pPr>
        <w:pStyle w:val="NormalWeb"/>
        <w:numPr>
          <w:ilvl w:val="0"/>
          <w:numId w:val="8"/>
        </w:numPr>
        <w:contextualSpacing/>
        <w:rPr>
          <w:color w:val="FF0000"/>
        </w:rPr>
      </w:pPr>
      <w:r w:rsidRPr="000766DB">
        <w:rPr>
          <w:color w:val="FF0000"/>
        </w:rPr>
        <w:t xml:space="preserve">describe how were data collected </w:t>
      </w:r>
    </w:p>
    <w:p w14:paraId="797DED02" w14:textId="77777777" w:rsidR="009B66FD" w:rsidRDefault="009B66FD" w:rsidP="009B66FD">
      <w:pPr>
        <w:pStyle w:val="NormalWeb"/>
        <w:contextualSpacing/>
      </w:pPr>
    </w:p>
    <w:p w14:paraId="4BEB1C77" w14:textId="77777777" w:rsidR="009B66FD" w:rsidRDefault="000766DB" w:rsidP="009B66FD">
      <w:pPr>
        <w:pStyle w:val="NormalWeb"/>
        <w:ind w:firstLine="360"/>
        <w:contextualSpacing/>
        <w:rPr>
          <w:rFonts w:ascii="TimesNewRomanPSMT" w:hAnsi="TimesNewRomanPSMT"/>
        </w:rPr>
      </w:pPr>
      <w:r>
        <w:t xml:space="preserve">Data from the Alpert et al. (2016) study was </w:t>
      </w:r>
      <w:r w:rsidR="00644167">
        <w:t xml:space="preserve">made </w:t>
      </w:r>
      <w:r>
        <w:t xml:space="preserve">publicly available and accessed online at Open </w:t>
      </w:r>
      <w:proofErr w:type="spellStart"/>
      <w:r>
        <w:t>ICPSR.org.</w:t>
      </w:r>
      <w:r w:rsidR="00644167">
        <w:t>The</w:t>
      </w:r>
      <w:proofErr w:type="spellEnd"/>
      <w:r w:rsidR="00644167">
        <w:t xml:space="preserve"> data sample in Alpert et al. (2016) was collected over four consecutive 16-week semesters at a largest university in the Northeast. Each semester, a course in microeconomics was offered with three sections. After signing up for the course, students were randomly assigned to one of three instructional formats; </w:t>
      </w:r>
      <w:r w:rsidRPr="00644167">
        <w:rPr>
          <w:rFonts w:ascii="TimesNewRomanPSMT" w:hAnsi="TimesNewRomanPSMT"/>
        </w:rPr>
        <w:t>face-to-face classroom instruction, hybrid, and online.</w:t>
      </w:r>
      <w:r>
        <w:t xml:space="preserve"> </w:t>
      </w:r>
      <w:r w:rsidRPr="00644167">
        <w:rPr>
          <w:rFonts w:ascii="TimesNewRomanPSMT" w:hAnsi="TimesNewRomanPSMT"/>
        </w:rPr>
        <w:t>Students assigned to the face-to-face instructional format received traditional classroom instruction. For example, in in this condition, students attended two weekly lectures in-person for the entirety of the semester.</w:t>
      </w:r>
      <w:r>
        <w:t xml:space="preserve"> </w:t>
      </w:r>
      <w:r w:rsidRPr="00644167">
        <w:rPr>
          <w:rFonts w:ascii="TimesNewRomanPSMT" w:hAnsi="TimesNewRomanPSMT"/>
        </w:rPr>
        <w:t>In the hybrid format, students met in-person for one lecture per week and then were given online lecture materials to in place of a second in-person lecture. Finally, students assigned to the online format were provided the same online lecture materials as the hybrid section but were not given an in-person lecture. For each of the three conditions, lectures and instructional content were prepared and delivered by the same instructor.</w:t>
      </w:r>
    </w:p>
    <w:p w14:paraId="2438B555" w14:textId="15AFEE54" w:rsidR="00644167" w:rsidRDefault="000766DB" w:rsidP="009B66FD">
      <w:pPr>
        <w:pStyle w:val="NormalWeb"/>
        <w:ind w:firstLine="360"/>
        <w:contextualSpacing/>
      </w:pPr>
      <w:r>
        <w:t xml:space="preserve">The dependent variable in the Alpert et al. (2016) study the cumulative final grade that students received in the course. Cumulative grades were measured continuously out of 100 </w:t>
      </w:r>
      <w:r>
        <w:lastRenderedPageBreak/>
        <w:t xml:space="preserve">points total. In addition to analyzing the relationship between instructional format (IV) and cumulative grade (DV), the researchers also </w:t>
      </w:r>
      <w:r w:rsidR="001C3672">
        <w:t>accessed university records to measure prior GPA as a continuous covariate.</w:t>
      </w:r>
      <w:r>
        <w:t xml:space="preserve"> </w:t>
      </w:r>
      <w:r w:rsidR="00644167">
        <w:t>In total</w:t>
      </w:r>
      <w:r w:rsidR="00D346DD">
        <w:t>, 323 students completed the course across the three instructional format conditions.</w:t>
      </w:r>
      <w:r w:rsidR="00644167">
        <w:t xml:space="preserve"> </w:t>
      </w:r>
    </w:p>
    <w:p w14:paraId="5E1C0C16" w14:textId="1C326414" w:rsidR="000766DB" w:rsidRPr="00626C40" w:rsidRDefault="000766DB" w:rsidP="000766DB">
      <w:pPr>
        <w:pStyle w:val="NormalWeb"/>
        <w:ind w:left="1080"/>
        <w:contextualSpacing/>
      </w:pPr>
    </w:p>
    <w:p w14:paraId="79F295CB" w14:textId="77777777" w:rsidR="009B66FD" w:rsidRDefault="00626C40" w:rsidP="009B66FD">
      <w:pPr>
        <w:pStyle w:val="NormalWeb"/>
        <w:numPr>
          <w:ilvl w:val="0"/>
          <w:numId w:val="8"/>
        </w:numPr>
        <w:contextualSpacing/>
        <w:rPr>
          <w:color w:val="FF0000"/>
        </w:rPr>
      </w:pPr>
      <w:r w:rsidRPr="000766DB">
        <w:rPr>
          <w:color w:val="FF0000"/>
        </w:rPr>
        <w:t>describe how will they be analyzed, including methods and their assumptions (with</w:t>
      </w:r>
      <w:r w:rsidR="000766DB" w:rsidRPr="000766DB">
        <w:rPr>
          <w:color w:val="FF0000"/>
        </w:rPr>
        <w:t xml:space="preserve"> </w:t>
      </w:r>
      <w:r w:rsidRPr="000766DB">
        <w:rPr>
          <w:color w:val="FF0000"/>
        </w:rPr>
        <w:t xml:space="preserve">equations) </w:t>
      </w:r>
    </w:p>
    <w:p w14:paraId="7B42731F" w14:textId="77777777" w:rsidR="009B66FD" w:rsidRDefault="009B66FD" w:rsidP="009B66FD">
      <w:pPr>
        <w:pStyle w:val="NormalWeb"/>
        <w:contextualSpacing/>
        <w:rPr>
          <w:color w:val="FF0000"/>
        </w:rPr>
      </w:pPr>
    </w:p>
    <w:p w14:paraId="03630E48" w14:textId="77777777" w:rsidR="009B66FD" w:rsidRDefault="00A8361C" w:rsidP="009B66FD">
      <w:pPr>
        <w:pStyle w:val="NormalWeb"/>
        <w:ind w:firstLine="360"/>
        <w:contextualSpacing/>
        <w:rPr>
          <w:color w:val="FF0000"/>
        </w:rPr>
      </w:pPr>
      <w:r w:rsidRPr="009B66FD">
        <w:rPr>
          <w:color w:val="000000" w:themeColor="text1"/>
        </w:rPr>
        <w:t>The first research question evaluated in this replication study was the</w:t>
      </w:r>
      <w:r w:rsidR="002A1FFB" w:rsidRPr="009B66FD">
        <w:rPr>
          <w:color w:val="000000" w:themeColor="text1"/>
        </w:rPr>
        <w:t xml:space="preserve"> the effect of instructional format on students’ final grades</w:t>
      </w:r>
      <w:r w:rsidRPr="009B66FD">
        <w:rPr>
          <w:color w:val="000000" w:themeColor="text1"/>
        </w:rPr>
        <w:t>.</w:t>
      </w:r>
      <w:r w:rsidR="009B66FD">
        <w:rPr>
          <w:color w:val="000000" w:themeColor="text1"/>
        </w:rPr>
        <w:t xml:space="preserve"> </w:t>
      </w:r>
      <w:r w:rsidRPr="00A8361C">
        <w:rPr>
          <w:color w:val="000000" w:themeColor="text1"/>
        </w:rPr>
        <w:t>To test the null hypothesis that instructional format had no effect of final course grades, a one-way ANOVA was conducted.</w:t>
      </w:r>
      <w:r w:rsidR="009B66FD">
        <w:rPr>
          <w:color w:val="000000" w:themeColor="text1"/>
        </w:rPr>
        <w:t xml:space="preserve"> </w:t>
      </w:r>
      <w:r w:rsidRPr="00A8361C">
        <w:rPr>
          <w:color w:val="000000" w:themeColor="text1"/>
        </w:rPr>
        <w:t>Before conducting the one-way ANOVA, assumptions for analysis of variance</w:t>
      </w:r>
      <w:r w:rsidR="009B66FD">
        <w:rPr>
          <w:color w:val="000000" w:themeColor="text1"/>
        </w:rPr>
        <w:t xml:space="preserve"> (e.</w:t>
      </w:r>
      <w:r w:rsidR="009B66FD" w:rsidRPr="007E3370">
        <w:rPr>
          <w:color w:val="000000" w:themeColor="text1"/>
          <w:highlight w:val="yellow"/>
        </w:rPr>
        <w:t xml:space="preserve">g. </w:t>
      </w:r>
      <w:proofErr w:type="spellStart"/>
      <w:r w:rsidR="009B66FD" w:rsidRPr="007E3370">
        <w:rPr>
          <w:color w:val="000000" w:themeColor="text1"/>
          <w:highlight w:val="yellow"/>
        </w:rPr>
        <w:t>LaTex</w:t>
      </w:r>
      <w:proofErr w:type="spellEnd"/>
      <w:r w:rsidR="009B66FD">
        <w:rPr>
          <w:color w:val="000000" w:themeColor="text1"/>
        </w:rPr>
        <w:t xml:space="preserve">) </w:t>
      </w:r>
      <w:r w:rsidRPr="00A8361C">
        <w:rPr>
          <w:color w:val="000000" w:themeColor="text1"/>
        </w:rPr>
        <w:t xml:space="preserve"> were assessed</w:t>
      </w:r>
      <w:r w:rsidR="009B66FD">
        <w:rPr>
          <w:color w:val="000000" w:themeColor="text1"/>
        </w:rPr>
        <w:t xml:space="preserve">. </w:t>
      </w:r>
      <w:r w:rsidRPr="00A8361C">
        <w:rPr>
          <w:color w:val="000000" w:themeColor="text1"/>
        </w:rPr>
        <w:t xml:space="preserve">Interpretation of the following tests of assumptions and their corresponding figures are presented in the Results section. </w:t>
      </w:r>
    </w:p>
    <w:p w14:paraId="36880740" w14:textId="29C8D964" w:rsidR="009B66FD" w:rsidRDefault="00A8361C" w:rsidP="009B66FD">
      <w:pPr>
        <w:pStyle w:val="NormalWeb"/>
        <w:ind w:firstLine="360"/>
        <w:contextualSpacing/>
        <w:rPr>
          <w:color w:val="FF0000"/>
        </w:rPr>
      </w:pPr>
      <w:r w:rsidRPr="00A8361C">
        <w:rPr>
          <w:color w:val="000000" w:themeColor="text1"/>
        </w:rPr>
        <w:t xml:space="preserve">First, examining the assumption of constant variance, the variance of students’ final course scores were examined at all levels of instructional format. </w:t>
      </w:r>
      <w:r w:rsidR="00C364D9">
        <w:rPr>
          <w:color w:val="000000" w:themeColor="text1"/>
        </w:rPr>
        <w:t xml:space="preserve">To do so, Maxell et al. (2017)’s variance ratio was computed, </w:t>
      </w:r>
      <w:r w:rsidR="00053FBC">
        <w:rPr>
          <w:color w:val="000000" w:themeColor="text1"/>
        </w:rPr>
        <w:t xml:space="preserve">which </w:t>
      </w:r>
      <w:r w:rsidR="00C364D9">
        <w:rPr>
          <w:color w:val="000000" w:themeColor="text1"/>
        </w:rPr>
        <w:t>compares the ratio of the largest group variance to the smallest group variance</w:t>
      </w:r>
      <w:r w:rsidR="00053FBC">
        <w:rPr>
          <w:color w:val="000000" w:themeColor="text1"/>
        </w:rPr>
        <w:t xml:space="preserve">. </w:t>
      </w:r>
      <w:r w:rsidR="003F43B9">
        <w:rPr>
          <w:color w:val="000000" w:themeColor="text1"/>
        </w:rPr>
        <w:t>Maxwell et al. (2017) point out that in the case of unequal-n, which is true of the data obtained for this replication study, violations of the assumption of constant variance are more problematic. Therefore, the interpretation of the findings of the variance ratio reported in the Results section are of key importance.</w:t>
      </w:r>
      <w:r w:rsidR="009B66FD">
        <w:rPr>
          <w:color w:val="FF0000"/>
        </w:rPr>
        <w:t xml:space="preserve"> </w:t>
      </w:r>
      <w:r w:rsidRPr="00C364D9">
        <w:rPr>
          <w:color w:val="000000" w:themeColor="text1"/>
        </w:rPr>
        <w:t xml:space="preserve">In addition, the assumption of constant variance was evaluated with </w:t>
      </w:r>
      <w:proofErr w:type="spellStart"/>
      <w:r w:rsidRPr="00C364D9">
        <w:rPr>
          <w:color w:val="000000" w:themeColor="text1"/>
        </w:rPr>
        <w:t>Levene’s</w:t>
      </w:r>
      <w:proofErr w:type="spellEnd"/>
      <w:r w:rsidRPr="00C364D9">
        <w:rPr>
          <w:color w:val="000000" w:themeColor="text1"/>
        </w:rPr>
        <w:t xml:space="preserve"> test, which evaluated the null hypothesis that the group variances </w:t>
      </w:r>
      <w:r w:rsidR="00C364D9">
        <w:rPr>
          <w:color w:val="000000" w:themeColor="text1"/>
        </w:rPr>
        <w:t xml:space="preserve">for the outcome variable, final course scores, </w:t>
      </w:r>
      <w:r w:rsidRPr="00C364D9">
        <w:rPr>
          <w:color w:val="000000" w:themeColor="text1"/>
        </w:rPr>
        <w:t>are identical</w:t>
      </w:r>
      <w:r w:rsidR="00C364D9">
        <w:rPr>
          <w:color w:val="000000" w:themeColor="text1"/>
        </w:rPr>
        <w:t xml:space="preserve"> across the experimental conditions.</w:t>
      </w:r>
      <w:r w:rsidR="009B66FD">
        <w:rPr>
          <w:color w:val="000000" w:themeColor="text1"/>
        </w:rPr>
        <w:t xml:space="preserve"> </w:t>
      </w:r>
      <w:r>
        <w:rPr>
          <w:color w:val="000000" w:themeColor="text1"/>
        </w:rPr>
        <w:t xml:space="preserve">The next assumption for analysis of variance assessed was normality. To test normality, </w:t>
      </w:r>
      <w:r w:rsidRPr="00A8361C">
        <w:rPr>
          <w:color w:val="000000" w:themeColor="text1"/>
        </w:rPr>
        <w:t xml:space="preserve">a QQ-plot of the residuals was plotted to inspect whether the sample data were normally distributed. </w:t>
      </w:r>
      <w:r>
        <w:rPr>
          <w:color w:val="000000" w:themeColor="text1"/>
        </w:rPr>
        <w:t>Additionally, f</w:t>
      </w:r>
      <w:r w:rsidRPr="00A8361C">
        <w:rPr>
          <w:color w:val="000000" w:themeColor="text1"/>
        </w:rPr>
        <w:t xml:space="preserve">ollowing visual inspection of the QQ-plot, a Shapiro-Wilk test was also conducted to test the null hypothesis that the data in each group were normally distributed. </w:t>
      </w:r>
    </w:p>
    <w:p w14:paraId="68F448E3" w14:textId="3D6DC0BE" w:rsidR="00A8361C" w:rsidRPr="009B66FD" w:rsidRDefault="00A8361C" w:rsidP="009B66FD">
      <w:pPr>
        <w:pStyle w:val="NormalWeb"/>
        <w:ind w:firstLine="360"/>
        <w:contextualSpacing/>
        <w:rPr>
          <w:color w:val="FF0000"/>
        </w:rPr>
      </w:pPr>
      <w:r w:rsidRPr="00A8361C">
        <w:rPr>
          <w:color w:val="000000" w:themeColor="text1"/>
        </w:rPr>
        <w:t xml:space="preserve">After checking assumptions, an omnibus test of the null hypothesis was conducted utilizing a general linear </w:t>
      </w:r>
      <w:r w:rsidRPr="00A8361C">
        <w:rPr>
          <w:i/>
          <w:iCs/>
          <w:color w:val="000000" w:themeColor="text1"/>
        </w:rPr>
        <w:t>F</w:t>
      </w:r>
      <w:r w:rsidRPr="00A8361C">
        <w:rPr>
          <w:color w:val="000000" w:themeColor="text1"/>
        </w:rPr>
        <w:t xml:space="preserve"> test and a model comparison framework. In particular, the following full and restricted models tested the null hypothesis that there is no effect of instructional format on final course grades compared the following full and restricted models: </w:t>
      </w:r>
    </w:p>
    <w:p w14:paraId="7E9D24B9"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797DB8">
        <w:rPr>
          <w:i/>
          <w:iCs/>
          <w:color w:val="000000" w:themeColor="text1"/>
          <w:vertAlign w:val="subscript"/>
        </w:rPr>
        <w:t>j</w:t>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6D96BB80"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vertAlign w:val="subscript"/>
        </w:rPr>
        <w:t xml:space="preserve"> </w:t>
      </w:r>
    </w:p>
    <w:p w14:paraId="1E84B27D" w14:textId="77777777" w:rsidR="009B66FD" w:rsidRDefault="009B66FD" w:rsidP="009B66FD">
      <w:pPr>
        <w:pStyle w:val="NormalWeb"/>
        <w:contextualSpacing/>
        <w:rPr>
          <w:color w:val="000000" w:themeColor="text1"/>
        </w:rPr>
      </w:pPr>
    </w:p>
    <w:p w14:paraId="79BED764" w14:textId="2E250856" w:rsidR="009B66FD" w:rsidRDefault="009B66FD" w:rsidP="009B66FD">
      <w:pPr>
        <w:pStyle w:val="NormalWeb"/>
        <w:contextualSpacing/>
        <w:rPr>
          <w:color w:val="000000" w:themeColor="text1"/>
        </w:rPr>
      </w:pPr>
      <w:r>
        <w:rPr>
          <w:color w:val="000000" w:themeColor="text1"/>
        </w:rPr>
        <w:t xml:space="preserve">where </w:t>
      </w:r>
      <w:r w:rsidR="00A8361C" w:rsidRPr="00546C4A">
        <w:rPr>
          <w:color w:val="000000" w:themeColor="text1"/>
        </w:rPr>
        <w:t>Y</w:t>
      </w:r>
      <w:r w:rsidR="00A8361C" w:rsidRPr="00546C4A">
        <w:rPr>
          <w:i/>
          <w:iCs/>
          <w:color w:val="000000" w:themeColor="text1"/>
        </w:rPr>
        <w:t>i</w:t>
      </w:r>
      <w:r w:rsidR="00A8361C" w:rsidRPr="00546C4A">
        <w:rPr>
          <w:color w:val="000000" w:themeColor="text1"/>
        </w:rPr>
        <w:t xml:space="preserve"> represents final course grade for student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A8361C" w:rsidRPr="00546C4A">
        <w:rPr>
          <w:color w:val="000000" w:themeColor="text1"/>
        </w:rPr>
        <w:sym w:font="Symbol" w:char="F06D"/>
      </w:r>
      <w:r w:rsidR="00A8361C" w:rsidRPr="00546C4A">
        <w:rPr>
          <w:color w:val="000000" w:themeColor="text1"/>
        </w:rPr>
        <w:t xml:space="preserve"> represents the unweighted average final course grade across instructional formats, </w:t>
      </w:r>
      <w:r w:rsidR="00797DB8" w:rsidRPr="00A8361C">
        <w:rPr>
          <w:color w:val="000000" w:themeColor="text1"/>
        </w:rPr>
        <w:sym w:font="Symbol" w:char="F061"/>
      </w:r>
      <w:r w:rsidR="00797DB8" w:rsidRPr="00797DB8">
        <w:rPr>
          <w:i/>
          <w:iCs/>
          <w:color w:val="000000" w:themeColor="text1"/>
          <w:vertAlign w:val="subscript"/>
        </w:rPr>
        <w:t>j</w:t>
      </w:r>
      <w:r w:rsidR="00797DB8" w:rsidRPr="00A8361C">
        <w:rPr>
          <w:color w:val="000000" w:themeColor="text1"/>
        </w:rPr>
        <w:t xml:space="preserve"> </w:t>
      </w:r>
      <w:r w:rsidR="00797DB8">
        <w:rPr>
          <w:color w:val="000000" w:themeColor="text1"/>
        </w:rPr>
        <w:t xml:space="preserve"> represents the treatment effect of instructional format for the </w:t>
      </w:r>
      <w:proofErr w:type="spellStart"/>
      <w:r w:rsidR="00797DB8" w:rsidRPr="00797DB8">
        <w:rPr>
          <w:i/>
          <w:iCs/>
          <w:color w:val="000000" w:themeColor="text1"/>
        </w:rPr>
        <w:t>j</w:t>
      </w:r>
      <w:r w:rsidR="00797DB8">
        <w:rPr>
          <w:color w:val="000000" w:themeColor="text1"/>
        </w:rPr>
        <w:t>th</w:t>
      </w:r>
      <w:proofErr w:type="spellEnd"/>
      <w:r w:rsidR="00797DB8">
        <w:rPr>
          <w:color w:val="000000" w:themeColor="text1"/>
        </w:rPr>
        <w:t xml:space="preserve"> group, </w:t>
      </w:r>
      <w:r w:rsidR="00A8361C" w:rsidRPr="00546C4A">
        <w:rPr>
          <w:color w:val="000000" w:themeColor="text1"/>
        </w:rPr>
        <w:t xml:space="preserve">and where </w:t>
      </w:r>
      <w:r w:rsidR="00A8361C" w:rsidRPr="00546C4A">
        <w:rPr>
          <w:color w:val="000000" w:themeColor="text1"/>
        </w:rPr>
        <w:sym w:font="Symbol" w:char="F065"/>
      </w:r>
      <w:proofErr w:type="spellStart"/>
      <w:r w:rsidR="00A8361C" w:rsidRPr="00546C4A">
        <w:rPr>
          <w:color w:val="000000" w:themeColor="text1"/>
          <w:vertAlign w:val="subscript"/>
        </w:rPr>
        <w:t>ij</w:t>
      </w:r>
      <w:proofErr w:type="spellEnd"/>
      <w:r w:rsidR="00A8361C" w:rsidRPr="00546C4A">
        <w:rPr>
          <w:color w:val="000000" w:themeColor="text1"/>
          <w:vertAlign w:val="subscript"/>
        </w:rPr>
        <w:t xml:space="preserve"> </w:t>
      </w:r>
      <w:r w:rsidR="00A8361C" w:rsidRPr="00546C4A">
        <w:rPr>
          <w:color w:val="000000" w:themeColor="text1"/>
        </w:rPr>
        <w:t>represents the random error associated with student</w:t>
      </w:r>
      <w:r w:rsidR="00A8361C" w:rsidRPr="00546C4A">
        <w:rPr>
          <w:i/>
          <w:iCs/>
          <w:color w:val="000000" w:themeColor="text1"/>
        </w:rPr>
        <w:t xml:space="preserve">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546C4A" w:rsidRPr="00546C4A">
        <w:rPr>
          <w:color w:val="000000" w:themeColor="text1"/>
        </w:rPr>
        <w:t>After conducting an omnibus test of the null hypothesis by conducting a one-way ANOVA omnibus, an one-way ANCOVA was conducted to examine the effect of instructional format on final course grades when controlling for prior GPA.</w:t>
      </w:r>
      <w:r>
        <w:rPr>
          <w:color w:val="000000" w:themeColor="text1"/>
        </w:rPr>
        <w:t xml:space="preserve"> </w:t>
      </w:r>
      <w:r w:rsidR="00546C4A" w:rsidRPr="00546C4A">
        <w:rPr>
          <w:color w:val="000000" w:themeColor="text1"/>
        </w:rPr>
        <w:t xml:space="preserve">Before conducting the one-ANCOVA, </w:t>
      </w:r>
      <w:r w:rsidR="000A2014">
        <w:rPr>
          <w:color w:val="000000" w:themeColor="text1"/>
        </w:rPr>
        <w:t xml:space="preserve">additional </w:t>
      </w:r>
      <w:r w:rsidR="00546C4A" w:rsidRPr="00546C4A">
        <w:rPr>
          <w:color w:val="000000" w:themeColor="text1"/>
        </w:rPr>
        <w:t>assumptions</w:t>
      </w:r>
      <w:r w:rsidR="000A2014">
        <w:rPr>
          <w:color w:val="000000" w:themeColor="text1"/>
        </w:rPr>
        <w:t xml:space="preserve"> specific to </w:t>
      </w:r>
      <w:r w:rsidR="00546C4A" w:rsidRPr="00546C4A">
        <w:rPr>
          <w:color w:val="000000" w:themeColor="text1"/>
        </w:rPr>
        <w:t>analysis of covariances were evaluated.</w:t>
      </w:r>
      <w:r>
        <w:rPr>
          <w:color w:val="000000" w:themeColor="text1"/>
        </w:rPr>
        <w:t xml:space="preserve"> </w:t>
      </w:r>
      <w:r w:rsidR="00546C4A" w:rsidRPr="00546C4A">
        <w:rPr>
          <w:color w:val="000000" w:themeColor="text1"/>
        </w:rPr>
        <w:t xml:space="preserve">First, in order to determine whether prior GPA was suitable as a covariate, the correlation between prior student GPA and final course grade was calculated. </w:t>
      </w:r>
      <w:r w:rsidR="000A2014">
        <w:rPr>
          <w:color w:val="000000" w:themeColor="text1"/>
        </w:rPr>
        <w:t xml:space="preserve">Covariate suitability based on correlation strength was evaluated with regards to recommendations </w:t>
      </w:r>
      <w:r w:rsidR="00C47603">
        <w:rPr>
          <w:color w:val="000000" w:themeColor="text1"/>
        </w:rPr>
        <w:t xml:space="preserve">stated in the </w:t>
      </w:r>
      <w:r w:rsidR="000A2014">
        <w:rPr>
          <w:color w:val="000000" w:themeColor="text1"/>
        </w:rPr>
        <w:t xml:space="preserve">literature, which recommend </w:t>
      </w:r>
      <w:r w:rsidR="00C47603">
        <w:rPr>
          <w:color w:val="000000" w:themeColor="text1"/>
        </w:rPr>
        <w:t xml:space="preserve">a covariate-outcome correlation of </w:t>
      </w:r>
      <w:r w:rsidR="00C47603" w:rsidRPr="00C47603">
        <w:rPr>
          <w:i/>
          <w:iCs/>
          <w:color w:val="000000" w:themeColor="text1"/>
        </w:rPr>
        <w:t>r</w:t>
      </w:r>
      <w:r w:rsidR="00C47603">
        <w:rPr>
          <w:color w:val="000000" w:themeColor="text1"/>
        </w:rPr>
        <w:t xml:space="preserve"> </w:t>
      </w:r>
      <w:r w:rsidR="00C47603">
        <w:rPr>
          <w:color w:val="000000" w:themeColor="text1"/>
        </w:rPr>
        <w:sym w:font="Symbol" w:char="F0B3"/>
      </w:r>
      <w:r w:rsidR="00C47603">
        <w:rPr>
          <w:color w:val="000000" w:themeColor="text1"/>
        </w:rPr>
        <w:t xml:space="preserve"> .3</w:t>
      </w:r>
      <w:r w:rsidR="007E0A9F">
        <w:rPr>
          <w:color w:val="000000" w:themeColor="text1"/>
        </w:rPr>
        <w:t xml:space="preserve"> </w:t>
      </w:r>
      <w:r w:rsidR="007E0A9F">
        <w:rPr>
          <w:color w:val="000000" w:themeColor="text1"/>
        </w:rPr>
        <w:fldChar w:fldCharType="begin" w:fldLock="1"/>
      </w:r>
      <w:r w:rsidR="007E0A9F">
        <w:rPr>
          <w:color w:val="000000" w:themeColor="text1"/>
        </w:rPr>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2017)","plainTextFormattedCitation":"(Maxwell et al., 2017)"},"properties":{"noteIndex":0},"schema":"https://github.com/citation-style-language/schema/raw/master/csl-citation.json"}</w:instrText>
      </w:r>
      <w:r w:rsidR="007E0A9F">
        <w:rPr>
          <w:color w:val="000000" w:themeColor="text1"/>
        </w:rPr>
        <w:fldChar w:fldCharType="separate"/>
      </w:r>
      <w:r w:rsidR="007E0A9F" w:rsidRPr="007E0A9F">
        <w:rPr>
          <w:noProof/>
          <w:color w:val="000000" w:themeColor="text1"/>
        </w:rPr>
        <w:t>(Maxwell et al., 2017)</w:t>
      </w:r>
      <w:r w:rsidR="007E0A9F">
        <w:rPr>
          <w:color w:val="000000" w:themeColor="text1"/>
        </w:rPr>
        <w:fldChar w:fldCharType="end"/>
      </w:r>
      <w:r w:rsidR="007E0A9F">
        <w:rPr>
          <w:color w:val="000000" w:themeColor="text1"/>
        </w:rPr>
        <w:t>.</w:t>
      </w:r>
      <w:r>
        <w:rPr>
          <w:color w:val="000000" w:themeColor="text1"/>
        </w:rPr>
        <w:t xml:space="preserve"> </w:t>
      </w:r>
      <w:r w:rsidR="00546C4A" w:rsidRPr="00546C4A">
        <w:rPr>
          <w:color w:val="000000" w:themeColor="text1"/>
        </w:rPr>
        <w:t xml:space="preserve">Next, in </w:t>
      </w:r>
      <w:r w:rsidR="00546C4A" w:rsidRPr="00546C4A">
        <w:rPr>
          <w:color w:val="000000" w:themeColor="text1"/>
        </w:rPr>
        <w:lastRenderedPageBreak/>
        <w:t>order to determine whether random assignment was effective and to ensure covariate balance at baseline, prior GPA was compared across all three instructional format. In particular</w:t>
      </w:r>
      <w:r w:rsidR="007E0A9F">
        <w:rPr>
          <w:color w:val="000000" w:themeColor="text1"/>
        </w:rPr>
        <w:t xml:space="preserve">, to test for </w:t>
      </w:r>
      <w:r w:rsidR="00C364D9">
        <w:rPr>
          <w:color w:val="000000" w:themeColor="text1"/>
        </w:rPr>
        <w:t>covariate</w:t>
      </w:r>
      <w:r w:rsidR="007E0A9F">
        <w:rPr>
          <w:color w:val="000000" w:themeColor="text1"/>
        </w:rPr>
        <w:t xml:space="preserve"> </w:t>
      </w:r>
      <w:r w:rsidR="00C364D9">
        <w:rPr>
          <w:color w:val="000000" w:themeColor="text1"/>
        </w:rPr>
        <w:t>balance</w:t>
      </w:r>
      <w:r w:rsidR="007E0A9F">
        <w:rPr>
          <w:color w:val="000000" w:themeColor="text1"/>
        </w:rPr>
        <w:t xml:space="preserve"> at baseline,</w:t>
      </w:r>
      <w:r w:rsidR="00C364D9">
        <w:rPr>
          <w:color w:val="000000" w:themeColor="text1"/>
        </w:rPr>
        <w:t xml:space="preserve"> Maxwell et al. (2017)’s variance ratio was computed. Additionally, </w:t>
      </w:r>
      <w:proofErr w:type="spellStart"/>
      <w:r w:rsidR="00C364D9">
        <w:rPr>
          <w:color w:val="000000" w:themeColor="text1"/>
        </w:rPr>
        <w:t>Levene’s</w:t>
      </w:r>
      <w:proofErr w:type="spellEnd"/>
      <w:r w:rsidR="00C364D9">
        <w:rPr>
          <w:color w:val="000000" w:themeColor="text1"/>
        </w:rPr>
        <w:t xml:space="preserve"> test of homogeneity of variance was conducted to test the null hypothesis that</w:t>
      </w:r>
      <w:r w:rsidR="000B66D1">
        <w:rPr>
          <w:color w:val="000000" w:themeColor="text1"/>
        </w:rPr>
        <w:t xml:space="preserve"> the group variances for </w:t>
      </w:r>
      <w:r w:rsidR="00C364D9">
        <w:rPr>
          <w:color w:val="000000" w:themeColor="text1"/>
        </w:rPr>
        <w:t xml:space="preserve">prior GPA </w:t>
      </w:r>
      <w:r w:rsidR="000B66D1">
        <w:rPr>
          <w:color w:val="000000" w:themeColor="text1"/>
        </w:rPr>
        <w:t>were identical across all three levels of instructional format.</w:t>
      </w:r>
      <w:r>
        <w:rPr>
          <w:color w:val="000000" w:themeColor="text1"/>
        </w:rPr>
        <w:t xml:space="preserve"> </w:t>
      </w:r>
      <w:r w:rsidR="00546C4A" w:rsidRPr="00546C4A">
        <w:rPr>
          <w:color w:val="000000" w:themeColor="text1"/>
        </w:rPr>
        <w:t xml:space="preserve">Finally, in order to </w:t>
      </w:r>
      <w:r w:rsidR="00AA2095">
        <w:rPr>
          <w:color w:val="000000" w:themeColor="text1"/>
        </w:rPr>
        <w:t>test</w:t>
      </w:r>
      <w:r w:rsidR="00546C4A" w:rsidRPr="00546C4A">
        <w:rPr>
          <w:color w:val="000000" w:themeColor="text1"/>
        </w:rPr>
        <w:t xml:space="preserve"> the assumption of no</w:t>
      </w:r>
      <w:r w:rsidR="00FD4BDA">
        <w:rPr>
          <w:color w:val="000000" w:themeColor="text1"/>
        </w:rPr>
        <w:t xml:space="preserve"> treatment by</w:t>
      </w:r>
      <w:r w:rsidR="00546C4A" w:rsidRPr="00546C4A">
        <w:rPr>
          <w:color w:val="000000" w:themeColor="text1"/>
        </w:rPr>
        <w:t xml:space="preserve"> covariate interaction, an ANCOVA model containing an interaction term was fitted, and the interaction term was evaluated for statistical significance. </w:t>
      </w:r>
      <w:r w:rsidR="00FD4BDA">
        <w:rPr>
          <w:color w:val="000000" w:themeColor="text1"/>
        </w:rPr>
        <w:t xml:space="preserve">The full and restricted models that were compared to test treatment by covariate interaction were as follows: </w:t>
      </w:r>
    </w:p>
    <w:p w14:paraId="4201E5A1" w14:textId="789FBC30" w:rsidR="00FD4BDA" w:rsidRDefault="00FD4BDA" w:rsidP="00FD4BDA">
      <w:pPr>
        <w:pStyle w:val="NormalWeb"/>
        <w:contextualSpacing/>
        <w:rPr>
          <w:color w:val="000000" w:themeColor="text1"/>
        </w:rPr>
      </w:pPr>
    </w:p>
    <w:p w14:paraId="45AF8F81" w14:textId="032F5B27" w:rsidR="00FD4BDA" w:rsidRPr="00A8361C" w:rsidRDefault="00FD4BDA" w:rsidP="00FD4BDA">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1</w:t>
      </w:r>
      <w:r w:rsidRPr="000B66D1">
        <w:rPr>
          <w:i/>
          <w:iCs/>
          <w:color w:val="000000" w:themeColor="text1"/>
        </w:rPr>
        <w:t>X</w:t>
      </w:r>
      <w:r w:rsidRPr="000B66D1">
        <w:rPr>
          <w:color w:val="000000" w:themeColor="text1"/>
          <w:vertAlign w:val="subscript"/>
        </w:rPr>
        <w:t>ij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2</w:t>
      </w:r>
      <w:r w:rsidRPr="000B66D1">
        <w:rPr>
          <w:i/>
          <w:iCs/>
          <w:color w:val="000000" w:themeColor="text1"/>
        </w:rPr>
        <w:t>X</w:t>
      </w:r>
      <w:r w:rsidRPr="000B66D1">
        <w:rPr>
          <w:color w:val="000000" w:themeColor="text1"/>
          <w:vertAlign w:val="subscript"/>
        </w:rPr>
        <w:t>ij</w:t>
      </w:r>
      <w:r>
        <w:rPr>
          <w:color w:val="000000" w:themeColor="text1"/>
        </w:rPr>
        <w:t>*</w:t>
      </w:r>
      <w:r w:rsidRPr="00A8361C">
        <w:rPr>
          <w:color w:val="000000" w:themeColor="text1"/>
        </w:rPr>
        <w:sym w:font="Symbol" w:char="F061"/>
      </w:r>
      <w:r w:rsidRPr="00560E61">
        <w:rPr>
          <w:i/>
          <w:iCs/>
          <w:color w:val="000000" w:themeColor="text1"/>
          <w:vertAlign w:val="subscript"/>
        </w:rPr>
        <w:t>j</w:t>
      </w:r>
      <w:r>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7B2118B5" w14:textId="77777777" w:rsidR="00FD4BDA" w:rsidRPr="00A8361C" w:rsidRDefault="00FD4BDA" w:rsidP="00FD4BDA">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981E739" w14:textId="77777777" w:rsidR="00081534" w:rsidRDefault="00081534" w:rsidP="00FD4BDA">
      <w:pPr>
        <w:pStyle w:val="NormalWeb"/>
        <w:contextualSpacing/>
        <w:rPr>
          <w:color w:val="000000" w:themeColor="text1"/>
        </w:rPr>
      </w:pPr>
    </w:p>
    <w:p w14:paraId="2303813D" w14:textId="006263BC" w:rsidR="00FD4BDA" w:rsidRPr="00FD4BDA" w:rsidRDefault="00081534" w:rsidP="00FD4BDA">
      <w:pPr>
        <w:pStyle w:val="NormalWeb"/>
        <w:contextualSpacing/>
        <w:rPr>
          <w:color w:val="000000" w:themeColor="text1"/>
        </w:rPr>
      </w:pPr>
      <w:r>
        <w:rPr>
          <w:color w:val="000000" w:themeColor="text1"/>
        </w:rPr>
        <w:t>w</w:t>
      </w:r>
      <w:r w:rsidR="00FD4BDA">
        <w:rPr>
          <w:color w:val="000000" w:themeColor="text1"/>
        </w:rPr>
        <w:t xml:space="preserve">here the null hypothesis stated that </w:t>
      </w:r>
      <w:r w:rsidR="00FD4BDA">
        <w:rPr>
          <w:color w:val="000000" w:themeColor="text1"/>
        </w:rPr>
        <w:sym w:font="Symbol" w:char="F062"/>
      </w:r>
      <w:r w:rsidR="00FD4BDA" w:rsidRPr="00FD4BDA">
        <w:rPr>
          <w:color w:val="000000" w:themeColor="text1"/>
          <w:vertAlign w:val="subscript"/>
        </w:rPr>
        <w:t>2</w:t>
      </w:r>
      <w:r w:rsidR="00FD4BDA">
        <w:rPr>
          <w:color w:val="000000" w:themeColor="text1"/>
          <w:vertAlign w:val="subscript"/>
        </w:rPr>
        <w:t xml:space="preserve"> </w:t>
      </w:r>
      <w:r w:rsidR="00FD4BDA">
        <w:rPr>
          <w:color w:val="000000" w:themeColor="text1"/>
        </w:rPr>
        <w:t>= 0, representing that th</w:t>
      </w:r>
      <w:r>
        <w:rPr>
          <w:color w:val="000000" w:themeColor="text1"/>
        </w:rPr>
        <w:t xml:space="preserve">ere is no </w:t>
      </w:r>
      <w:r w:rsidR="00FD4BDA">
        <w:rPr>
          <w:color w:val="000000" w:themeColor="text1"/>
        </w:rPr>
        <w:t xml:space="preserve">significant effect of the interaction of </w:t>
      </w:r>
      <w:r>
        <w:rPr>
          <w:color w:val="000000" w:themeColor="text1"/>
        </w:rPr>
        <w:t>instructional format</w:t>
      </w:r>
      <w:r w:rsidR="00FD4BDA">
        <w:rPr>
          <w:color w:val="000000" w:themeColor="text1"/>
        </w:rPr>
        <w:t xml:space="preserve"> (</w:t>
      </w:r>
      <w:r w:rsidRPr="00A8361C">
        <w:rPr>
          <w:color w:val="000000" w:themeColor="text1"/>
        </w:rPr>
        <w:sym w:font="Symbol" w:char="F061"/>
      </w:r>
      <w:r w:rsidRPr="00560E61">
        <w:rPr>
          <w:i/>
          <w:iCs/>
          <w:color w:val="000000" w:themeColor="text1"/>
          <w:vertAlign w:val="subscript"/>
        </w:rPr>
        <w:t>j</w:t>
      </w:r>
      <w:r>
        <w:rPr>
          <w:color w:val="000000" w:themeColor="text1"/>
        </w:rPr>
        <w:t>) and prior GPA (</w:t>
      </w:r>
      <w:proofErr w:type="spellStart"/>
      <w:r w:rsidRPr="000B66D1">
        <w:rPr>
          <w:i/>
          <w:iCs/>
          <w:color w:val="000000" w:themeColor="text1"/>
        </w:rPr>
        <w:t>X</w:t>
      </w:r>
      <w:r w:rsidRPr="000B66D1">
        <w:rPr>
          <w:color w:val="000000" w:themeColor="text1"/>
          <w:vertAlign w:val="subscript"/>
        </w:rPr>
        <w:t>i</w:t>
      </w:r>
      <w:r w:rsidRPr="00081534">
        <w:rPr>
          <w:i/>
          <w:iCs/>
          <w:color w:val="000000" w:themeColor="text1"/>
          <w:vertAlign w:val="subscript"/>
        </w:rPr>
        <w:t>j</w:t>
      </w:r>
      <w:proofErr w:type="spellEnd"/>
      <w:r>
        <w:rPr>
          <w:color w:val="000000" w:themeColor="text1"/>
        </w:rPr>
        <w:t xml:space="preserve">) on final course grade for the </w:t>
      </w:r>
      <w:proofErr w:type="spellStart"/>
      <w:r w:rsidRPr="00081534">
        <w:rPr>
          <w:i/>
          <w:iCs/>
          <w:color w:val="000000" w:themeColor="text1"/>
        </w:rPr>
        <w:t>i</w:t>
      </w:r>
      <w:r>
        <w:rPr>
          <w:color w:val="000000" w:themeColor="text1"/>
        </w:rPr>
        <w:t>th</w:t>
      </w:r>
      <w:proofErr w:type="spellEnd"/>
      <w:r>
        <w:rPr>
          <w:color w:val="000000" w:themeColor="text1"/>
        </w:rPr>
        <w:t xml:space="preserve"> student in the </w:t>
      </w:r>
      <w:proofErr w:type="spellStart"/>
      <w:r>
        <w:rPr>
          <w:i/>
          <w:iCs/>
          <w:color w:val="000000" w:themeColor="text1"/>
        </w:rPr>
        <w:t>j</w:t>
      </w:r>
      <w:r>
        <w:rPr>
          <w:color w:val="000000" w:themeColor="text1"/>
        </w:rPr>
        <w:t>th</w:t>
      </w:r>
      <w:proofErr w:type="spellEnd"/>
      <w:r>
        <w:rPr>
          <w:color w:val="000000" w:themeColor="text1"/>
        </w:rPr>
        <w:t xml:space="preserve"> group.  </w:t>
      </w:r>
    </w:p>
    <w:p w14:paraId="336A2D75" w14:textId="3927739D" w:rsidR="000B66D1" w:rsidRDefault="000B66D1" w:rsidP="009B66FD">
      <w:pPr>
        <w:pStyle w:val="NormalWeb"/>
        <w:ind w:firstLine="360"/>
        <w:contextualSpacing/>
        <w:rPr>
          <w:color w:val="000000" w:themeColor="text1"/>
        </w:rPr>
      </w:pPr>
      <w:r>
        <w:rPr>
          <w:color w:val="000000" w:themeColor="text1"/>
        </w:rPr>
        <w:t>After checking assumptions for the inclusion of prior GPA as a covariate, a one-way ANCOVA was conducted to examine the effect of instructional format on final course grade while controlling for prior GPA.</w:t>
      </w:r>
      <w:r w:rsidR="009B66FD">
        <w:rPr>
          <w:color w:val="000000" w:themeColor="text1"/>
        </w:rPr>
        <w:t xml:space="preserve"> </w:t>
      </w:r>
      <w:r>
        <w:rPr>
          <w:color w:val="000000" w:themeColor="text1"/>
        </w:rPr>
        <w:t>The following full and restricted models were compared for the one-way ANCOVA omnibus null hypothesis</w:t>
      </w:r>
      <w:r w:rsidR="00560E61">
        <w:rPr>
          <w:color w:val="000000" w:themeColor="text1"/>
        </w:rPr>
        <w:t xml:space="preserve">: </w:t>
      </w:r>
      <w:r>
        <w:rPr>
          <w:color w:val="000000" w:themeColor="text1"/>
        </w:rPr>
        <w:t xml:space="preserve"> </w:t>
      </w:r>
    </w:p>
    <w:p w14:paraId="398B2D7F" w14:textId="77777777" w:rsidR="00AC4789" w:rsidRDefault="00AC4789" w:rsidP="009B66FD">
      <w:pPr>
        <w:pStyle w:val="NormalWeb"/>
        <w:ind w:firstLine="360"/>
        <w:contextualSpacing/>
        <w:rPr>
          <w:color w:val="000000" w:themeColor="text1"/>
        </w:rPr>
      </w:pPr>
    </w:p>
    <w:p w14:paraId="2E81199E" w14:textId="71044478" w:rsidR="000B66D1" w:rsidRPr="00A8361C" w:rsidRDefault="000B66D1"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0B66D1">
        <w:rPr>
          <w:color w:val="000000" w:themeColor="text1"/>
          <w:vertAlign w:val="subscript"/>
        </w:rPr>
        <w:t>ij</w:t>
      </w:r>
      <w:proofErr w:type="spellEnd"/>
      <w:r w:rsidRPr="00A8361C">
        <w:rPr>
          <w:color w:val="000000" w:themeColor="text1"/>
        </w:rPr>
        <w:t xml:space="preserve"> </w:t>
      </w:r>
      <w:r w:rsidR="00FD4BDA">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29C09605" w14:textId="7F5E729F" w:rsidR="000B66D1" w:rsidRDefault="000B66D1" w:rsidP="009B66FD">
      <w:pPr>
        <w:pStyle w:val="NormalWeb"/>
        <w:ind w:left="1440"/>
        <w:contextualSpacing/>
        <w:rPr>
          <w:i/>
          <w:iCs/>
          <w:color w:val="000000" w:themeColor="text1"/>
          <w:vertAlign w:val="subscript"/>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sidR="00560E61">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5604442" w14:textId="77777777" w:rsidR="00AC4789" w:rsidRPr="00A8361C" w:rsidRDefault="00AC4789" w:rsidP="009B66FD">
      <w:pPr>
        <w:pStyle w:val="NormalWeb"/>
        <w:ind w:left="1440"/>
        <w:contextualSpacing/>
        <w:rPr>
          <w:color w:val="000000" w:themeColor="text1"/>
        </w:rPr>
      </w:pPr>
    </w:p>
    <w:p w14:paraId="1F53E30D" w14:textId="528A1138" w:rsidR="00AA2095" w:rsidRPr="00AA2095" w:rsidRDefault="00560E61" w:rsidP="009B66FD">
      <w:pPr>
        <w:pStyle w:val="NormalWeb"/>
        <w:contextualSpacing/>
        <w:rPr>
          <w:color w:val="000000" w:themeColor="text1"/>
        </w:rPr>
      </w:pPr>
      <w:r>
        <w:rPr>
          <w:color w:val="000000" w:themeColor="text1"/>
        </w:rPr>
        <w:t>w</w:t>
      </w:r>
      <w:r w:rsidR="000B66D1">
        <w:rPr>
          <w:color w:val="000000" w:themeColor="text1"/>
        </w:rPr>
        <w:t xml:space="preserve">here </w:t>
      </w:r>
      <w:proofErr w:type="spellStart"/>
      <w:r w:rsidR="000B66D1">
        <w:rPr>
          <w:color w:val="000000" w:themeColor="text1"/>
        </w:rPr>
        <w:t>Y</w:t>
      </w:r>
      <w:r w:rsidR="000B66D1" w:rsidRPr="00931098">
        <w:rPr>
          <w:i/>
          <w:iCs/>
          <w:color w:val="000000" w:themeColor="text1"/>
          <w:vertAlign w:val="subscript"/>
        </w:rPr>
        <w:t>ij</w:t>
      </w:r>
      <w:proofErr w:type="spellEnd"/>
      <w:r w:rsidR="000B66D1">
        <w:rPr>
          <w:color w:val="000000" w:themeColor="text1"/>
        </w:rPr>
        <w:t xml:space="preserve"> represents student final course grade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w:t>
      </w:r>
      <w:r w:rsidR="000B66D1" w:rsidRPr="00A8361C">
        <w:rPr>
          <w:color w:val="000000" w:themeColor="text1"/>
        </w:rPr>
        <w:sym w:font="Symbol" w:char="F06D"/>
      </w:r>
      <w:r w:rsidR="000B66D1">
        <w:rPr>
          <w:color w:val="000000" w:themeColor="text1"/>
        </w:rPr>
        <w:t xml:space="preserve"> represents the grand mean, </w:t>
      </w:r>
      <w:r w:rsidR="006F6CEA" w:rsidRPr="00A8361C">
        <w:rPr>
          <w:color w:val="000000" w:themeColor="text1"/>
        </w:rPr>
        <w:sym w:font="Symbol" w:char="F061"/>
      </w:r>
      <w:r w:rsidR="006F6CEA" w:rsidRPr="00560E61">
        <w:rPr>
          <w:i/>
          <w:iCs/>
          <w:color w:val="000000" w:themeColor="text1"/>
          <w:vertAlign w:val="subscript"/>
        </w:rPr>
        <w:t>j</w:t>
      </w:r>
      <w:r w:rsidR="006F6CEA" w:rsidRPr="00A8361C">
        <w:rPr>
          <w:color w:val="000000" w:themeColor="text1"/>
        </w:rPr>
        <w:t xml:space="preserve"> </w:t>
      </w:r>
      <w:r w:rsidR="006F6CEA">
        <w:rPr>
          <w:color w:val="000000" w:themeColor="text1"/>
        </w:rPr>
        <w:t xml:space="preserve"> represents the group mean of the treatment variable, instructional format, for the </w:t>
      </w:r>
      <w:proofErr w:type="spellStart"/>
      <w:r w:rsidR="006F6CEA" w:rsidRPr="00F57D5E">
        <w:rPr>
          <w:i/>
          <w:iCs/>
          <w:color w:val="000000" w:themeColor="text1"/>
        </w:rPr>
        <w:t>j</w:t>
      </w:r>
      <w:r w:rsidR="006F6CEA">
        <w:rPr>
          <w:color w:val="000000" w:themeColor="text1"/>
        </w:rPr>
        <w:t>th</w:t>
      </w:r>
      <w:proofErr w:type="spellEnd"/>
      <w:r w:rsidR="006F6CEA">
        <w:rPr>
          <w:color w:val="000000" w:themeColor="text1"/>
        </w:rPr>
        <w:t xml:space="preserve"> group </w:t>
      </w:r>
      <w:r w:rsidR="000B66D1">
        <w:rPr>
          <w:color w:val="000000" w:themeColor="text1"/>
        </w:rPr>
        <w:sym w:font="Symbol" w:char="F062"/>
      </w:r>
      <w:r w:rsidR="000B66D1">
        <w:rPr>
          <w:color w:val="000000" w:themeColor="text1"/>
        </w:rPr>
        <w:t xml:space="preserve"> represents the population regression coefficient for prior GPA, </w:t>
      </w:r>
      <w:proofErr w:type="spellStart"/>
      <w:r w:rsidR="000B66D1">
        <w:rPr>
          <w:color w:val="000000" w:themeColor="text1"/>
        </w:rPr>
        <w:t>X</w:t>
      </w:r>
      <w:r w:rsidR="000B66D1" w:rsidRPr="00931098">
        <w:rPr>
          <w:i/>
          <w:iCs/>
          <w:color w:val="000000" w:themeColor="text1"/>
          <w:vertAlign w:val="subscript"/>
        </w:rPr>
        <w:t>ij</w:t>
      </w:r>
      <w:proofErr w:type="spellEnd"/>
      <w:r w:rsidR="000B66D1" w:rsidRPr="00931098">
        <w:rPr>
          <w:i/>
          <w:iCs/>
          <w:color w:val="000000" w:themeColor="text1"/>
          <w:vertAlign w:val="subscript"/>
        </w:rPr>
        <w:t xml:space="preserve"> </w:t>
      </w:r>
      <w:r w:rsidR="000B66D1">
        <w:rPr>
          <w:color w:val="000000" w:themeColor="text1"/>
        </w:rPr>
        <w:t xml:space="preserve">represents prior GPA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and</w:t>
      </w:r>
      <w:r w:rsidR="00931098">
        <w:rPr>
          <w:color w:val="000000" w:themeColor="text1"/>
        </w:rPr>
        <w:t xml:space="preserve"> </w:t>
      </w:r>
      <w:r w:rsidR="00931098" w:rsidRPr="00A8361C">
        <w:rPr>
          <w:color w:val="000000" w:themeColor="text1"/>
        </w:rPr>
        <w:sym w:font="Symbol" w:char="F065"/>
      </w:r>
      <w:proofErr w:type="spellStart"/>
      <w:r w:rsidR="00931098" w:rsidRPr="00A8361C">
        <w:rPr>
          <w:color w:val="000000" w:themeColor="text1"/>
          <w:vertAlign w:val="subscript"/>
        </w:rPr>
        <w:t>ij</w:t>
      </w:r>
      <w:proofErr w:type="spellEnd"/>
      <w:r w:rsidR="00931098">
        <w:rPr>
          <w:color w:val="000000" w:themeColor="text1"/>
        </w:rPr>
        <w:t xml:space="preserve">  represents the error term for the same participant.</w:t>
      </w:r>
      <w:r w:rsidR="009B66FD">
        <w:rPr>
          <w:color w:val="000000" w:themeColor="text1"/>
        </w:rPr>
        <w:t xml:space="preserve"> </w:t>
      </w:r>
      <w:r w:rsidR="00AA2095">
        <w:rPr>
          <w:color w:val="000000" w:themeColor="text1"/>
        </w:rPr>
        <w:t>After the one-way ANCOVA omnibus test of the null hypothesis was conducted, pairwise comparisons of adjusted group means were conducted to examine all possible contrasts, or differences in adjusted group means, for each level of instructional format. For example, the equation for the pairwise comparison of the adjusted group means of virtual and hybrid instructional formats while conditioning on prior GPA is as follows:</w:t>
      </w:r>
    </w:p>
    <w:p w14:paraId="5BEDE315" w14:textId="77777777" w:rsidR="00AC4789" w:rsidRDefault="00AC4789" w:rsidP="00AC4789">
      <w:pPr>
        <w:pStyle w:val="NormalWeb"/>
        <w:ind w:left="720"/>
        <w:contextualSpacing/>
        <w:rPr>
          <w:color w:val="000000" w:themeColor="text1"/>
        </w:rPr>
      </w:pPr>
    </w:p>
    <w:p w14:paraId="1025AEE5" w14:textId="12F2ECAA" w:rsidR="00654490" w:rsidRDefault="00AC4789" w:rsidP="00AC4789">
      <w:pPr>
        <w:pStyle w:val="NormalWeb"/>
        <w:ind w:left="720"/>
        <w:contextualSpacing/>
        <w:rPr>
          <w:color w:val="000000" w:themeColor="text1"/>
        </w:rPr>
      </w:pPr>
      <w:r w:rsidRPr="00AC4789">
        <w:rPr>
          <w:color w:val="000000" w:themeColor="text1"/>
        </w:rPr>
        <w:t>ψ</w:t>
      </w:r>
      <w:r w:rsidRPr="00AC4789">
        <w:rPr>
          <w:color w:val="000000" w:themeColor="text1"/>
          <w:vertAlign w:val="subscript"/>
        </w:rPr>
        <w:t>1</w:t>
      </w:r>
      <w:r w:rsidRPr="00AC4789">
        <w:rPr>
          <w:color w:val="000000" w:themeColor="text1"/>
        </w:rPr>
        <w:t xml:space="preserve"> =1μ</w:t>
      </w:r>
      <w:r>
        <w:rPr>
          <w:color w:val="000000" w:themeColor="text1"/>
          <w:vertAlign w:val="subscript"/>
        </w:rPr>
        <w:t>virtual</w:t>
      </w:r>
      <w:r w:rsidRPr="00AC4789">
        <w:rPr>
          <w:color w:val="000000" w:themeColor="text1"/>
        </w:rPr>
        <w:t xml:space="preserve"> −1μ</w:t>
      </w:r>
      <w:r>
        <w:rPr>
          <w:color w:val="000000" w:themeColor="text1"/>
          <w:vertAlign w:val="subscript"/>
        </w:rPr>
        <w:t>hybrid</w:t>
      </w:r>
      <w:r>
        <w:rPr>
          <w:color w:val="000000" w:themeColor="text1"/>
        </w:rPr>
        <w:t xml:space="preserve"> + 0</w:t>
      </w:r>
      <w:r w:rsidRPr="00AC4789">
        <w:rPr>
          <w:color w:val="000000" w:themeColor="text1"/>
        </w:rPr>
        <w:t>μ</w:t>
      </w:r>
      <w:r>
        <w:rPr>
          <w:color w:val="000000" w:themeColor="text1"/>
          <w:vertAlign w:val="subscript"/>
        </w:rPr>
        <w:t>traditional</w:t>
      </w:r>
    </w:p>
    <w:p w14:paraId="5FBCD53A" w14:textId="77777777" w:rsidR="00AC4789" w:rsidRPr="00AC4789" w:rsidRDefault="00AC4789" w:rsidP="00AC4789">
      <w:pPr>
        <w:pStyle w:val="NormalWeb"/>
        <w:ind w:left="720"/>
        <w:contextualSpacing/>
        <w:rPr>
          <w:color w:val="000000" w:themeColor="text1"/>
        </w:rPr>
      </w:pPr>
    </w:p>
    <w:p w14:paraId="0AFB1D2A" w14:textId="69446187" w:rsidR="00A8361C" w:rsidRPr="00AC4789" w:rsidRDefault="009B66FD" w:rsidP="009B66FD">
      <w:pPr>
        <w:pStyle w:val="NormalWeb"/>
        <w:contextualSpacing/>
        <w:rPr>
          <w:color w:val="000000" w:themeColor="text1"/>
        </w:rPr>
      </w:pPr>
      <w:r>
        <w:rPr>
          <w:color w:val="000000" w:themeColor="text1"/>
        </w:rPr>
        <w:t>w</w:t>
      </w:r>
      <w:r w:rsidR="00AA2095">
        <w:rPr>
          <w:color w:val="000000" w:themeColor="text1"/>
        </w:rPr>
        <w:t xml:space="preserve">here </w:t>
      </w:r>
      <w:r w:rsidR="00AC4789" w:rsidRPr="00AC4789">
        <w:rPr>
          <w:color w:val="000000" w:themeColor="text1"/>
        </w:rPr>
        <w:t>ψ</w:t>
      </w:r>
      <w:r w:rsidR="00AC4789" w:rsidRPr="00AC4789">
        <w:rPr>
          <w:color w:val="000000" w:themeColor="text1"/>
          <w:vertAlign w:val="subscript"/>
        </w:rPr>
        <w:t>1</w:t>
      </w:r>
      <w:r w:rsidR="00AA2095">
        <w:rPr>
          <w:color w:val="000000" w:themeColor="text1"/>
        </w:rPr>
        <w:t xml:space="preserve"> represents the difference in adjust group means in students’ final course grades between the virtual and hybrid instructional formats,</w:t>
      </w:r>
      <w:r w:rsidR="00AC4789">
        <w:rPr>
          <w:color w:val="000000" w:themeColor="text1"/>
        </w:rPr>
        <w:t xml:space="preserve"> </w:t>
      </w:r>
      <w:r w:rsidR="00AC4789" w:rsidRPr="00AC4789">
        <w:rPr>
          <w:color w:val="000000" w:themeColor="text1"/>
        </w:rPr>
        <w:t>1μ</w:t>
      </w:r>
      <w:r w:rsidR="00AC4789">
        <w:rPr>
          <w:color w:val="000000" w:themeColor="text1"/>
          <w:vertAlign w:val="subscript"/>
        </w:rPr>
        <w:t>virtual</w:t>
      </w:r>
      <w:r w:rsidR="00AC4789" w:rsidRPr="00AC4789">
        <w:rPr>
          <w:color w:val="000000" w:themeColor="text1"/>
        </w:rPr>
        <w:t xml:space="preserve"> </w:t>
      </w:r>
      <w:r w:rsidR="00AA2095">
        <w:rPr>
          <w:color w:val="000000" w:themeColor="text1"/>
        </w:rPr>
        <w:t xml:space="preserve"> represents the adjusted group mean of final course grade conditioned on prior GPA for participants in the virtual </w:t>
      </w:r>
      <w:r w:rsidR="00AC4789">
        <w:rPr>
          <w:color w:val="000000" w:themeColor="text1"/>
        </w:rPr>
        <w:t xml:space="preserve">instructional format, and </w:t>
      </w:r>
      <w:r w:rsidR="00AC4789" w:rsidRPr="00AC4789">
        <w:rPr>
          <w:color w:val="000000" w:themeColor="text1"/>
        </w:rPr>
        <w:t>1μ</w:t>
      </w:r>
      <w:r w:rsidR="00AC4789">
        <w:rPr>
          <w:color w:val="000000" w:themeColor="text1"/>
          <w:vertAlign w:val="subscript"/>
        </w:rPr>
        <w:t>hybrid</w:t>
      </w:r>
      <w:r w:rsidR="00AC4789">
        <w:rPr>
          <w:color w:val="000000" w:themeColor="text1"/>
        </w:rPr>
        <w:t xml:space="preserve"> </w:t>
      </w:r>
      <w:r w:rsidR="00AC4789">
        <w:rPr>
          <w:color w:val="000000" w:themeColor="text1"/>
        </w:rPr>
        <w:t xml:space="preserve">represents the adjusted group mean of final course grade conditioned on prior GPA for participants in the </w:t>
      </w:r>
      <w:r w:rsidR="00AC4789">
        <w:rPr>
          <w:color w:val="000000" w:themeColor="text1"/>
        </w:rPr>
        <w:t>hybrid</w:t>
      </w:r>
      <w:r w:rsidR="00AC4789">
        <w:rPr>
          <w:color w:val="000000" w:themeColor="text1"/>
        </w:rPr>
        <w:t xml:space="preserve"> instructional format</w:t>
      </w:r>
      <w:r w:rsidR="00AC4789">
        <w:rPr>
          <w:color w:val="000000" w:themeColor="text1"/>
        </w:rPr>
        <w:t>.</w:t>
      </w:r>
    </w:p>
    <w:p w14:paraId="7162A64F" w14:textId="623736D8" w:rsidR="00F439CC" w:rsidRPr="00F439CC" w:rsidRDefault="00F439CC" w:rsidP="00654490">
      <w:pPr>
        <w:pStyle w:val="NormalWeb"/>
        <w:ind w:left="360"/>
        <w:contextualSpacing/>
        <w:rPr>
          <w:color w:val="FF0000"/>
        </w:rPr>
      </w:pPr>
    </w:p>
    <w:p w14:paraId="06890D73" w14:textId="1704F686" w:rsidR="00626C40" w:rsidRDefault="00626C40" w:rsidP="000766DB">
      <w:pPr>
        <w:pStyle w:val="NormalWeb"/>
        <w:numPr>
          <w:ilvl w:val="0"/>
          <w:numId w:val="8"/>
        </w:numPr>
        <w:contextualSpacing/>
        <w:rPr>
          <w:color w:val="FF0000"/>
        </w:rPr>
      </w:pPr>
      <w:r w:rsidRPr="000766DB">
        <w:rPr>
          <w:color w:val="FF0000"/>
        </w:rPr>
        <w:t xml:space="preserve">describe how Type I error rate will be managed (these latter two parts should be more </w:t>
      </w:r>
      <w:r w:rsidR="000766DB" w:rsidRPr="000766DB">
        <w:rPr>
          <w:color w:val="FF0000"/>
        </w:rPr>
        <w:t xml:space="preserve"> </w:t>
      </w:r>
      <w:r w:rsidRPr="000766DB">
        <w:rPr>
          <w:color w:val="FF0000"/>
        </w:rPr>
        <w:t xml:space="preserve">technical in this project than they would be in, say, a typical research paper, because the focus of this course is on the methods, per se) </w:t>
      </w:r>
    </w:p>
    <w:p w14:paraId="5053CE4B" w14:textId="065BAF4C" w:rsidR="009B66FD" w:rsidRDefault="009B66FD" w:rsidP="009B66FD">
      <w:pPr>
        <w:pStyle w:val="NormalWeb"/>
        <w:contextualSpacing/>
        <w:rPr>
          <w:color w:val="000000" w:themeColor="text1"/>
        </w:rPr>
      </w:pPr>
      <w:r>
        <w:rPr>
          <w:color w:val="000000" w:themeColor="text1"/>
        </w:rPr>
        <w:lastRenderedPageBreak/>
        <w:t xml:space="preserve">Finally, the following considerations were made in order to control the Type I error rate at </w:t>
      </w:r>
      <w:r>
        <w:rPr>
          <w:color w:val="000000" w:themeColor="text1"/>
        </w:rPr>
        <w:sym w:font="Symbol" w:char="F061"/>
      </w:r>
      <w:r>
        <w:rPr>
          <w:color w:val="000000" w:themeColor="text1"/>
        </w:rPr>
        <w:t xml:space="preserve"> = .05. First, with regards to the tenability of the assumption of constant variance, a Welch-Satterthwaite correction was utilized to correct for inverse pairings… Additionally, for pairwise comparisons of adjusted group means, </w:t>
      </w:r>
      <w:r w:rsidR="005D3560">
        <w:rPr>
          <w:color w:val="000000" w:themeColor="text1"/>
        </w:rPr>
        <w:t xml:space="preserve">Tukey’s HSD correction was applied to maintain the familywise Type I error rate at </w:t>
      </w:r>
      <w:r w:rsidR="005D3560">
        <w:rPr>
          <w:color w:val="000000" w:themeColor="text1"/>
        </w:rPr>
        <w:sym w:font="Symbol" w:char="F061"/>
      </w:r>
      <w:r w:rsidR="005D3560">
        <w:rPr>
          <w:color w:val="000000" w:themeColor="text1"/>
        </w:rPr>
        <w:t xml:space="preserve"> = .05.  </w:t>
      </w:r>
    </w:p>
    <w:p w14:paraId="5719394C" w14:textId="52D5AA20" w:rsidR="00626C40" w:rsidRDefault="00626C40" w:rsidP="00626C40">
      <w:pPr>
        <w:pStyle w:val="NormalWeb"/>
        <w:contextualSpacing/>
        <w:rPr>
          <w:b/>
          <w:bCs/>
        </w:rPr>
      </w:pPr>
    </w:p>
    <w:p w14:paraId="69EC740D" w14:textId="600189D9" w:rsidR="00626C40" w:rsidRDefault="00626C40" w:rsidP="00626C40">
      <w:pPr>
        <w:pStyle w:val="NormalWeb"/>
        <w:contextualSpacing/>
        <w:rPr>
          <w:b/>
          <w:bCs/>
        </w:rPr>
      </w:pPr>
    </w:p>
    <w:p w14:paraId="36124457" w14:textId="21B73033" w:rsidR="00626C40" w:rsidRDefault="00626C40" w:rsidP="00626C40">
      <w:pPr>
        <w:pStyle w:val="NormalWeb"/>
        <w:contextualSpacing/>
        <w:rPr>
          <w:b/>
          <w:bCs/>
        </w:rPr>
      </w:pPr>
      <w:r>
        <w:rPr>
          <w:b/>
          <w:bCs/>
        </w:rPr>
        <w:t xml:space="preserve">Results </w:t>
      </w:r>
    </w:p>
    <w:p w14:paraId="0BC0DE56" w14:textId="66A3AA4A" w:rsidR="00626C40" w:rsidRDefault="00626C40" w:rsidP="00626C40">
      <w:pPr>
        <w:pStyle w:val="NormalWeb"/>
        <w:contextualSpacing/>
        <w:rPr>
          <w:b/>
          <w:bCs/>
        </w:rPr>
      </w:pPr>
    </w:p>
    <w:p w14:paraId="2FC8D2B8" w14:textId="77777777" w:rsidR="00C5272B" w:rsidRDefault="00C5272B" w:rsidP="00626C40">
      <w:pPr>
        <w:pStyle w:val="NormalWeb"/>
        <w:contextualSpacing/>
        <w:rPr>
          <w:b/>
          <w:bCs/>
        </w:rPr>
      </w:pPr>
    </w:p>
    <w:p w14:paraId="0E484F12" w14:textId="77777777" w:rsidR="00C5272B" w:rsidRDefault="00626C40" w:rsidP="00626C40">
      <w:pPr>
        <w:pStyle w:val="NormalWeb"/>
        <w:numPr>
          <w:ilvl w:val="0"/>
          <w:numId w:val="9"/>
        </w:numPr>
        <w:contextualSpacing/>
        <w:rPr>
          <w:color w:val="FF0000"/>
        </w:rPr>
      </w:pPr>
      <w:r w:rsidRPr="00C5272B">
        <w:rPr>
          <w:color w:val="FF0000"/>
        </w:rPr>
        <w:t>discuss tenability of assumptions with evidence including plots and/or statistical tests,</w:t>
      </w:r>
    </w:p>
    <w:p w14:paraId="44EAC8B8" w14:textId="77777777" w:rsidR="00C5272B" w:rsidRDefault="00C5272B" w:rsidP="00C5272B">
      <w:pPr>
        <w:pStyle w:val="NormalWeb"/>
        <w:contextualSpacing/>
        <w:rPr>
          <w:color w:val="000000" w:themeColor="text1"/>
        </w:rPr>
      </w:pPr>
    </w:p>
    <w:p w14:paraId="70FD5E82" w14:textId="0491C016" w:rsidR="000019FD" w:rsidRDefault="00C5272B" w:rsidP="000019FD">
      <w:pPr>
        <w:pStyle w:val="NormalWeb"/>
        <w:numPr>
          <w:ilvl w:val="0"/>
          <w:numId w:val="9"/>
        </w:numPr>
        <w:contextualSpacing/>
        <w:rPr>
          <w:color w:val="000000" w:themeColor="text1"/>
        </w:rPr>
      </w:pPr>
      <w:r>
        <w:rPr>
          <w:color w:val="000000" w:themeColor="text1"/>
        </w:rPr>
        <w:t>To test the assumption of constant variance</w:t>
      </w:r>
      <w:r w:rsidR="00053FBC">
        <w:rPr>
          <w:color w:val="000000" w:themeColor="text1"/>
        </w:rPr>
        <w:t xml:space="preserve"> of final course grades</w:t>
      </w:r>
      <w:r>
        <w:rPr>
          <w:color w:val="000000" w:themeColor="text1"/>
        </w:rPr>
        <w:t xml:space="preserve"> for one-way ANOVA</w:t>
      </w:r>
      <w:r w:rsidR="00053FBC">
        <w:rPr>
          <w:color w:val="000000" w:themeColor="text1"/>
        </w:rPr>
        <w:t xml:space="preserve"> with unequal-n size</w:t>
      </w:r>
      <w:r>
        <w:rPr>
          <w:color w:val="000000" w:themeColor="text1"/>
        </w:rPr>
        <w:t xml:space="preserve">, </w:t>
      </w:r>
      <w:r w:rsidR="00053FBC">
        <w:rPr>
          <w:color w:val="000000" w:themeColor="text1"/>
        </w:rPr>
        <w:t xml:space="preserve">Maxwell et al. (2017)’s variance ratio was computed. Specifically, the product of the largest </w:t>
      </w:r>
      <w:proofErr w:type="spellStart"/>
      <w:r w:rsidR="00053FBC">
        <w:rPr>
          <w:color w:val="000000" w:themeColor="text1"/>
        </w:rPr>
        <w:t xml:space="preserve">ratio </w:t>
      </w:r>
      <w:proofErr w:type="spellEnd"/>
      <w:r w:rsidR="00053FBC">
        <w:rPr>
          <w:color w:val="000000" w:themeColor="text1"/>
        </w:rPr>
        <w:t xml:space="preserve">of variances and the ratio of the largest group size to the smallest group size was calculated and observed to be less than 4, providing evidence for heterogeneity of variance. </w:t>
      </w:r>
      <w:r w:rsidR="000019FD">
        <w:rPr>
          <w:color w:val="000000" w:themeColor="text1"/>
        </w:rPr>
        <w:t>In addition</w:t>
      </w:r>
      <w:r w:rsidR="00053FBC">
        <w:rPr>
          <w:color w:val="000000" w:themeColor="text1"/>
        </w:rPr>
        <w:t xml:space="preserve">, the ANOVA assumption of constant variance was evaluated with </w:t>
      </w:r>
      <w:proofErr w:type="spellStart"/>
      <w:r w:rsidR="00053FBC">
        <w:rPr>
          <w:color w:val="000000" w:themeColor="text1"/>
        </w:rPr>
        <w:t>Levene’s</w:t>
      </w:r>
      <w:proofErr w:type="spellEnd"/>
      <w:r w:rsidR="00053FBC">
        <w:rPr>
          <w:color w:val="000000" w:themeColor="text1"/>
        </w:rPr>
        <w:t xml:space="preserve"> test of homogeneity of variance. The results were not significant, </w:t>
      </w:r>
      <w:r w:rsidR="00053FBC" w:rsidRPr="00053FBC">
        <w:rPr>
          <w:i/>
          <w:iCs/>
          <w:color w:val="000000" w:themeColor="text1"/>
        </w:rPr>
        <w:t>F</w:t>
      </w:r>
      <w:r w:rsidR="00053FBC">
        <w:rPr>
          <w:color w:val="000000" w:themeColor="text1"/>
        </w:rPr>
        <w:t xml:space="preserve">(1,272) = 1.99, </w:t>
      </w:r>
      <w:r w:rsidR="00053FBC" w:rsidRPr="00053FBC">
        <w:rPr>
          <w:i/>
          <w:iCs/>
          <w:color w:val="000000" w:themeColor="text1"/>
        </w:rPr>
        <w:t>p</w:t>
      </w:r>
      <w:r w:rsidR="00053FBC">
        <w:rPr>
          <w:color w:val="000000" w:themeColor="text1"/>
        </w:rPr>
        <w:t xml:space="preserve"> = .14), indicating that there</w:t>
      </w:r>
      <w:r w:rsidR="00E00B2F">
        <w:rPr>
          <w:color w:val="000000" w:themeColor="text1"/>
        </w:rPr>
        <w:t xml:space="preserve"> was insufficient evidence to reject the null hypothesis of constant variance.</w:t>
      </w:r>
      <w:r w:rsidR="000019FD">
        <w:rPr>
          <w:color w:val="000000" w:themeColor="text1"/>
        </w:rPr>
        <w:t xml:space="preserve"> As a third indicator of group variances, a boxplot of students’ final course grade by experimental condition were visualized in Figure </w:t>
      </w:r>
      <w:r w:rsidR="005B7DA1">
        <w:rPr>
          <w:color w:val="000000" w:themeColor="text1"/>
        </w:rPr>
        <w:t>1</w:t>
      </w:r>
      <w:r w:rsidR="000019FD">
        <w:rPr>
          <w:color w:val="000000" w:themeColor="text1"/>
        </w:rPr>
        <w:t xml:space="preserve">. Similar to the outcome of the variance ratio statistic and </w:t>
      </w:r>
      <w:proofErr w:type="spellStart"/>
      <w:r w:rsidR="000019FD">
        <w:rPr>
          <w:color w:val="000000" w:themeColor="text1"/>
        </w:rPr>
        <w:t>Levene’s</w:t>
      </w:r>
      <w:proofErr w:type="spellEnd"/>
      <w:r w:rsidR="000019FD">
        <w:rPr>
          <w:color w:val="000000" w:themeColor="text1"/>
        </w:rPr>
        <w:t xml:space="preserve"> test, visual inspection of Figure </w:t>
      </w:r>
      <w:r w:rsidR="005B7DA1">
        <w:rPr>
          <w:color w:val="000000" w:themeColor="text1"/>
        </w:rPr>
        <w:t>1</w:t>
      </w:r>
      <w:r w:rsidR="000019FD">
        <w:rPr>
          <w:color w:val="000000" w:themeColor="text1"/>
        </w:rPr>
        <w:t xml:space="preserve"> suggested similar group variances across all three treatment levels. </w:t>
      </w:r>
    </w:p>
    <w:p w14:paraId="4133475B" w14:textId="21F0FE24" w:rsidR="000019FD" w:rsidRPr="000019FD" w:rsidRDefault="000019FD" w:rsidP="000019FD">
      <w:pPr>
        <w:pStyle w:val="NormalWeb"/>
        <w:contextualSpacing/>
        <w:rPr>
          <w:color w:val="000000" w:themeColor="text1"/>
        </w:rPr>
      </w:pPr>
    </w:p>
    <w:p w14:paraId="16B087B8" w14:textId="242C13B7" w:rsidR="005B7DA1" w:rsidRDefault="000019FD" w:rsidP="000019FD">
      <w:pPr>
        <w:pStyle w:val="NormalWeb"/>
        <w:contextualSpacing/>
        <w:rPr>
          <w:i/>
          <w:iCs/>
          <w:color w:val="000000" w:themeColor="text1"/>
        </w:rPr>
      </w:pPr>
      <w:r w:rsidRPr="005B7DA1">
        <w:rPr>
          <w:b/>
          <w:bCs/>
          <w:color w:val="000000" w:themeColor="text1"/>
        </w:rPr>
        <w:t xml:space="preserve">Figure </w:t>
      </w:r>
      <w:r w:rsidR="005B7DA1">
        <w:rPr>
          <w:b/>
          <w:bCs/>
          <w:color w:val="000000" w:themeColor="text1"/>
        </w:rPr>
        <w:t>1</w:t>
      </w:r>
      <w:r w:rsidR="005B7DA1" w:rsidRPr="005B7DA1">
        <w:rPr>
          <w:b/>
          <w:bCs/>
          <w:color w:val="000000" w:themeColor="text1"/>
        </w:rPr>
        <w:br/>
      </w:r>
    </w:p>
    <w:p w14:paraId="3185B1A9" w14:textId="71E5C481" w:rsidR="000019FD" w:rsidRPr="000019FD" w:rsidRDefault="000019FD" w:rsidP="000019FD">
      <w:pPr>
        <w:pStyle w:val="NormalWeb"/>
        <w:contextualSpacing/>
        <w:rPr>
          <w:i/>
          <w:iCs/>
          <w:color w:val="000000" w:themeColor="text1"/>
        </w:rPr>
      </w:pPr>
      <w:r w:rsidRPr="000019FD">
        <w:rPr>
          <w:i/>
          <w:iCs/>
          <w:color w:val="000000" w:themeColor="text1"/>
        </w:rPr>
        <w:t>Boxplot of Final Course Grade by Instructional Format</w:t>
      </w:r>
    </w:p>
    <w:p w14:paraId="3B435817" w14:textId="2197300A" w:rsidR="000019FD" w:rsidRDefault="000019FD" w:rsidP="000019FD">
      <w:pPr>
        <w:pStyle w:val="NormalWeb"/>
        <w:contextualSpacing/>
        <w:rPr>
          <w:color w:val="000000" w:themeColor="text1"/>
        </w:rPr>
      </w:pPr>
    </w:p>
    <w:p w14:paraId="401AC6A0" w14:textId="05028177" w:rsidR="000019FD" w:rsidRPr="000019FD" w:rsidRDefault="000019FD" w:rsidP="000019FD">
      <w:pPr>
        <w:pStyle w:val="NormalWeb"/>
        <w:contextualSpacing/>
        <w:rPr>
          <w:color w:val="000000" w:themeColor="text1"/>
        </w:rPr>
      </w:pPr>
      <w:r>
        <w:rPr>
          <w:noProof/>
          <w:color w:val="000000" w:themeColor="text1"/>
        </w:rPr>
        <w:drawing>
          <wp:anchor distT="0" distB="0" distL="114300" distR="114300" simplePos="0" relativeHeight="251660288" behindDoc="1" locked="0" layoutInCell="1" allowOverlap="1" wp14:anchorId="4C2D6794" wp14:editId="117A3873">
            <wp:simplePos x="0" y="0"/>
            <wp:positionH relativeFrom="margin">
              <wp:align>center</wp:align>
            </wp:positionH>
            <wp:positionV relativeFrom="paragraph">
              <wp:posOffset>0</wp:posOffset>
            </wp:positionV>
            <wp:extent cx="3442145" cy="2540053"/>
            <wp:effectExtent l="0" t="0" r="0" b="0"/>
            <wp:wrapTight wrapText="bothSides">
              <wp:wrapPolygon edited="0">
                <wp:start x="0" y="0"/>
                <wp:lineTo x="0" y="21492"/>
                <wp:lineTo x="21520" y="21492"/>
                <wp:lineTo x="21520" y="0"/>
                <wp:lineTo x="0" y="0"/>
              </wp:wrapPolygon>
            </wp:wrapTight>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145" cy="2540053"/>
                    </a:xfrm>
                    <a:prstGeom prst="rect">
                      <a:avLst/>
                    </a:prstGeom>
                  </pic:spPr>
                </pic:pic>
              </a:graphicData>
            </a:graphic>
            <wp14:sizeRelH relativeFrom="page">
              <wp14:pctWidth>0</wp14:pctWidth>
            </wp14:sizeRelH>
            <wp14:sizeRelV relativeFrom="page">
              <wp14:pctHeight>0</wp14:pctHeight>
            </wp14:sizeRelV>
          </wp:anchor>
        </w:drawing>
      </w:r>
    </w:p>
    <w:p w14:paraId="271C917E" w14:textId="2372C88B" w:rsidR="000019FD" w:rsidRDefault="000019FD" w:rsidP="000019FD">
      <w:pPr>
        <w:pStyle w:val="NormalWeb"/>
        <w:contextualSpacing/>
        <w:rPr>
          <w:color w:val="000000" w:themeColor="text1"/>
        </w:rPr>
      </w:pPr>
    </w:p>
    <w:p w14:paraId="058432D3" w14:textId="3B9E7037" w:rsidR="000019FD" w:rsidRDefault="000019FD" w:rsidP="000019FD">
      <w:pPr>
        <w:pStyle w:val="NormalWeb"/>
        <w:contextualSpacing/>
        <w:rPr>
          <w:color w:val="000000" w:themeColor="text1"/>
        </w:rPr>
      </w:pPr>
    </w:p>
    <w:p w14:paraId="4843C439" w14:textId="2E7E6B5F" w:rsidR="000019FD" w:rsidRDefault="000019FD" w:rsidP="000019FD">
      <w:pPr>
        <w:pStyle w:val="NormalWeb"/>
        <w:contextualSpacing/>
        <w:rPr>
          <w:color w:val="000000" w:themeColor="text1"/>
        </w:rPr>
      </w:pPr>
    </w:p>
    <w:p w14:paraId="42E9F2A7" w14:textId="240ED406" w:rsidR="000019FD" w:rsidRDefault="000019FD" w:rsidP="000019FD">
      <w:pPr>
        <w:pStyle w:val="NormalWeb"/>
        <w:contextualSpacing/>
        <w:rPr>
          <w:color w:val="000000" w:themeColor="text1"/>
        </w:rPr>
      </w:pPr>
    </w:p>
    <w:p w14:paraId="67E8BE79" w14:textId="66E00F0E" w:rsidR="000019FD" w:rsidRDefault="000019FD" w:rsidP="000019FD">
      <w:pPr>
        <w:pStyle w:val="NormalWeb"/>
        <w:contextualSpacing/>
        <w:rPr>
          <w:color w:val="000000" w:themeColor="text1"/>
        </w:rPr>
      </w:pPr>
    </w:p>
    <w:p w14:paraId="3CAE89E4" w14:textId="0EECC8B2" w:rsidR="000019FD" w:rsidRDefault="000019FD" w:rsidP="000019FD">
      <w:pPr>
        <w:pStyle w:val="NormalWeb"/>
        <w:contextualSpacing/>
        <w:rPr>
          <w:color w:val="000000" w:themeColor="text1"/>
        </w:rPr>
      </w:pPr>
    </w:p>
    <w:p w14:paraId="2CDC187A" w14:textId="12A3C28F" w:rsidR="000019FD" w:rsidRDefault="000019FD" w:rsidP="000019FD">
      <w:pPr>
        <w:pStyle w:val="NormalWeb"/>
        <w:contextualSpacing/>
        <w:rPr>
          <w:color w:val="000000" w:themeColor="text1"/>
        </w:rPr>
      </w:pPr>
    </w:p>
    <w:p w14:paraId="2F6BB14E" w14:textId="517DD081" w:rsidR="000019FD" w:rsidRDefault="000019FD" w:rsidP="000019FD">
      <w:pPr>
        <w:pStyle w:val="NormalWeb"/>
        <w:contextualSpacing/>
        <w:rPr>
          <w:color w:val="000000" w:themeColor="text1"/>
        </w:rPr>
      </w:pPr>
    </w:p>
    <w:p w14:paraId="62B4D687" w14:textId="4E96E7F0" w:rsidR="000019FD" w:rsidRDefault="000019FD" w:rsidP="000019FD">
      <w:pPr>
        <w:pStyle w:val="NormalWeb"/>
        <w:contextualSpacing/>
        <w:rPr>
          <w:color w:val="000000" w:themeColor="text1"/>
        </w:rPr>
      </w:pPr>
    </w:p>
    <w:p w14:paraId="0E4CB570" w14:textId="2FD93599" w:rsidR="000019FD" w:rsidRDefault="000019FD" w:rsidP="000019FD">
      <w:pPr>
        <w:pStyle w:val="NormalWeb"/>
        <w:contextualSpacing/>
        <w:rPr>
          <w:color w:val="000000" w:themeColor="text1"/>
        </w:rPr>
      </w:pPr>
    </w:p>
    <w:p w14:paraId="3AE9F2FE" w14:textId="3C1BCDE5" w:rsidR="000019FD" w:rsidRDefault="000019FD" w:rsidP="000019FD">
      <w:pPr>
        <w:pStyle w:val="NormalWeb"/>
        <w:contextualSpacing/>
        <w:rPr>
          <w:color w:val="000000" w:themeColor="text1"/>
        </w:rPr>
      </w:pPr>
    </w:p>
    <w:p w14:paraId="11B698F2" w14:textId="25162BB8" w:rsidR="000019FD" w:rsidRDefault="000019FD" w:rsidP="000019FD">
      <w:pPr>
        <w:pStyle w:val="NormalWeb"/>
        <w:contextualSpacing/>
        <w:rPr>
          <w:color w:val="000000" w:themeColor="text1"/>
        </w:rPr>
      </w:pPr>
    </w:p>
    <w:p w14:paraId="5E980756" w14:textId="095E51C0" w:rsidR="000019FD" w:rsidRDefault="000019FD" w:rsidP="000019FD">
      <w:pPr>
        <w:pStyle w:val="NormalWeb"/>
        <w:contextualSpacing/>
        <w:rPr>
          <w:color w:val="000000" w:themeColor="text1"/>
        </w:rPr>
      </w:pPr>
    </w:p>
    <w:p w14:paraId="0272EE9F" w14:textId="0E390243" w:rsidR="000019FD" w:rsidRDefault="000019FD" w:rsidP="000019FD">
      <w:pPr>
        <w:pStyle w:val="NormalWeb"/>
        <w:contextualSpacing/>
        <w:rPr>
          <w:color w:val="000000" w:themeColor="text1"/>
        </w:rPr>
      </w:pPr>
    </w:p>
    <w:p w14:paraId="3C18762C" w14:textId="77777777" w:rsidR="000019FD" w:rsidRPr="000019FD" w:rsidRDefault="000019FD" w:rsidP="000019FD">
      <w:pPr>
        <w:pStyle w:val="NormalWeb"/>
        <w:contextualSpacing/>
        <w:rPr>
          <w:color w:val="000000" w:themeColor="text1"/>
        </w:rPr>
      </w:pPr>
    </w:p>
    <w:p w14:paraId="203F8D62" w14:textId="0D536541" w:rsidR="00C5272B" w:rsidRDefault="00E00B2F" w:rsidP="00C5272B">
      <w:pPr>
        <w:pStyle w:val="NormalWeb"/>
        <w:numPr>
          <w:ilvl w:val="0"/>
          <w:numId w:val="9"/>
        </w:numPr>
        <w:contextualSpacing/>
        <w:rPr>
          <w:color w:val="000000" w:themeColor="text1"/>
        </w:rPr>
      </w:pPr>
      <w:r>
        <w:rPr>
          <w:color w:val="000000" w:themeColor="text1"/>
        </w:rPr>
        <w:lastRenderedPageBreak/>
        <w:t xml:space="preserve">Next, to test the assumption of normality, a QQ plot of residuals of students’ final course grade was generated (Figure </w:t>
      </w:r>
      <w:r w:rsidR="000019FD">
        <w:rPr>
          <w:color w:val="000000" w:themeColor="text1"/>
        </w:rPr>
        <w:t>2</w:t>
      </w:r>
      <w:r>
        <w:rPr>
          <w:color w:val="000000" w:themeColor="text1"/>
        </w:rPr>
        <w:t xml:space="preserve">). Visual inspection of the Figure </w:t>
      </w:r>
      <w:r w:rsidR="000019FD">
        <w:rPr>
          <w:color w:val="000000" w:themeColor="text1"/>
        </w:rPr>
        <w:t>2</w:t>
      </w:r>
      <w:r>
        <w:rPr>
          <w:color w:val="000000" w:themeColor="text1"/>
        </w:rPr>
        <w:t xml:space="preserve"> revealed tha</w:t>
      </w:r>
      <w:r w:rsidR="008602AD">
        <w:rPr>
          <w:color w:val="000000" w:themeColor="text1"/>
        </w:rPr>
        <w:t>t the sample data appears to be normally distributed with a few outliers in the lowest quantiles</w:t>
      </w:r>
    </w:p>
    <w:p w14:paraId="5360260F" w14:textId="0AC78892" w:rsidR="005B7DA1" w:rsidRDefault="005B7DA1" w:rsidP="005B7DA1">
      <w:pPr>
        <w:pStyle w:val="NormalWeb"/>
        <w:contextualSpacing/>
        <w:rPr>
          <w:color w:val="000000" w:themeColor="text1"/>
        </w:rPr>
      </w:pPr>
    </w:p>
    <w:p w14:paraId="23CF0908" w14:textId="49FD271A" w:rsidR="005B7DA1" w:rsidRPr="005B7DA1" w:rsidRDefault="005B7DA1" w:rsidP="005B7DA1">
      <w:pPr>
        <w:pStyle w:val="NormalWeb"/>
        <w:contextualSpacing/>
        <w:rPr>
          <w:b/>
          <w:bCs/>
          <w:color w:val="000000" w:themeColor="text1"/>
        </w:rPr>
      </w:pPr>
      <w:r w:rsidRPr="005B7DA1">
        <w:rPr>
          <w:b/>
          <w:bCs/>
          <w:color w:val="000000" w:themeColor="text1"/>
        </w:rPr>
        <w:t>Figure 2</w:t>
      </w:r>
    </w:p>
    <w:p w14:paraId="0FD1DF33" w14:textId="016C5756" w:rsidR="005B7DA1" w:rsidRDefault="005B7DA1" w:rsidP="005B7DA1">
      <w:pPr>
        <w:pStyle w:val="NormalWeb"/>
        <w:contextualSpacing/>
        <w:rPr>
          <w:color w:val="000000" w:themeColor="text1"/>
        </w:rPr>
      </w:pPr>
    </w:p>
    <w:p w14:paraId="345F2D60" w14:textId="4DBBE212" w:rsidR="005B7DA1" w:rsidRPr="005B7DA1" w:rsidRDefault="005B7DA1" w:rsidP="005B7DA1">
      <w:pPr>
        <w:pStyle w:val="NormalWeb"/>
        <w:contextualSpacing/>
        <w:rPr>
          <w:i/>
          <w:iCs/>
          <w:color w:val="000000" w:themeColor="text1"/>
        </w:rPr>
      </w:pPr>
      <w:r w:rsidRPr="005B7DA1">
        <w:rPr>
          <w:i/>
          <w:iCs/>
          <w:color w:val="000000" w:themeColor="text1"/>
        </w:rPr>
        <w:t xml:space="preserve">QQ Plot of Residuals for Final Course Grade </w:t>
      </w:r>
    </w:p>
    <w:p w14:paraId="1CC7B351" w14:textId="77777777" w:rsidR="005B7DA1" w:rsidRDefault="005B7DA1" w:rsidP="00C5272B">
      <w:pPr>
        <w:pStyle w:val="NormalWeb"/>
        <w:contextualSpacing/>
        <w:rPr>
          <w:color w:val="FF0000"/>
        </w:rPr>
      </w:pPr>
    </w:p>
    <w:p w14:paraId="3833955C" w14:textId="0C518935" w:rsidR="005B7DA1" w:rsidRDefault="00002255" w:rsidP="00C5272B">
      <w:pPr>
        <w:pStyle w:val="NormalWeb"/>
        <w:contextualSpacing/>
        <w:rPr>
          <w:color w:val="FF0000"/>
        </w:rPr>
      </w:pPr>
      <w:r>
        <w:rPr>
          <w:noProof/>
          <w:color w:val="FF0000"/>
        </w:rPr>
        <w:drawing>
          <wp:anchor distT="0" distB="0" distL="114300" distR="114300" simplePos="0" relativeHeight="251663360" behindDoc="1" locked="0" layoutInCell="1" allowOverlap="1" wp14:anchorId="2F09690F" wp14:editId="6052E6AE">
            <wp:simplePos x="0" y="0"/>
            <wp:positionH relativeFrom="margin">
              <wp:align>center</wp:align>
            </wp:positionH>
            <wp:positionV relativeFrom="paragraph">
              <wp:posOffset>176930</wp:posOffset>
            </wp:positionV>
            <wp:extent cx="4178893" cy="2821305"/>
            <wp:effectExtent l="0" t="0" r="0" b="0"/>
            <wp:wrapTight wrapText="bothSides">
              <wp:wrapPolygon edited="0">
                <wp:start x="0" y="0"/>
                <wp:lineTo x="0" y="21488"/>
                <wp:lineTo x="21534" y="21488"/>
                <wp:lineTo x="21534"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3">
                      <a:extLst>
                        <a:ext uri="{28A0092B-C50C-407E-A947-70E740481C1C}">
                          <a14:useLocalDpi xmlns:a14="http://schemas.microsoft.com/office/drawing/2010/main" val="0"/>
                        </a:ext>
                      </a:extLst>
                    </a:blip>
                    <a:srcRect t="13151" r="5073"/>
                    <a:stretch/>
                  </pic:blipFill>
                  <pic:spPr bwMode="auto">
                    <a:xfrm>
                      <a:off x="0" y="0"/>
                      <a:ext cx="4178893" cy="2821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4DE2E" w14:textId="6768926D" w:rsidR="005B7DA1" w:rsidRDefault="005B7DA1" w:rsidP="00C5272B">
      <w:pPr>
        <w:pStyle w:val="NormalWeb"/>
        <w:contextualSpacing/>
        <w:rPr>
          <w:color w:val="FF0000"/>
        </w:rPr>
      </w:pPr>
    </w:p>
    <w:p w14:paraId="0B1B9086" w14:textId="77777777" w:rsidR="005B7DA1" w:rsidRDefault="005B7DA1" w:rsidP="00C5272B">
      <w:pPr>
        <w:pStyle w:val="NormalWeb"/>
        <w:contextualSpacing/>
        <w:rPr>
          <w:color w:val="FF0000"/>
        </w:rPr>
      </w:pPr>
    </w:p>
    <w:p w14:paraId="57F28D6E" w14:textId="77777777" w:rsidR="005B7DA1" w:rsidRDefault="005B7DA1" w:rsidP="00C5272B">
      <w:pPr>
        <w:pStyle w:val="NormalWeb"/>
        <w:contextualSpacing/>
        <w:rPr>
          <w:color w:val="FF0000"/>
        </w:rPr>
      </w:pPr>
    </w:p>
    <w:p w14:paraId="0EF4CF25" w14:textId="424D89EE" w:rsidR="00626C40" w:rsidRDefault="00626C40" w:rsidP="00C5272B">
      <w:pPr>
        <w:pStyle w:val="NormalWeb"/>
        <w:contextualSpacing/>
        <w:rPr>
          <w:color w:val="FF0000"/>
        </w:rPr>
      </w:pPr>
      <w:r w:rsidRPr="00C5272B">
        <w:rPr>
          <w:color w:val="FF0000"/>
        </w:rPr>
        <w:t xml:space="preserve"> </w:t>
      </w:r>
    </w:p>
    <w:p w14:paraId="33B13EA9" w14:textId="31BDB303" w:rsidR="00002255" w:rsidRDefault="00002255" w:rsidP="00C5272B">
      <w:pPr>
        <w:pStyle w:val="NormalWeb"/>
        <w:contextualSpacing/>
        <w:rPr>
          <w:color w:val="FF0000"/>
        </w:rPr>
      </w:pPr>
    </w:p>
    <w:p w14:paraId="558936DB" w14:textId="0C0A5551" w:rsidR="00002255" w:rsidRDefault="00002255" w:rsidP="00C5272B">
      <w:pPr>
        <w:pStyle w:val="NormalWeb"/>
        <w:contextualSpacing/>
        <w:rPr>
          <w:color w:val="FF0000"/>
        </w:rPr>
      </w:pPr>
    </w:p>
    <w:p w14:paraId="0377AB2B" w14:textId="20EE4094" w:rsidR="00002255" w:rsidRDefault="00002255" w:rsidP="00C5272B">
      <w:pPr>
        <w:pStyle w:val="NormalWeb"/>
        <w:contextualSpacing/>
        <w:rPr>
          <w:color w:val="FF0000"/>
        </w:rPr>
      </w:pPr>
    </w:p>
    <w:p w14:paraId="6F302AD4" w14:textId="25E808A5" w:rsidR="00002255" w:rsidRDefault="00002255" w:rsidP="00C5272B">
      <w:pPr>
        <w:pStyle w:val="NormalWeb"/>
        <w:contextualSpacing/>
        <w:rPr>
          <w:color w:val="FF0000"/>
        </w:rPr>
      </w:pPr>
    </w:p>
    <w:p w14:paraId="51A05EB5" w14:textId="105E2B82" w:rsidR="00002255" w:rsidRDefault="00002255" w:rsidP="00C5272B">
      <w:pPr>
        <w:pStyle w:val="NormalWeb"/>
        <w:contextualSpacing/>
        <w:rPr>
          <w:color w:val="FF0000"/>
        </w:rPr>
      </w:pPr>
    </w:p>
    <w:p w14:paraId="07B7E755" w14:textId="353257D6" w:rsidR="00002255" w:rsidRDefault="00002255" w:rsidP="00C5272B">
      <w:pPr>
        <w:pStyle w:val="NormalWeb"/>
        <w:contextualSpacing/>
        <w:rPr>
          <w:color w:val="FF0000"/>
        </w:rPr>
      </w:pPr>
    </w:p>
    <w:p w14:paraId="676069CF" w14:textId="78C80575" w:rsidR="00002255" w:rsidRDefault="00002255" w:rsidP="00C5272B">
      <w:pPr>
        <w:pStyle w:val="NormalWeb"/>
        <w:contextualSpacing/>
        <w:rPr>
          <w:color w:val="FF0000"/>
        </w:rPr>
      </w:pPr>
    </w:p>
    <w:p w14:paraId="2C8662D9" w14:textId="3A8AF6B9" w:rsidR="00002255" w:rsidRDefault="00002255" w:rsidP="00C5272B">
      <w:pPr>
        <w:pStyle w:val="NormalWeb"/>
        <w:contextualSpacing/>
        <w:rPr>
          <w:color w:val="FF0000"/>
        </w:rPr>
      </w:pPr>
    </w:p>
    <w:p w14:paraId="0027F386" w14:textId="17B606C4" w:rsidR="00002255" w:rsidRDefault="00002255" w:rsidP="00C5272B">
      <w:pPr>
        <w:pStyle w:val="NormalWeb"/>
        <w:contextualSpacing/>
        <w:rPr>
          <w:color w:val="FF0000"/>
        </w:rPr>
      </w:pPr>
    </w:p>
    <w:p w14:paraId="3D2E51B1" w14:textId="3500B5E5" w:rsidR="00002255" w:rsidRDefault="00002255" w:rsidP="00C5272B">
      <w:pPr>
        <w:pStyle w:val="NormalWeb"/>
        <w:contextualSpacing/>
        <w:rPr>
          <w:color w:val="FF0000"/>
        </w:rPr>
      </w:pPr>
    </w:p>
    <w:p w14:paraId="774EDFE4" w14:textId="27F01588" w:rsidR="00002255" w:rsidRDefault="00002255" w:rsidP="00C5272B">
      <w:pPr>
        <w:pStyle w:val="NormalWeb"/>
        <w:contextualSpacing/>
        <w:rPr>
          <w:color w:val="FF0000"/>
        </w:rPr>
      </w:pPr>
    </w:p>
    <w:p w14:paraId="4076C4DE" w14:textId="276B56E9" w:rsidR="00002255" w:rsidRDefault="00002255" w:rsidP="00C5272B">
      <w:pPr>
        <w:pStyle w:val="NormalWeb"/>
        <w:contextualSpacing/>
        <w:rPr>
          <w:color w:val="FF0000"/>
        </w:rPr>
      </w:pPr>
    </w:p>
    <w:p w14:paraId="5BF1EF73" w14:textId="31C64B0C" w:rsidR="00002255" w:rsidRDefault="00002255" w:rsidP="00C5272B">
      <w:pPr>
        <w:pStyle w:val="NormalWeb"/>
        <w:contextualSpacing/>
        <w:rPr>
          <w:color w:val="FF0000"/>
        </w:rPr>
      </w:pPr>
    </w:p>
    <w:p w14:paraId="6EB3285E" w14:textId="474F0D24" w:rsidR="00F372B0" w:rsidRPr="00F372B0" w:rsidRDefault="00002255" w:rsidP="00F372B0">
      <w:pPr>
        <w:pStyle w:val="NormalWeb"/>
        <w:numPr>
          <w:ilvl w:val="0"/>
          <w:numId w:val="9"/>
        </w:numPr>
        <w:contextualSpacing/>
        <w:rPr>
          <w:color w:val="000000" w:themeColor="text1"/>
        </w:rPr>
      </w:pPr>
      <w:r w:rsidRPr="00002255">
        <w:rPr>
          <w:color w:val="000000" w:themeColor="text1"/>
        </w:rPr>
        <w:t>In addition</w:t>
      </w:r>
      <w:r>
        <w:rPr>
          <w:color w:val="000000" w:themeColor="text1"/>
        </w:rPr>
        <w:t xml:space="preserve">, a </w:t>
      </w:r>
      <w:r w:rsidR="0064183F">
        <w:rPr>
          <w:color w:val="000000" w:themeColor="text1"/>
        </w:rPr>
        <w:t>density</w:t>
      </w:r>
      <w:r w:rsidR="00852709">
        <w:rPr>
          <w:color w:val="000000" w:themeColor="text1"/>
        </w:rPr>
        <w:t xml:space="preserve"> plot of</w:t>
      </w:r>
      <w:r>
        <w:rPr>
          <w:color w:val="000000" w:themeColor="text1"/>
        </w:rPr>
        <w:t xml:space="preserve"> final course grade</w:t>
      </w:r>
      <w:r w:rsidR="0064183F">
        <w:rPr>
          <w:color w:val="000000" w:themeColor="text1"/>
        </w:rPr>
        <w:t xml:space="preserve"> by instructional format</w:t>
      </w:r>
      <w:r>
        <w:rPr>
          <w:color w:val="000000" w:themeColor="text1"/>
        </w:rPr>
        <w:t xml:space="preserve"> (Figure 3) also </w:t>
      </w:r>
      <w:r w:rsidR="00C61A81">
        <w:rPr>
          <w:color w:val="000000" w:themeColor="text1"/>
        </w:rPr>
        <w:t xml:space="preserve">provided evidence that grades were normally distributed. </w:t>
      </w:r>
    </w:p>
    <w:p w14:paraId="33C7FC4A" w14:textId="6685D160" w:rsidR="00C61A81" w:rsidRDefault="00C61A81" w:rsidP="00C61A81">
      <w:pPr>
        <w:pStyle w:val="NormalWeb"/>
        <w:contextualSpacing/>
        <w:rPr>
          <w:color w:val="000000" w:themeColor="text1"/>
        </w:rPr>
      </w:pPr>
    </w:p>
    <w:p w14:paraId="36BE2D03" w14:textId="05D091AD" w:rsidR="00C61A81" w:rsidRPr="0064183F" w:rsidRDefault="00C61A81" w:rsidP="00C61A81">
      <w:pPr>
        <w:pStyle w:val="NormalWeb"/>
        <w:contextualSpacing/>
        <w:rPr>
          <w:b/>
          <w:bCs/>
          <w:color w:val="000000" w:themeColor="text1"/>
        </w:rPr>
      </w:pPr>
      <w:r w:rsidRPr="0064183F">
        <w:rPr>
          <w:b/>
          <w:bCs/>
          <w:color w:val="000000" w:themeColor="text1"/>
        </w:rPr>
        <w:t>Figure 3</w:t>
      </w:r>
    </w:p>
    <w:p w14:paraId="2D715651" w14:textId="1C5DE243" w:rsidR="00C61A81" w:rsidRDefault="00C61A81" w:rsidP="00C61A81">
      <w:pPr>
        <w:pStyle w:val="NormalWeb"/>
        <w:contextualSpacing/>
        <w:rPr>
          <w:color w:val="000000" w:themeColor="text1"/>
        </w:rPr>
      </w:pPr>
    </w:p>
    <w:p w14:paraId="58BDEB4C" w14:textId="277B6C32" w:rsidR="0064183F" w:rsidRDefault="0064183F" w:rsidP="00C61A81">
      <w:pPr>
        <w:pStyle w:val="NormalWeb"/>
        <w:contextualSpacing/>
        <w:rPr>
          <w:i/>
          <w:iCs/>
          <w:color w:val="000000" w:themeColor="text1"/>
        </w:rPr>
      </w:pPr>
      <w:r w:rsidRPr="0064183F">
        <w:rPr>
          <w:i/>
          <w:iCs/>
          <w:color w:val="000000" w:themeColor="text1"/>
        </w:rPr>
        <w:t xml:space="preserve">Density Plot of Final Course Grade by Instructional Format </w:t>
      </w:r>
    </w:p>
    <w:p w14:paraId="44F2774E" w14:textId="24D7CD92" w:rsidR="0064183F" w:rsidRDefault="0064183F" w:rsidP="00C61A81">
      <w:pPr>
        <w:pStyle w:val="NormalWeb"/>
        <w:contextualSpacing/>
        <w:rPr>
          <w:i/>
          <w:iCs/>
          <w:color w:val="000000" w:themeColor="text1"/>
        </w:rPr>
      </w:pPr>
    </w:p>
    <w:p w14:paraId="05F6128A" w14:textId="4C31E9F6" w:rsidR="0064183F" w:rsidRDefault="0064183F" w:rsidP="00C61A81">
      <w:pPr>
        <w:pStyle w:val="NormalWeb"/>
        <w:contextualSpacing/>
        <w:rPr>
          <w:i/>
          <w:iCs/>
          <w:color w:val="000000" w:themeColor="text1"/>
        </w:rPr>
      </w:pPr>
    </w:p>
    <w:p w14:paraId="31E95431" w14:textId="5F4F9CC3" w:rsidR="0064183F" w:rsidRDefault="0064183F" w:rsidP="00C61A81">
      <w:pPr>
        <w:pStyle w:val="NormalWeb"/>
        <w:contextualSpacing/>
        <w:rPr>
          <w:color w:val="000000" w:themeColor="text1"/>
        </w:rPr>
      </w:pPr>
    </w:p>
    <w:p w14:paraId="0C3DD131" w14:textId="1B1C36DB" w:rsidR="0064183F" w:rsidRDefault="0064183F" w:rsidP="00C61A81">
      <w:pPr>
        <w:pStyle w:val="NormalWeb"/>
        <w:contextualSpacing/>
        <w:rPr>
          <w:color w:val="000000" w:themeColor="text1"/>
        </w:rPr>
      </w:pPr>
      <w:r>
        <w:rPr>
          <w:noProof/>
          <w:color w:val="000000" w:themeColor="text1"/>
        </w:rPr>
        <w:lastRenderedPageBreak/>
        <w:drawing>
          <wp:anchor distT="0" distB="0" distL="114300" distR="114300" simplePos="0" relativeHeight="251664384" behindDoc="1" locked="0" layoutInCell="1" allowOverlap="1" wp14:anchorId="089A22E7" wp14:editId="6BD79DAA">
            <wp:simplePos x="0" y="0"/>
            <wp:positionH relativeFrom="margin">
              <wp:align>center</wp:align>
            </wp:positionH>
            <wp:positionV relativeFrom="paragraph">
              <wp:posOffset>0</wp:posOffset>
            </wp:positionV>
            <wp:extent cx="3500049" cy="2582782"/>
            <wp:effectExtent l="0" t="0" r="5715" b="0"/>
            <wp:wrapTight wrapText="bothSides">
              <wp:wrapPolygon edited="0">
                <wp:start x="0" y="0"/>
                <wp:lineTo x="0" y="21457"/>
                <wp:lineTo x="21557" y="21457"/>
                <wp:lineTo x="21557"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00049" cy="2582782"/>
                    </a:xfrm>
                    <a:prstGeom prst="rect">
                      <a:avLst/>
                    </a:prstGeom>
                  </pic:spPr>
                </pic:pic>
              </a:graphicData>
            </a:graphic>
            <wp14:sizeRelH relativeFrom="page">
              <wp14:pctWidth>0</wp14:pctWidth>
            </wp14:sizeRelH>
            <wp14:sizeRelV relativeFrom="page">
              <wp14:pctHeight>0</wp14:pctHeight>
            </wp14:sizeRelV>
          </wp:anchor>
        </w:drawing>
      </w:r>
    </w:p>
    <w:p w14:paraId="17D7E47D" w14:textId="5E8C3469" w:rsidR="0064183F" w:rsidRPr="0064183F" w:rsidRDefault="0064183F" w:rsidP="00C61A81">
      <w:pPr>
        <w:pStyle w:val="NormalWeb"/>
        <w:contextualSpacing/>
        <w:rPr>
          <w:color w:val="000000" w:themeColor="text1"/>
        </w:rPr>
      </w:pPr>
    </w:p>
    <w:p w14:paraId="2ACF2CEC" w14:textId="77777777" w:rsidR="00C61A81" w:rsidRPr="00C61A81" w:rsidRDefault="00C61A81" w:rsidP="00C61A81">
      <w:pPr>
        <w:pStyle w:val="NormalWeb"/>
        <w:contextualSpacing/>
        <w:rPr>
          <w:color w:val="000000" w:themeColor="text1"/>
        </w:rPr>
      </w:pPr>
    </w:p>
    <w:p w14:paraId="0F54FC02" w14:textId="4A549498" w:rsidR="00002255" w:rsidRDefault="00002255" w:rsidP="00C5272B">
      <w:pPr>
        <w:pStyle w:val="NormalWeb"/>
        <w:contextualSpacing/>
        <w:rPr>
          <w:color w:val="FF0000"/>
        </w:rPr>
      </w:pPr>
    </w:p>
    <w:p w14:paraId="29D56A14" w14:textId="3C410400" w:rsidR="00002255" w:rsidRDefault="00002255" w:rsidP="00C5272B">
      <w:pPr>
        <w:pStyle w:val="NormalWeb"/>
        <w:contextualSpacing/>
        <w:rPr>
          <w:color w:val="FF0000"/>
        </w:rPr>
      </w:pPr>
    </w:p>
    <w:p w14:paraId="59CD04C7" w14:textId="671DD166" w:rsidR="0064183F" w:rsidRDefault="0064183F" w:rsidP="00C5272B">
      <w:pPr>
        <w:pStyle w:val="NormalWeb"/>
        <w:contextualSpacing/>
        <w:rPr>
          <w:color w:val="FF0000"/>
        </w:rPr>
      </w:pPr>
    </w:p>
    <w:p w14:paraId="7A94A36A" w14:textId="334E0CD3" w:rsidR="0064183F" w:rsidRDefault="0064183F" w:rsidP="00C5272B">
      <w:pPr>
        <w:pStyle w:val="NormalWeb"/>
        <w:contextualSpacing/>
        <w:rPr>
          <w:color w:val="FF0000"/>
        </w:rPr>
      </w:pPr>
    </w:p>
    <w:p w14:paraId="544EC31B" w14:textId="6C9FD572" w:rsidR="0064183F" w:rsidRDefault="0064183F" w:rsidP="00C5272B">
      <w:pPr>
        <w:pStyle w:val="NormalWeb"/>
        <w:contextualSpacing/>
        <w:rPr>
          <w:color w:val="FF0000"/>
        </w:rPr>
      </w:pPr>
    </w:p>
    <w:p w14:paraId="4ACC732B" w14:textId="40B9B2CB" w:rsidR="0064183F" w:rsidRDefault="0064183F" w:rsidP="00C5272B">
      <w:pPr>
        <w:pStyle w:val="NormalWeb"/>
        <w:contextualSpacing/>
        <w:rPr>
          <w:color w:val="FF0000"/>
        </w:rPr>
      </w:pPr>
    </w:p>
    <w:p w14:paraId="2F0CFE33" w14:textId="605E3111" w:rsidR="0064183F" w:rsidRDefault="0064183F" w:rsidP="00C5272B">
      <w:pPr>
        <w:pStyle w:val="NormalWeb"/>
        <w:contextualSpacing/>
        <w:rPr>
          <w:color w:val="FF0000"/>
        </w:rPr>
      </w:pPr>
    </w:p>
    <w:p w14:paraId="188D4F1E" w14:textId="0020F8A3" w:rsidR="0064183F" w:rsidRDefault="0064183F" w:rsidP="00C5272B">
      <w:pPr>
        <w:pStyle w:val="NormalWeb"/>
        <w:contextualSpacing/>
        <w:rPr>
          <w:color w:val="FF0000"/>
        </w:rPr>
      </w:pPr>
    </w:p>
    <w:p w14:paraId="0BEF2450" w14:textId="7050D326" w:rsidR="0064183F" w:rsidRDefault="0064183F" w:rsidP="00C5272B">
      <w:pPr>
        <w:pStyle w:val="NormalWeb"/>
        <w:contextualSpacing/>
        <w:rPr>
          <w:color w:val="FF0000"/>
        </w:rPr>
      </w:pPr>
    </w:p>
    <w:p w14:paraId="67C148F6" w14:textId="7D18F322" w:rsidR="0064183F" w:rsidRDefault="0064183F" w:rsidP="00C5272B">
      <w:pPr>
        <w:pStyle w:val="NormalWeb"/>
        <w:contextualSpacing/>
        <w:rPr>
          <w:color w:val="FF0000"/>
        </w:rPr>
      </w:pPr>
    </w:p>
    <w:p w14:paraId="41346386" w14:textId="11DAF568" w:rsidR="0064183F" w:rsidRDefault="0064183F" w:rsidP="00C5272B">
      <w:pPr>
        <w:pStyle w:val="NormalWeb"/>
        <w:contextualSpacing/>
        <w:rPr>
          <w:color w:val="FF0000"/>
        </w:rPr>
      </w:pPr>
    </w:p>
    <w:p w14:paraId="18055593" w14:textId="1FB0A41F" w:rsidR="0064183F" w:rsidRDefault="0064183F" w:rsidP="00C5272B">
      <w:pPr>
        <w:pStyle w:val="NormalWeb"/>
        <w:contextualSpacing/>
        <w:rPr>
          <w:color w:val="FF0000"/>
        </w:rPr>
      </w:pPr>
    </w:p>
    <w:p w14:paraId="56950A2F" w14:textId="3EB7FE36" w:rsidR="0064183F" w:rsidRDefault="0064183F" w:rsidP="00C5272B">
      <w:pPr>
        <w:pStyle w:val="NormalWeb"/>
        <w:contextualSpacing/>
        <w:rPr>
          <w:color w:val="FF0000"/>
        </w:rPr>
      </w:pPr>
    </w:p>
    <w:p w14:paraId="2AE4F9AB" w14:textId="7E06AA8C" w:rsidR="0064183F" w:rsidRPr="003053AB" w:rsidRDefault="00F372B0" w:rsidP="00DD33B6">
      <w:pPr>
        <w:pStyle w:val="NormalWeb"/>
        <w:numPr>
          <w:ilvl w:val="0"/>
          <w:numId w:val="9"/>
        </w:numPr>
        <w:contextualSpacing/>
        <w:rPr>
          <w:color w:val="000000" w:themeColor="text1"/>
        </w:rPr>
      </w:pPr>
      <w:r w:rsidRPr="003053AB">
        <w:rPr>
          <w:color w:val="000000" w:themeColor="text1"/>
        </w:rPr>
        <w:t xml:space="preserve">Following assumption tests, </w:t>
      </w:r>
      <w:r w:rsidR="00983382" w:rsidRPr="003053AB">
        <w:rPr>
          <w:color w:val="000000" w:themeColor="text1"/>
        </w:rPr>
        <w:t>a</w:t>
      </w:r>
      <w:r w:rsidRPr="003053AB">
        <w:rPr>
          <w:color w:val="000000" w:themeColor="text1"/>
        </w:rPr>
        <w:t xml:space="preserve"> one-way ANOVA was conducted to test the null hypothesis that there is no effect of instructional format on final course grades.</w:t>
      </w:r>
      <w:r w:rsidR="00983382" w:rsidRPr="003053AB">
        <w:rPr>
          <w:color w:val="000000" w:themeColor="text1"/>
        </w:rPr>
        <w:t xml:space="preserve"> Results from the one-way ANOVA  reported in Table 1 indicated tha</w:t>
      </w:r>
      <w:r w:rsidR="00DC3AA6" w:rsidRPr="003053AB">
        <w:rPr>
          <w:color w:val="000000" w:themeColor="text1"/>
        </w:rPr>
        <w:t xml:space="preserve">t the effect of instructional format was significant, </w:t>
      </w:r>
      <w:r w:rsidR="00DC3AA6" w:rsidRPr="003053AB">
        <w:rPr>
          <w:i/>
          <w:iCs/>
          <w:color w:val="000000" w:themeColor="text1"/>
        </w:rPr>
        <w:t>F</w:t>
      </w:r>
      <w:r w:rsidR="00DC3AA6" w:rsidRPr="003053AB">
        <w:rPr>
          <w:color w:val="000000" w:themeColor="text1"/>
        </w:rPr>
        <w:t xml:space="preserve"> (1,272) = 5.61., </w:t>
      </w:r>
      <w:r w:rsidR="00DC3AA6" w:rsidRPr="003053AB">
        <w:rPr>
          <w:i/>
          <w:iCs/>
          <w:color w:val="000000" w:themeColor="text1"/>
        </w:rPr>
        <w:t>p</w:t>
      </w:r>
      <w:r w:rsidR="00DC3AA6" w:rsidRPr="003053AB">
        <w:rPr>
          <w:color w:val="000000" w:themeColor="text1"/>
        </w:rPr>
        <w:t xml:space="preserve"> &lt; .01)</w:t>
      </w:r>
      <w:r w:rsidR="00C07582" w:rsidRPr="003053AB">
        <w:rPr>
          <w:color w:val="000000" w:themeColor="text1"/>
        </w:rPr>
        <w:t xml:space="preserve">. These results suggest that students’ final course grades were significantly different across instructional format, providing evidence to reject the null hypothesis. </w:t>
      </w:r>
    </w:p>
    <w:p w14:paraId="13BBD839" w14:textId="618DD890" w:rsidR="007C6E1A" w:rsidRDefault="007C6E1A" w:rsidP="00C5272B">
      <w:pPr>
        <w:pStyle w:val="NormalWeb"/>
        <w:contextualSpacing/>
        <w:rPr>
          <w:color w:val="FF0000"/>
        </w:rPr>
      </w:pPr>
    </w:p>
    <w:p w14:paraId="19B9FFEE" w14:textId="1C393363" w:rsidR="007C6E1A" w:rsidRPr="00344C14" w:rsidRDefault="007C6E1A" w:rsidP="00C5272B">
      <w:pPr>
        <w:pStyle w:val="NormalWeb"/>
        <w:contextualSpacing/>
        <w:rPr>
          <w:b/>
          <w:bCs/>
          <w:color w:val="000000" w:themeColor="text1"/>
        </w:rPr>
      </w:pPr>
      <w:r w:rsidRPr="00344C14">
        <w:rPr>
          <w:b/>
          <w:bCs/>
          <w:color w:val="000000" w:themeColor="text1"/>
        </w:rPr>
        <w:t xml:space="preserve">Table 1 </w:t>
      </w:r>
    </w:p>
    <w:p w14:paraId="5975153C" w14:textId="36EEF073" w:rsidR="007C6E1A" w:rsidRDefault="007C6E1A" w:rsidP="00C5272B">
      <w:pPr>
        <w:pStyle w:val="NormalWeb"/>
        <w:contextualSpacing/>
        <w:rPr>
          <w:color w:val="000000" w:themeColor="text1"/>
        </w:rPr>
      </w:pPr>
    </w:p>
    <w:p w14:paraId="229D0C6C" w14:textId="6886BECE" w:rsidR="007C6E1A" w:rsidRPr="007C6E1A" w:rsidRDefault="007C6E1A" w:rsidP="007C6E1A">
      <w:pPr>
        <w:pStyle w:val="NormalWeb"/>
        <w:contextualSpacing/>
        <w:rPr>
          <w:i/>
          <w:iCs/>
          <w:color w:val="000000" w:themeColor="text1"/>
        </w:rPr>
      </w:pPr>
      <w:r w:rsidRPr="007C6E1A">
        <w:rPr>
          <w:i/>
          <w:iCs/>
          <w:color w:val="000000" w:themeColor="text1"/>
        </w:rPr>
        <w:t xml:space="preserve">Fixed-Effects ANOVA </w:t>
      </w:r>
      <w:r w:rsidR="00344C14">
        <w:rPr>
          <w:i/>
          <w:iCs/>
          <w:color w:val="000000" w:themeColor="text1"/>
        </w:rPr>
        <w:t>with</w:t>
      </w:r>
      <w:r w:rsidRPr="007C6E1A">
        <w:rPr>
          <w:i/>
          <w:iCs/>
          <w:color w:val="000000" w:themeColor="text1"/>
        </w:rPr>
        <w:t xml:space="preserve"> Final Course Grade as Criterion</w:t>
      </w:r>
      <w:r>
        <w:t xml:space="preserve"> </w:t>
      </w:r>
    </w:p>
    <w:tbl>
      <w:tblPr>
        <w:tblW w:w="0" w:type="auto"/>
        <w:tblLayout w:type="fixed"/>
        <w:tblCellMar>
          <w:left w:w="100" w:type="dxa"/>
          <w:right w:w="100" w:type="dxa"/>
        </w:tblCellMar>
        <w:tblLook w:val="0000" w:firstRow="0" w:lastRow="0" w:firstColumn="0" w:lastColumn="0" w:noHBand="0" w:noVBand="0"/>
      </w:tblPr>
      <w:tblGrid>
        <w:gridCol w:w="1368"/>
        <w:gridCol w:w="1296"/>
        <w:gridCol w:w="691"/>
        <w:gridCol w:w="1296"/>
        <w:gridCol w:w="1555"/>
        <w:gridCol w:w="864"/>
        <w:gridCol w:w="1368"/>
        <w:gridCol w:w="1368"/>
      </w:tblGrid>
      <w:tr w:rsidR="007C6E1A" w:rsidRPr="007C6E1A" w14:paraId="7A2C3F55" w14:textId="77777777">
        <w:tblPrEx>
          <w:tblCellMar>
            <w:top w:w="0" w:type="dxa"/>
            <w:bottom w:w="0" w:type="dxa"/>
          </w:tblCellMar>
        </w:tblPrEx>
        <w:tc>
          <w:tcPr>
            <w:tcW w:w="1368" w:type="dxa"/>
            <w:tcBorders>
              <w:top w:val="single" w:sz="6" w:space="0" w:color="auto"/>
              <w:left w:val="nil"/>
              <w:bottom w:val="nil"/>
              <w:right w:val="nil"/>
            </w:tcBorders>
            <w:vAlign w:val="center"/>
          </w:tcPr>
          <w:p w14:paraId="7DF24E84" w14:textId="77777777" w:rsidR="007C6E1A" w:rsidRDefault="007C6E1A">
            <w:pPr>
              <w:widowControl w:val="0"/>
              <w:autoSpaceDE w:val="0"/>
              <w:autoSpaceDN w:val="0"/>
              <w:adjustRightInd w:val="0"/>
              <w:jc w:val="right"/>
              <w:rPr>
                <w:rFonts w:ascii="Times New Roman" w:hAnsi="Times New Roman" w:cs="Times New Roman"/>
              </w:rPr>
            </w:pPr>
            <w:r>
              <w:rPr>
                <w:rFonts w:ascii="Times New Roman" w:hAnsi="Times New Roman" w:cs="Times New Roman"/>
              </w:rPr>
              <w:t>Predictor</w:t>
            </w:r>
          </w:p>
        </w:tc>
        <w:tc>
          <w:tcPr>
            <w:tcW w:w="1296" w:type="dxa"/>
            <w:tcBorders>
              <w:top w:val="single" w:sz="6" w:space="0" w:color="auto"/>
              <w:left w:val="nil"/>
              <w:bottom w:val="nil"/>
              <w:right w:val="nil"/>
            </w:tcBorders>
            <w:vAlign w:val="center"/>
          </w:tcPr>
          <w:p w14:paraId="53BB2280"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Sum</w:t>
            </w:r>
          </w:p>
          <w:p w14:paraId="4D276EC7"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of</w:t>
            </w:r>
          </w:p>
          <w:p w14:paraId="7CD19FCE"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Squares</w:t>
            </w:r>
          </w:p>
        </w:tc>
        <w:tc>
          <w:tcPr>
            <w:tcW w:w="691" w:type="dxa"/>
            <w:tcBorders>
              <w:top w:val="single" w:sz="6" w:space="0" w:color="auto"/>
              <w:left w:val="nil"/>
              <w:bottom w:val="nil"/>
              <w:right w:val="nil"/>
            </w:tcBorders>
            <w:vAlign w:val="center"/>
          </w:tcPr>
          <w:p w14:paraId="10ECA809"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df</w:t>
            </w:r>
          </w:p>
        </w:tc>
        <w:tc>
          <w:tcPr>
            <w:tcW w:w="1296" w:type="dxa"/>
            <w:tcBorders>
              <w:top w:val="single" w:sz="6" w:space="0" w:color="auto"/>
              <w:left w:val="nil"/>
              <w:bottom w:val="nil"/>
              <w:right w:val="nil"/>
            </w:tcBorders>
            <w:vAlign w:val="center"/>
          </w:tcPr>
          <w:p w14:paraId="61F72108"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Mean</w:t>
            </w:r>
          </w:p>
          <w:p w14:paraId="60BB1FD9"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Square</w:t>
            </w:r>
          </w:p>
        </w:tc>
        <w:tc>
          <w:tcPr>
            <w:tcW w:w="1555" w:type="dxa"/>
            <w:tcBorders>
              <w:top w:val="single" w:sz="6" w:space="0" w:color="auto"/>
              <w:left w:val="nil"/>
              <w:bottom w:val="nil"/>
              <w:right w:val="nil"/>
            </w:tcBorders>
            <w:vAlign w:val="center"/>
          </w:tcPr>
          <w:p w14:paraId="05C1AFE9"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F</w:t>
            </w:r>
          </w:p>
        </w:tc>
        <w:tc>
          <w:tcPr>
            <w:tcW w:w="864" w:type="dxa"/>
            <w:tcBorders>
              <w:top w:val="single" w:sz="6" w:space="0" w:color="auto"/>
              <w:left w:val="nil"/>
              <w:bottom w:val="nil"/>
              <w:right w:val="nil"/>
            </w:tcBorders>
            <w:vAlign w:val="center"/>
          </w:tcPr>
          <w:p w14:paraId="72863C95"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p</w:t>
            </w:r>
          </w:p>
        </w:tc>
        <w:tc>
          <w:tcPr>
            <w:tcW w:w="1368" w:type="dxa"/>
            <w:tcBorders>
              <w:top w:val="single" w:sz="6" w:space="0" w:color="auto"/>
              <w:left w:val="nil"/>
              <w:bottom w:val="nil"/>
              <w:right w:val="nil"/>
            </w:tcBorders>
            <w:vAlign w:val="center"/>
          </w:tcPr>
          <w:p w14:paraId="22CF1026"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vertAlign w:val="subscript"/>
              </w:rPr>
              <w:t xml:space="preserve">partial </w:t>
            </w:r>
            <w:r>
              <w:rPr>
                <w:rFonts w:ascii="Times New Roman" w:hAnsi="Times New Roman" w:cs="Times New Roman"/>
              </w:rPr>
              <w:t>η</w:t>
            </w:r>
            <w:r>
              <w:rPr>
                <w:rFonts w:ascii="Times New Roman" w:hAnsi="Times New Roman" w:cs="Times New Roman"/>
                <w:vertAlign w:val="superscript"/>
              </w:rPr>
              <w:t>2</w:t>
            </w:r>
          </w:p>
        </w:tc>
        <w:tc>
          <w:tcPr>
            <w:tcW w:w="1368" w:type="dxa"/>
            <w:tcBorders>
              <w:top w:val="single" w:sz="6" w:space="0" w:color="auto"/>
              <w:left w:val="nil"/>
              <w:bottom w:val="nil"/>
              <w:right w:val="nil"/>
            </w:tcBorders>
            <w:vAlign w:val="center"/>
          </w:tcPr>
          <w:p w14:paraId="7CAB4A8F" w14:textId="77777777" w:rsidR="007C6E1A" w:rsidRPr="007C6E1A" w:rsidRDefault="007C6E1A">
            <w:pPr>
              <w:widowControl w:val="0"/>
              <w:autoSpaceDE w:val="0"/>
              <w:autoSpaceDN w:val="0"/>
              <w:adjustRightInd w:val="0"/>
              <w:jc w:val="center"/>
              <w:rPr>
                <w:rFonts w:ascii="Times New Roman" w:hAnsi="Times New Roman" w:cs="Times New Roman"/>
                <w:lang w:val="pl-PL"/>
              </w:rPr>
            </w:pPr>
            <w:proofErr w:type="spellStart"/>
            <w:r w:rsidRPr="007C6E1A">
              <w:rPr>
                <w:rFonts w:ascii="Times New Roman" w:hAnsi="Times New Roman" w:cs="Times New Roman"/>
                <w:vertAlign w:val="subscript"/>
                <w:lang w:val="pl-PL"/>
              </w:rPr>
              <w:t>partial</w:t>
            </w:r>
            <w:proofErr w:type="spellEnd"/>
            <w:r w:rsidRPr="007C6E1A">
              <w:rPr>
                <w:rFonts w:ascii="Times New Roman" w:hAnsi="Times New Roman" w:cs="Times New Roman"/>
                <w:vertAlign w:val="subscript"/>
                <w:lang w:val="pl-PL"/>
              </w:rPr>
              <w:t xml:space="preserve"> </w:t>
            </w:r>
            <w:r>
              <w:rPr>
                <w:rFonts w:ascii="Times New Roman" w:hAnsi="Times New Roman" w:cs="Times New Roman"/>
              </w:rPr>
              <w:t>η</w:t>
            </w:r>
            <w:r w:rsidRPr="007C6E1A">
              <w:rPr>
                <w:rFonts w:ascii="Times New Roman" w:hAnsi="Times New Roman" w:cs="Times New Roman"/>
                <w:vertAlign w:val="superscript"/>
                <w:lang w:val="pl-PL"/>
              </w:rPr>
              <w:t xml:space="preserve">2 </w:t>
            </w:r>
          </w:p>
          <w:p w14:paraId="52583819" w14:textId="77777777" w:rsidR="007C6E1A" w:rsidRPr="007C6E1A" w:rsidRDefault="007C6E1A">
            <w:pPr>
              <w:widowControl w:val="0"/>
              <w:autoSpaceDE w:val="0"/>
              <w:autoSpaceDN w:val="0"/>
              <w:adjustRightInd w:val="0"/>
              <w:jc w:val="center"/>
              <w:rPr>
                <w:rFonts w:ascii="Times New Roman" w:hAnsi="Times New Roman" w:cs="Times New Roman"/>
                <w:lang w:val="pl-PL"/>
              </w:rPr>
            </w:pPr>
            <w:r w:rsidRPr="007C6E1A">
              <w:rPr>
                <w:rFonts w:ascii="Times New Roman" w:hAnsi="Times New Roman" w:cs="Times New Roman"/>
                <w:lang w:val="pl-PL"/>
              </w:rPr>
              <w:t>90% CI</w:t>
            </w:r>
          </w:p>
          <w:p w14:paraId="1D6D0381" w14:textId="77777777" w:rsidR="007C6E1A" w:rsidRPr="007C6E1A" w:rsidRDefault="007C6E1A">
            <w:pPr>
              <w:widowControl w:val="0"/>
              <w:autoSpaceDE w:val="0"/>
              <w:autoSpaceDN w:val="0"/>
              <w:adjustRightInd w:val="0"/>
              <w:jc w:val="center"/>
              <w:rPr>
                <w:rFonts w:ascii="Times New Roman" w:hAnsi="Times New Roman" w:cs="Times New Roman"/>
                <w:lang w:val="pl-PL"/>
              </w:rPr>
            </w:pPr>
            <w:r w:rsidRPr="007C6E1A">
              <w:rPr>
                <w:rFonts w:ascii="Times New Roman" w:hAnsi="Times New Roman" w:cs="Times New Roman"/>
                <w:lang w:val="pl-PL"/>
              </w:rPr>
              <w:t>[LL, UL]</w:t>
            </w:r>
          </w:p>
        </w:tc>
      </w:tr>
      <w:tr w:rsidR="007C6E1A" w14:paraId="5BF00614" w14:textId="77777777">
        <w:tblPrEx>
          <w:tblCellMar>
            <w:top w:w="0" w:type="dxa"/>
            <w:bottom w:w="0" w:type="dxa"/>
          </w:tblCellMar>
        </w:tblPrEx>
        <w:tc>
          <w:tcPr>
            <w:tcW w:w="1368" w:type="dxa"/>
            <w:tcBorders>
              <w:top w:val="single" w:sz="6" w:space="0" w:color="auto"/>
              <w:left w:val="nil"/>
              <w:bottom w:val="nil"/>
              <w:right w:val="nil"/>
            </w:tcBorders>
            <w:vAlign w:val="center"/>
          </w:tcPr>
          <w:p w14:paraId="0E86870F" w14:textId="77777777" w:rsidR="007C6E1A" w:rsidRDefault="007C6E1A">
            <w:pPr>
              <w:widowControl w:val="0"/>
              <w:autoSpaceDE w:val="0"/>
              <w:autoSpaceDN w:val="0"/>
              <w:adjustRightInd w:val="0"/>
              <w:jc w:val="right"/>
              <w:rPr>
                <w:rFonts w:ascii="Times New Roman" w:hAnsi="Times New Roman" w:cs="Times New Roman"/>
              </w:rPr>
            </w:pPr>
            <w:r>
              <w:rPr>
                <w:rFonts w:ascii="Times New Roman" w:hAnsi="Times New Roman" w:cs="Times New Roman"/>
              </w:rPr>
              <w:t>(Intercept)</w:t>
            </w:r>
          </w:p>
        </w:tc>
        <w:tc>
          <w:tcPr>
            <w:tcW w:w="1296" w:type="dxa"/>
            <w:tcBorders>
              <w:top w:val="single" w:sz="6" w:space="0" w:color="auto"/>
              <w:left w:val="nil"/>
              <w:bottom w:val="nil"/>
              <w:right w:val="nil"/>
            </w:tcBorders>
            <w:vAlign w:val="center"/>
          </w:tcPr>
          <w:p w14:paraId="59F80292"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572704.92</w:t>
            </w:r>
          </w:p>
        </w:tc>
        <w:tc>
          <w:tcPr>
            <w:tcW w:w="691" w:type="dxa"/>
            <w:tcBorders>
              <w:top w:val="single" w:sz="6" w:space="0" w:color="auto"/>
              <w:left w:val="nil"/>
              <w:bottom w:val="nil"/>
              <w:right w:val="nil"/>
            </w:tcBorders>
            <w:vAlign w:val="center"/>
          </w:tcPr>
          <w:p w14:paraId="1A8776C1"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single" w:sz="6" w:space="0" w:color="auto"/>
              <w:left w:val="nil"/>
              <w:bottom w:val="nil"/>
              <w:right w:val="nil"/>
            </w:tcBorders>
            <w:vAlign w:val="center"/>
          </w:tcPr>
          <w:p w14:paraId="59E38A2D"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572704.92</w:t>
            </w:r>
          </w:p>
        </w:tc>
        <w:tc>
          <w:tcPr>
            <w:tcW w:w="1555" w:type="dxa"/>
            <w:tcBorders>
              <w:top w:val="single" w:sz="6" w:space="0" w:color="auto"/>
              <w:left w:val="nil"/>
              <w:bottom w:val="nil"/>
              <w:right w:val="nil"/>
            </w:tcBorders>
            <w:vAlign w:val="center"/>
          </w:tcPr>
          <w:p w14:paraId="0938C5CE" w14:textId="77777777" w:rsidR="007C6E1A" w:rsidRDefault="007C6E1A">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4336.00</w:t>
            </w:r>
          </w:p>
        </w:tc>
        <w:tc>
          <w:tcPr>
            <w:tcW w:w="864" w:type="dxa"/>
            <w:tcBorders>
              <w:top w:val="single" w:sz="6" w:space="0" w:color="auto"/>
              <w:left w:val="nil"/>
              <w:bottom w:val="nil"/>
              <w:right w:val="nil"/>
            </w:tcBorders>
            <w:vAlign w:val="center"/>
          </w:tcPr>
          <w:p w14:paraId="62092110"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single" w:sz="6" w:space="0" w:color="auto"/>
              <w:left w:val="nil"/>
              <w:bottom w:val="nil"/>
              <w:right w:val="nil"/>
            </w:tcBorders>
            <w:vAlign w:val="center"/>
          </w:tcPr>
          <w:p w14:paraId="1346499E" w14:textId="77777777" w:rsidR="007C6E1A" w:rsidRDefault="007C6E1A">
            <w:pPr>
              <w:widowControl w:val="0"/>
              <w:autoSpaceDE w:val="0"/>
              <w:autoSpaceDN w:val="0"/>
              <w:adjustRightInd w:val="0"/>
              <w:jc w:val="center"/>
              <w:rPr>
                <w:rFonts w:ascii="Times New Roman" w:hAnsi="Times New Roman" w:cs="Times New Roman"/>
              </w:rPr>
            </w:pPr>
          </w:p>
        </w:tc>
        <w:tc>
          <w:tcPr>
            <w:tcW w:w="1368" w:type="dxa"/>
            <w:tcBorders>
              <w:top w:val="single" w:sz="6" w:space="0" w:color="auto"/>
              <w:left w:val="nil"/>
              <w:bottom w:val="nil"/>
              <w:right w:val="nil"/>
            </w:tcBorders>
            <w:vAlign w:val="center"/>
          </w:tcPr>
          <w:p w14:paraId="0A82EDF8" w14:textId="77777777" w:rsidR="007C6E1A" w:rsidRDefault="007C6E1A">
            <w:pPr>
              <w:widowControl w:val="0"/>
              <w:autoSpaceDE w:val="0"/>
              <w:autoSpaceDN w:val="0"/>
              <w:adjustRightInd w:val="0"/>
              <w:jc w:val="center"/>
              <w:rPr>
                <w:rFonts w:ascii="Times New Roman" w:hAnsi="Times New Roman" w:cs="Times New Roman"/>
              </w:rPr>
            </w:pPr>
          </w:p>
        </w:tc>
      </w:tr>
      <w:tr w:rsidR="007C6E1A" w14:paraId="1330C061" w14:textId="77777777">
        <w:tblPrEx>
          <w:tblCellMar>
            <w:top w:w="0" w:type="dxa"/>
            <w:bottom w:w="0" w:type="dxa"/>
          </w:tblCellMar>
        </w:tblPrEx>
        <w:tc>
          <w:tcPr>
            <w:tcW w:w="1368" w:type="dxa"/>
            <w:tcBorders>
              <w:top w:val="nil"/>
              <w:left w:val="nil"/>
              <w:bottom w:val="nil"/>
              <w:right w:val="nil"/>
            </w:tcBorders>
            <w:vAlign w:val="center"/>
          </w:tcPr>
          <w:p w14:paraId="222615F1" w14:textId="612FE352" w:rsidR="007C6E1A" w:rsidRDefault="00395160">
            <w:pPr>
              <w:widowControl w:val="0"/>
              <w:autoSpaceDE w:val="0"/>
              <w:autoSpaceDN w:val="0"/>
              <w:adjustRightInd w:val="0"/>
              <w:jc w:val="right"/>
              <w:rPr>
                <w:rFonts w:ascii="Times New Roman" w:hAnsi="Times New Roman" w:cs="Times New Roman"/>
              </w:rPr>
            </w:pPr>
            <w:r>
              <w:rPr>
                <w:rFonts w:ascii="Times New Roman" w:hAnsi="Times New Roman" w:cs="Times New Roman"/>
              </w:rPr>
              <w:t>F</w:t>
            </w:r>
            <w:r w:rsidR="007C6E1A">
              <w:rPr>
                <w:rFonts w:ascii="Times New Roman" w:hAnsi="Times New Roman" w:cs="Times New Roman"/>
              </w:rPr>
              <w:t>ormat</w:t>
            </w:r>
          </w:p>
        </w:tc>
        <w:tc>
          <w:tcPr>
            <w:tcW w:w="1296" w:type="dxa"/>
            <w:tcBorders>
              <w:top w:val="nil"/>
              <w:left w:val="nil"/>
              <w:bottom w:val="nil"/>
              <w:right w:val="nil"/>
            </w:tcBorders>
            <w:vAlign w:val="center"/>
          </w:tcPr>
          <w:p w14:paraId="2A248EE0"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1482.41</w:t>
            </w:r>
          </w:p>
        </w:tc>
        <w:tc>
          <w:tcPr>
            <w:tcW w:w="691" w:type="dxa"/>
            <w:tcBorders>
              <w:top w:val="nil"/>
              <w:left w:val="nil"/>
              <w:bottom w:val="nil"/>
              <w:right w:val="nil"/>
            </w:tcBorders>
            <w:vAlign w:val="center"/>
          </w:tcPr>
          <w:p w14:paraId="5789F66C"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296" w:type="dxa"/>
            <w:tcBorders>
              <w:top w:val="nil"/>
              <w:left w:val="nil"/>
              <w:bottom w:val="nil"/>
              <w:right w:val="nil"/>
            </w:tcBorders>
            <w:vAlign w:val="center"/>
          </w:tcPr>
          <w:p w14:paraId="62BF7F46"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741.21</w:t>
            </w:r>
          </w:p>
        </w:tc>
        <w:tc>
          <w:tcPr>
            <w:tcW w:w="1555" w:type="dxa"/>
            <w:tcBorders>
              <w:top w:val="nil"/>
              <w:left w:val="nil"/>
              <w:bottom w:val="nil"/>
              <w:right w:val="nil"/>
            </w:tcBorders>
            <w:vAlign w:val="center"/>
          </w:tcPr>
          <w:p w14:paraId="67828BCD" w14:textId="77777777" w:rsidR="007C6E1A" w:rsidRDefault="007C6E1A">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5.61</w:t>
            </w:r>
          </w:p>
        </w:tc>
        <w:tc>
          <w:tcPr>
            <w:tcW w:w="864" w:type="dxa"/>
            <w:tcBorders>
              <w:top w:val="nil"/>
              <w:left w:val="nil"/>
              <w:bottom w:val="nil"/>
              <w:right w:val="nil"/>
            </w:tcBorders>
            <w:vAlign w:val="center"/>
          </w:tcPr>
          <w:p w14:paraId="163A1C7B"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.004</w:t>
            </w:r>
          </w:p>
        </w:tc>
        <w:tc>
          <w:tcPr>
            <w:tcW w:w="1368" w:type="dxa"/>
            <w:tcBorders>
              <w:top w:val="nil"/>
              <w:left w:val="nil"/>
              <w:bottom w:val="nil"/>
              <w:right w:val="nil"/>
            </w:tcBorders>
            <w:vAlign w:val="center"/>
          </w:tcPr>
          <w:p w14:paraId="4E634877"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.04</w:t>
            </w:r>
          </w:p>
        </w:tc>
        <w:tc>
          <w:tcPr>
            <w:tcW w:w="1368" w:type="dxa"/>
            <w:tcBorders>
              <w:top w:val="nil"/>
              <w:left w:val="nil"/>
              <w:bottom w:val="nil"/>
              <w:right w:val="nil"/>
            </w:tcBorders>
            <w:vAlign w:val="center"/>
          </w:tcPr>
          <w:p w14:paraId="51DFD665"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[.01, .08]</w:t>
            </w:r>
          </w:p>
        </w:tc>
      </w:tr>
      <w:tr w:rsidR="007C6E1A" w14:paraId="1A8035E8" w14:textId="77777777">
        <w:tblPrEx>
          <w:tblCellMar>
            <w:top w:w="0" w:type="dxa"/>
            <w:bottom w:w="0" w:type="dxa"/>
          </w:tblCellMar>
        </w:tblPrEx>
        <w:tc>
          <w:tcPr>
            <w:tcW w:w="1368" w:type="dxa"/>
            <w:tcBorders>
              <w:top w:val="nil"/>
              <w:left w:val="nil"/>
              <w:bottom w:val="single" w:sz="6" w:space="0" w:color="auto"/>
              <w:right w:val="nil"/>
            </w:tcBorders>
            <w:vAlign w:val="center"/>
          </w:tcPr>
          <w:p w14:paraId="5050FAFD" w14:textId="77777777" w:rsidR="007C6E1A" w:rsidRDefault="007C6E1A">
            <w:pPr>
              <w:widowControl w:val="0"/>
              <w:autoSpaceDE w:val="0"/>
              <w:autoSpaceDN w:val="0"/>
              <w:adjustRightInd w:val="0"/>
              <w:jc w:val="right"/>
              <w:rPr>
                <w:rFonts w:ascii="Times New Roman" w:hAnsi="Times New Roman" w:cs="Times New Roman"/>
              </w:rPr>
            </w:pPr>
            <w:r>
              <w:rPr>
                <w:rFonts w:ascii="Times New Roman" w:hAnsi="Times New Roman" w:cs="Times New Roman"/>
              </w:rPr>
              <w:t>Error</w:t>
            </w:r>
          </w:p>
        </w:tc>
        <w:tc>
          <w:tcPr>
            <w:tcW w:w="1296" w:type="dxa"/>
            <w:tcBorders>
              <w:top w:val="nil"/>
              <w:left w:val="nil"/>
              <w:bottom w:val="single" w:sz="6" w:space="0" w:color="auto"/>
              <w:right w:val="nil"/>
            </w:tcBorders>
            <w:vAlign w:val="center"/>
          </w:tcPr>
          <w:p w14:paraId="4DB9AD20"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35926.10</w:t>
            </w:r>
          </w:p>
        </w:tc>
        <w:tc>
          <w:tcPr>
            <w:tcW w:w="691" w:type="dxa"/>
            <w:tcBorders>
              <w:top w:val="nil"/>
              <w:left w:val="nil"/>
              <w:bottom w:val="single" w:sz="6" w:space="0" w:color="auto"/>
              <w:right w:val="nil"/>
            </w:tcBorders>
            <w:vAlign w:val="center"/>
          </w:tcPr>
          <w:p w14:paraId="67339012" w14:textId="77777777" w:rsidR="007C6E1A" w:rsidRDefault="007C6E1A">
            <w:pPr>
              <w:widowControl w:val="0"/>
              <w:autoSpaceDE w:val="0"/>
              <w:autoSpaceDN w:val="0"/>
              <w:adjustRightInd w:val="0"/>
              <w:jc w:val="center"/>
              <w:rPr>
                <w:rFonts w:ascii="Times New Roman" w:hAnsi="Times New Roman" w:cs="Times New Roman"/>
              </w:rPr>
            </w:pPr>
            <w:r>
              <w:rPr>
                <w:rFonts w:ascii="Times New Roman" w:hAnsi="Times New Roman" w:cs="Times New Roman"/>
              </w:rPr>
              <w:t>272</w:t>
            </w:r>
          </w:p>
        </w:tc>
        <w:tc>
          <w:tcPr>
            <w:tcW w:w="1296" w:type="dxa"/>
            <w:tcBorders>
              <w:top w:val="nil"/>
              <w:left w:val="nil"/>
              <w:bottom w:val="single" w:sz="6" w:space="0" w:color="auto"/>
              <w:right w:val="nil"/>
            </w:tcBorders>
            <w:vAlign w:val="center"/>
          </w:tcPr>
          <w:p w14:paraId="402AEE83" w14:textId="77777777" w:rsidR="007C6E1A" w:rsidRDefault="007C6E1A">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132.08</w:t>
            </w:r>
          </w:p>
        </w:tc>
        <w:tc>
          <w:tcPr>
            <w:tcW w:w="1555" w:type="dxa"/>
            <w:tcBorders>
              <w:top w:val="nil"/>
              <w:left w:val="nil"/>
              <w:bottom w:val="single" w:sz="6" w:space="0" w:color="auto"/>
              <w:right w:val="nil"/>
            </w:tcBorders>
            <w:vAlign w:val="center"/>
          </w:tcPr>
          <w:p w14:paraId="4A0CE79D" w14:textId="77777777" w:rsidR="007C6E1A" w:rsidRDefault="007C6E1A">
            <w:pPr>
              <w:widowControl w:val="0"/>
              <w:tabs>
                <w:tab w:val="decimal" w:leader="dot" w:pos="622"/>
              </w:tabs>
              <w:autoSpaceDE w:val="0"/>
              <w:autoSpaceDN w:val="0"/>
              <w:adjustRightInd w:val="0"/>
              <w:rPr>
                <w:rFonts w:ascii="Times New Roman" w:hAnsi="Times New Roman" w:cs="Times New Roman"/>
              </w:rPr>
            </w:pPr>
          </w:p>
        </w:tc>
        <w:tc>
          <w:tcPr>
            <w:tcW w:w="864" w:type="dxa"/>
            <w:tcBorders>
              <w:top w:val="nil"/>
              <w:left w:val="nil"/>
              <w:bottom w:val="single" w:sz="6" w:space="0" w:color="auto"/>
              <w:right w:val="nil"/>
            </w:tcBorders>
            <w:vAlign w:val="center"/>
          </w:tcPr>
          <w:p w14:paraId="6C1E4B92" w14:textId="77777777" w:rsidR="007C6E1A" w:rsidRDefault="007C6E1A">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61462290" w14:textId="77777777" w:rsidR="007C6E1A" w:rsidRDefault="007C6E1A">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5AA8D856" w14:textId="77777777" w:rsidR="007C6E1A" w:rsidRDefault="007C6E1A">
            <w:pPr>
              <w:widowControl w:val="0"/>
              <w:autoSpaceDE w:val="0"/>
              <w:autoSpaceDN w:val="0"/>
              <w:adjustRightInd w:val="0"/>
              <w:jc w:val="center"/>
              <w:rPr>
                <w:rFonts w:ascii="Times New Roman" w:hAnsi="Times New Roman" w:cs="Times New Roman"/>
              </w:rPr>
            </w:pPr>
          </w:p>
        </w:tc>
      </w:tr>
    </w:tbl>
    <w:p w14:paraId="43A0D6E1" w14:textId="77777777" w:rsidR="007C6E1A" w:rsidRDefault="007C6E1A">
      <w:pPr>
        <w:widowControl w:val="0"/>
        <w:autoSpaceDE w:val="0"/>
        <w:autoSpaceDN w:val="0"/>
        <w:adjustRightInd w:val="0"/>
        <w:rPr>
          <w:rFonts w:ascii="Times New Roman" w:hAnsi="Times New Roman" w:cs="Times New Roman"/>
        </w:rPr>
      </w:pPr>
    </w:p>
    <w:p w14:paraId="0C60482A" w14:textId="77777777" w:rsidR="007C6E1A" w:rsidRDefault="007C6E1A">
      <w:pPr>
        <w:widowControl w:val="0"/>
        <w:autoSpaceDE w:val="0"/>
        <w:autoSpaceDN w:val="0"/>
        <w:adjustRightInd w:val="0"/>
        <w:rPr>
          <w:rFonts w:ascii="Times New Roman" w:hAnsi="Times New Roman" w:cs="Times New Roman"/>
        </w:rPr>
      </w:pPr>
      <w:r>
        <w:rPr>
          <w:rFonts w:ascii="Times New Roman" w:hAnsi="Times New Roman" w:cs="Times New Roman"/>
          <w:i/>
          <w:iCs/>
        </w:rPr>
        <w:t>Note.</w:t>
      </w:r>
      <w:r>
        <w:rPr>
          <w:rFonts w:ascii="Times New Roman" w:hAnsi="Times New Roman" w:cs="Times New Roman"/>
        </w:rPr>
        <w:t xml:space="preserve"> LL and UL represent the lower-limit and upper-limit of the partial η</w:t>
      </w:r>
      <w:r>
        <w:rPr>
          <w:rFonts w:ascii="Times New Roman" w:hAnsi="Times New Roman" w:cs="Times New Roman"/>
          <w:vertAlign w:val="superscript"/>
        </w:rPr>
        <w:t>2</w:t>
      </w:r>
      <w:r>
        <w:rPr>
          <w:rFonts w:ascii="Times New Roman" w:hAnsi="Times New Roman" w:cs="Times New Roman"/>
        </w:rPr>
        <w:t xml:space="preserve"> confidence interval, respectively.</w:t>
      </w:r>
    </w:p>
    <w:p w14:paraId="2E484A58" w14:textId="5D2BF4C3" w:rsidR="0064183F" w:rsidRDefault="0064183F" w:rsidP="00C5272B">
      <w:pPr>
        <w:pStyle w:val="NormalWeb"/>
        <w:contextualSpacing/>
        <w:rPr>
          <w:color w:val="FF0000"/>
        </w:rPr>
      </w:pPr>
    </w:p>
    <w:p w14:paraId="49AE76B7" w14:textId="5E539345" w:rsidR="00395160" w:rsidRDefault="00477CAE" w:rsidP="00395160">
      <w:pPr>
        <w:pStyle w:val="NormalWeb"/>
        <w:numPr>
          <w:ilvl w:val="0"/>
          <w:numId w:val="9"/>
        </w:numPr>
        <w:contextualSpacing/>
        <w:rPr>
          <w:color w:val="000000" w:themeColor="text1"/>
        </w:rPr>
      </w:pPr>
      <w:r w:rsidRPr="00395160">
        <w:rPr>
          <w:color w:val="000000" w:themeColor="text1"/>
        </w:rPr>
        <w:t>Following the one-way ANOVA omnibus test of the null hypothesis</w:t>
      </w:r>
      <w:r w:rsidR="00395160">
        <w:rPr>
          <w:color w:val="000000" w:themeColor="text1"/>
        </w:rPr>
        <w:t xml:space="preserve">, assumptions for analysis of covariance were tested. </w:t>
      </w:r>
    </w:p>
    <w:p w14:paraId="0F4BB88A" w14:textId="5A2EE94B" w:rsidR="00C140A4" w:rsidRDefault="00395160" w:rsidP="00395160">
      <w:pPr>
        <w:pStyle w:val="NormalWeb"/>
        <w:numPr>
          <w:ilvl w:val="0"/>
          <w:numId w:val="9"/>
        </w:numPr>
        <w:contextualSpacing/>
        <w:rPr>
          <w:color w:val="000000" w:themeColor="text1"/>
        </w:rPr>
      </w:pPr>
      <w:r>
        <w:rPr>
          <w:color w:val="000000" w:themeColor="text1"/>
        </w:rPr>
        <w:t xml:space="preserve">Specifically, </w:t>
      </w:r>
      <w:r w:rsidRPr="00546C4A">
        <w:rPr>
          <w:color w:val="000000" w:themeColor="text1"/>
        </w:rPr>
        <w:t xml:space="preserve">in order to determine </w:t>
      </w:r>
      <w:r>
        <w:rPr>
          <w:color w:val="000000" w:themeColor="text1"/>
        </w:rPr>
        <w:t>covariate suitability for students’</w:t>
      </w:r>
      <w:r w:rsidRPr="00546C4A">
        <w:rPr>
          <w:color w:val="000000" w:themeColor="text1"/>
        </w:rPr>
        <w:t xml:space="preserve"> prior GPA</w:t>
      </w:r>
      <w:r>
        <w:rPr>
          <w:color w:val="000000" w:themeColor="text1"/>
        </w:rPr>
        <w:t xml:space="preserve">, the correlation between prior GPA and final course grade was calculated. </w:t>
      </w:r>
      <w:r w:rsidR="00F8555C">
        <w:rPr>
          <w:color w:val="000000" w:themeColor="text1"/>
        </w:rPr>
        <w:t xml:space="preserve">Results indicated that prior GPA and final course grade were strongly correlated </w:t>
      </w:r>
      <w:r w:rsidR="00F8555C">
        <w:rPr>
          <w:i/>
          <w:iCs/>
          <w:color w:val="000000" w:themeColor="text1"/>
        </w:rPr>
        <w:t>r</w:t>
      </w:r>
      <w:r w:rsidR="00F8555C">
        <w:rPr>
          <w:color w:val="000000" w:themeColor="text1"/>
        </w:rPr>
        <w:t xml:space="preserve">(273) = .39, </w:t>
      </w:r>
      <w:r w:rsidR="00F8555C" w:rsidRPr="00F8555C">
        <w:rPr>
          <w:i/>
          <w:iCs/>
          <w:color w:val="000000" w:themeColor="text1"/>
        </w:rPr>
        <w:t>p</w:t>
      </w:r>
      <w:r w:rsidR="00F8555C">
        <w:rPr>
          <w:color w:val="000000" w:themeColor="text1"/>
        </w:rPr>
        <w:t xml:space="preserve"> &lt; .001</w:t>
      </w:r>
      <w:r w:rsidR="00C140A4">
        <w:rPr>
          <w:color w:val="000000" w:themeColor="text1"/>
        </w:rPr>
        <w:t xml:space="preserve">, providing initial support for the use of prior GPA as a covariate. </w:t>
      </w:r>
      <w:r w:rsidR="005C2FC8">
        <w:rPr>
          <w:color w:val="000000" w:themeColor="text1"/>
        </w:rPr>
        <w:t xml:space="preserve">A scatterplot of the relationship between prior GPA and final course grade (Figure __) revealed </w:t>
      </w:r>
    </w:p>
    <w:p w14:paraId="16344004" w14:textId="1C4E83C4" w:rsidR="0064183F" w:rsidRPr="00C35369" w:rsidRDefault="00C140A4" w:rsidP="00C471EE">
      <w:pPr>
        <w:pStyle w:val="NormalWeb"/>
        <w:numPr>
          <w:ilvl w:val="0"/>
          <w:numId w:val="9"/>
        </w:numPr>
        <w:contextualSpacing/>
        <w:rPr>
          <w:color w:val="FF0000"/>
        </w:rPr>
      </w:pPr>
      <w:r w:rsidRPr="00C140A4">
        <w:rPr>
          <w:color w:val="000000" w:themeColor="text1"/>
        </w:rPr>
        <w:lastRenderedPageBreak/>
        <w:t xml:space="preserve">Next, </w:t>
      </w:r>
      <w:r w:rsidR="00E478EA">
        <w:rPr>
          <w:color w:val="000000" w:themeColor="text1"/>
        </w:rPr>
        <w:t xml:space="preserve">the assumption of covariate balance was tested by comparing group variances of prior GPA across all three levels of the treatment variable. </w:t>
      </w:r>
      <w:proofErr w:type="spellStart"/>
      <w:r w:rsidR="00C35369">
        <w:rPr>
          <w:color w:val="000000" w:themeColor="text1"/>
        </w:rPr>
        <w:t>Levene’s</w:t>
      </w:r>
      <w:proofErr w:type="spellEnd"/>
      <w:r w:rsidR="00C35369">
        <w:rPr>
          <w:color w:val="000000" w:themeColor="text1"/>
        </w:rPr>
        <w:t xml:space="preserve"> test of homogeneity of variance revealed that… </w:t>
      </w:r>
    </w:p>
    <w:p w14:paraId="0B21C4F5" w14:textId="5477A267" w:rsidR="00C35369" w:rsidRPr="00C35369" w:rsidRDefault="00C35369" w:rsidP="00C471EE">
      <w:pPr>
        <w:pStyle w:val="NormalWeb"/>
        <w:numPr>
          <w:ilvl w:val="0"/>
          <w:numId w:val="9"/>
        </w:numPr>
        <w:contextualSpacing/>
        <w:rPr>
          <w:color w:val="FF0000"/>
        </w:rPr>
      </w:pPr>
      <w:r>
        <w:rPr>
          <w:color w:val="000000" w:themeColor="text1"/>
        </w:rPr>
        <w:t xml:space="preserve">Additionally, a boxplot of prior GPA by treatment group (Figure ___)  indicated… </w:t>
      </w:r>
    </w:p>
    <w:p w14:paraId="0018B1F8" w14:textId="77777777" w:rsidR="00C35369" w:rsidRPr="00C140A4" w:rsidRDefault="00C35369" w:rsidP="00C471EE">
      <w:pPr>
        <w:pStyle w:val="NormalWeb"/>
        <w:numPr>
          <w:ilvl w:val="0"/>
          <w:numId w:val="9"/>
        </w:numPr>
        <w:contextualSpacing/>
        <w:rPr>
          <w:color w:val="FF0000"/>
        </w:rPr>
      </w:pPr>
    </w:p>
    <w:p w14:paraId="492E2DD4" w14:textId="77777777" w:rsidR="0064183F" w:rsidRPr="00C5272B" w:rsidRDefault="0064183F" w:rsidP="00C5272B">
      <w:pPr>
        <w:pStyle w:val="NormalWeb"/>
        <w:contextualSpacing/>
        <w:rPr>
          <w:color w:val="FF0000"/>
        </w:rPr>
      </w:pPr>
    </w:p>
    <w:p w14:paraId="1205766F" w14:textId="5490523E" w:rsidR="00626C40" w:rsidRPr="00C5272B" w:rsidRDefault="00626C40" w:rsidP="00792F4D">
      <w:pPr>
        <w:pStyle w:val="NormalWeb"/>
        <w:numPr>
          <w:ilvl w:val="0"/>
          <w:numId w:val="9"/>
        </w:numPr>
        <w:contextualSpacing/>
        <w:rPr>
          <w:color w:val="FF0000"/>
        </w:rPr>
      </w:pPr>
      <w:r w:rsidRPr="00C5272B">
        <w:rPr>
          <w:color w:val="FF0000"/>
        </w:rPr>
        <w:t>discuss results in text and with tables and plots (see APA Publication Manual</w:t>
      </w:r>
      <w:r w:rsidR="00792F4D" w:rsidRPr="00C5272B">
        <w:rPr>
          <w:color w:val="FF0000"/>
        </w:rPr>
        <w:t xml:space="preserve"> </w:t>
      </w:r>
      <w:r w:rsidRPr="00C5272B">
        <w:rPr>
          <w:color w:val="FF0000"/>
        </w:rPr>
        <w:t xml:space="preserve">checklists for formatting), </w:t>
      </w:r>
    </w:p>
    <w:p w14:paraId="7F909613" w14:textId="5EBF90D8" w:rsidR="00626C40" w:rsidRDefault="00626C40" w:rsidP="00FA195E">
      <w:pPr>
        <w:pStyle w:val="NormalWeb"/>
        <w:contextualSpacing/>
      </w:pPr>
    </w:p>
    <w:p w14:paraId="76249B56" w14:textId="75682F85" w:rsidR="00FA195E" w:rsidRDefault="00FA195E" w:rsidP="00FA195E">
      <w:pPr>
        <w:pStyle w:val="NormalWeb"/>
        <w:contextualSpacing/>
      </w:pPr>
    </w:p>
    <w:p w14:paraId="38F3F621" w14:textId="023630BA" w:rsidR="00FA195E" w:rsidRDefault="00FA195E" w:rsidP="00FA195E">
      <w:pPr>
        <w:pStyle w:val="NormalWeb"/>
        <w:contextualSpacing/>
      </w:pPr>
    </w:p>
    <w:p w14:paraId="73F7EFC9" w14:textId="09B6F646" w:rsidR="00FA195E" w:rsidRDefault="00FA195E" w:rsidP="00FA195E">
      <w:pPr>
        <w:pStyle w:val="NormalWeb"/>
        <w:contextualSpacing/>
      </w:pPr>
    </w:p>
    <w:p w14:paraId="4B129666" w14:textId="7C787FC9" w:rsidR="00FA195E" w:rsidRPr="00FA195E" w:rsidRDefault="00FA195E" w:rsidP="00FA195E">
      <w:pPr>
        <w:pStyle w:val="NormalWeb"/>
        <w:contextualSpacing/>
        <w:rPr>
          <w:b/>
          <w:bCs/>
        </w:rPr>
      </w:pPr>
      <w:r w:rsidRPr="00FA195E">
        <w:rPr>
          <w:b/>
          <w:bCs/>
        </w:rPr>
        <w:t>Discussion</w:t>
      </w:r>
    </w:p>
    <w:p w14:paraId="41BB7D54" w14:textId="35CB3ACE" w:rsidR="00626C40" w:rsidRDefault="00626C40" w:rsidP="00136FFC">
      <w:pPr>
        <w:pStyle w:val="NormalWeb"/>
        <w:contextualSpacing/>
        <w:rPr>
          <w:b/>
          <w:bCs/>
        </w:rPr>
      </w:pPr>
    </w:p>
    <w:p w14:paraId="66CB000C"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interpret results and draw conclusions </w:t>
      </w:r>
    </w:p>
    <w:p w14:paraId="14CDCD17"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limitations </w:t>
      </w:r>
    </w:p>
    <w:p w14:paraId="3641A114"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future research, if applicable </w:t>
      </w:r>
    </w:p>
    <w:p w14:paraId="509BC32E" w14:textId="601F54D8" w:rsidR="00FA195E" w:rsidRDefault="00FA195E" w:rsidP="00FB71FE">
      <w:pPr>
        <w:pStyle w:val="NormalWeb"/>
        <w:contextualSpacing/>
        <w:rPr>
          <w:b/>
          <w:bCs/>
        </w:rPr>
      </w:pPr>
    </w:p>
    <w:p w14:paraId="2D06D9D5" w14:textId="7ADF816A" w:rsidR="00FB71FE" w:rsidRDefault="00FB71FE" w:rsidP="00FB71FE">
      <w:pPr>
        <w:pStyle w:val="NormalWeb"/>
        <w:contextualSpacing/>
        <w:rPr>
          <w:b/>
          <w:bCs/>
        </w:rPr>
      </w:pPr>
    </w:p>
    <w:p w14:paraId="6B74B2D2" w14:textId="76FD111B" w:rsidR="00FB71FE" w:rsidRDefault="00FB71FE" w:rsidP="00FB71FE">
      <w:pPr>
        <w:pStyle w:val="NormalWeb"/>
        <w:contextualSpacing/>
        <w:rPr>
          <w:b/>
          <w:bCs/>
        </w:rPr>
      </w:pPr>
    </w:p>
    <w:p w14:paraId="65862B86" w14:textId="6F07F7B8" w:rsidR="00FB71FE" w:rsidRDefault="00FB71FE" w:rsidP="00FB71FE">
      <w:pPr>
        <w:pStyle w:val="NormalWeb"/>
        <w:contextualSpacing/>
        <w:rPr>
          <w:b/>
          <w:bCs/>
        </w:rPr>
      </w:pPr>
      <w:r>
        <w:rPr>
          <w:b/>
          <w:bCs/>
        </w:rPr>
        <w:t xml:space="preserve"> References</w:t>
      </w:r>
    </w:p>
    <w:p w14:paraId="1FB7383F" w14:textId="4A00798A" w:rsidR="00FB71FE" w:rsidRDefault="00FB71FE" w:rsidP="00FB71FE">
      <w:pPr>
        <w:pStyle w:val="NormalWeb"/>
        <w:contextualSpacing/>
        <w:rPr>
          <w:b/>
          <w:bCs/>
        </w:rPr>
      </w:pPr>
    </w:p>
    <w:p w14:paraId="0F437C13" w14:textId="77777777" w:rsidR="00CF783B" w:rsidRDefault="00CF783B" w:rsidP="00FB71FE">
      <w:pPr>
        <w:pStyle w:val="NormalWeb"/>
        <w:contextualSpacing/>
        <w:rPr>
          <w:b/>
          <w:bCs/>
        </w:rPr>
      </w:pPr>
    </w:p>
    <w:p w14:paraId="2E49521D" w14:textId="2C81A2BA" w:rsidR="00FB71FE" w:rsidRDefault="00FB71FE" w:rsidP="00FB71FE">
      <w:pPr>
        <w:pStyle w:val="NormalWeb"/>
        <w:contextualSpacing/>
        <w:rPr>
          <w:b/>
          <w:bCs/>
        </w:rPr>
      </w:pPr>
      <w:r>
        <w:rPr>
          <w:b/>
          <w:bCs/>
        </w:rPr>
        <w:t xml:space="preserve">Appendix </w:t>
      </w:r>
    </w:p>
    <w:p w14:paraId="044C9177" w14:textId="0875382F" w:rsidR="00FB71FE" w:rsidRDefault="00FB71FE" w:rsidP="00FB71FE">
      <w:pPr>
        <w:pStyle w:val="NormalWeb"/>
        <w:contextualSpacing/>
        <w:rPr>
          <w:b/>
          <w:bCs/>
        </w:rPr>
      </w:pPr>
    </w:p>
    <w:p w14:paraId="308BD1B0" w14:textId="46BE3557" w:rsidR="00FB71FE" w:rsidRPr="00FB71FE" w:rsidRDefault="00FB71FE" w:rsidP="00FB71FE">
      <w:pPr>
        <w:pStyle w:val="NormalWeb"/>
        <w:numPr>
          <w:ilvl w:val="0"/>
          <w:numId w:val="12"/>
        </w:numPr>
        <w:contextualSpacing/>
      </w:pPr>
      <w:r w:rsidRPr="00FB71FE">
        <w:t xml:space="preserve">Include commented computer code </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 xml:space="preserve">Finally, the researchers also controlled for student </w:t>
      </w:r>
      <w:r w:rsidR="00814CE1">
        <w:lastRenderedPageBreak/>
        <w:t>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t>captured in the data set</w:t>
      </w:r>
      <w:r w:rsidR="005445CF">
        <w:t>; ‘not enrolled’ and ‘dropped course’.</w:t>
      </w:r>
      <w:r w:rsidR="00BE6D42">
        <w:t xml:space="preserve"> </w:t>
      </w:r>
      <w:r w:rsidR="00A37BF1">
        <w:t xml:space="preserve">Descriptive statistics for measures 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w:t>
      </w:r>
      <w:commentRangeStart w:id="2"/>
      <w:r w:rsidRPr="00B408CF">
        <w:rPr>
          <w:i/>
          <w:iCs/>
        </w:rPr>
        <w:t xml:space="preserve">Group </w:t>
      </w:r>
      <w:commentRangeEnd w:id="2"/>
      <w:r w:rsidR="00950C2D">
        <w:rPr>
          <w:rStyle w:val="CommentReference"/>
          <w:rFonts w:asciiTheme="minorHAnsi" w:eastAsiaTheme="minorHAnsi" w:hAnsiTheme="minorHAnsi" w:cstheme="minorBidi"/>
        </w:rPr>
        <w:commentReference w:id="2"/>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w:t>
      </w:r>
      <w:commentRangeStart w:id="3"/>
      <w:r>
        <w:rPr>
          <w:rFonts w:ascii="TimesNewRomanPSMT" w:hAnsi="TimesNewRomanPSMT"/>
          <w:i/>
          <w:iCs/>
        </w:rPr>
        <w:t xml:space="preserve">Grade </w:t>
      </w:r>
      <w:commentRangeEnd w:id="3"/>
      <w:r w:rsidR="00485C1A">
        <w:rPr>
          <w:rStyle w:val="CommentReference"/>
          <w:rFonts w:asciiTheme="minorHAnsi" w:eastAsiaTheme="minorHAnsi" w:hAnsiTheme="minorHAnsi" w:cstheme="minorBidi"/>
        </w:rPr>
        <w:commentReference w:id="3"/>
      </w:r>
      <w:r>
        <w:rPr>
          <w:rFonts w:ascii="TimesNewRomanPSMT" w:hAnsi="TimesNewRomanPSMT"/>
          <w:i/>
          <w:iCs/>
        </w:rPr>
        <w:t xml:space="preserve">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noProof/>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7"/>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6A61E2AE" w:rsidR="00633756" w:rsidRDefault="00633756" w:rsidP="00136FFC">
      <w:pPr>
        <w:pStyle w:val="NormalWeb"/>
        <w:rPr>
          <w:rFonts w:ascii="TimesNewRomanPSMT" w:hAnsi="TimesNewRomanPSMT"/>
          <w:i/>
          <w:iCs/>
        </w:rPr>
      </w:pPr>
      <w:r>
        <w:rPr>
          <w:rFonts w:ascii="TimesNewRomanPSMT" w:hAnsi="TimesNewRomanPSMT"/>
          <w:i/>
          <w:iCs/>
        </w:rPr>
        <w:t>Student</w:t>
      </w:r>
      <w:r w:rsidR="00A34AC6">
        <w:rPr>
          <w:rFonts w:ascii="TimesNewRomanPSMT" w:hAnsi="TimesNewRomanPSMT"/>
          <w:i/>
          <w:iCs/>
        </w:rPr>
        <w:t xml:space="preserve"> Baseline</w:t>
      </w:r>
      <w:r>
        <w:rPr>
          <w:rFonts w:ascii="TimesNewRomanPSMT" w:hAnsi="TimesNewRomanPSMT"/>
          <w:i/>
          <w:iCs/>
        </w:rPr>
        <w:t xml:space="preserve">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noProof/>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he rule states that constant variance can be established if the product of the ratio of the largest subgroup to the smallest and the ratio of the largest variance to the smallest is less than four. Finally, for a statistical test of constant variance, I will also calculate Levene’s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5215395" w14:textId="16EEA7C6" w:rsidR="007E0A9F" w:rsidRPr="007E0A9F" w:rsidRDefault="00EA06A9" w:rsidP="007E0A9F">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7E0A9F" w:rsidRPr="007E0A9F">
        <w:rPr>
          <w:rFonts w:ascii="Times New Roman" w:hAnsi="Times New Roman" w:cs="Times New Roman"/>
          <w:noProof/>
        </w:rPr>
        <w:t xml:space="preserve">Alpert, B. W. T., Couch, K. A., &amp; Harmon, O. R. (2016). A Randomized Assessment of Online Learning Author. </w:t>
      </w:r>
      <w:r w:rsidR="007E0A9F" w:rsidRPr="007E0A9F">
        <w:rPr>
          <w:rFonts w:ascii="Times New Roman" w:hAnsi="Times New Roman" w:cs="Times New Roman"/>
          <w:i/>
          <w:iCs/>
          <w:noProof/>
        </w:rPr>
        <w:t>American Economic Association</w:t>
      </w:r>
      <w:r w:rsidR="007E0A9F" w:rsidRPr="007E0A9F">
        <w:rPr>
          <w:rFonts w:ascii="Times New Roman" w:hAnsi="Times New Roman" w:cs="Times New Roman"/>
          <w:noProof/>
        </w:rPr>
        <w:t xml:space="preserve">, </w:t>
      </w:r>
      <w:r w:rsidR="007E0A9F" w:rsidRPr="007E0A9F">
        <w:rPr>
          <w:rFonts w:ascii="Times New Roman" w:hAnsi="Times New Roman" w:cs="Times New Roman"/>
          <w:i/>
          <w:iCs/>
          <w:noProof/>
        </w:rPr>
        <w:t>106</w:t>
      </w:r>
      <w:r w:rsidR="007E0A9F" w:rsidRPr="007E0A9F">
        <w:rPr>
          <w:rFonts w:ascii="Times New Roman" w:hAnsi="Times New Roman" w:cs="Times New Roman"/>
          <w:noProof/>
        </w:rPr>
        <w:t>(5), 378–382.</w:t>
      </w:r>
    </w:p>
    <w:p w14:paraId="4A905E55"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Bowen, W. G., Chingos, M. M., Lack, K. A., &amp; Nygren, T. I. (2014). Interactive learning online at public universities: Evidence from a six-campus randomized trial. </w:t>
      </w:r>
      <w:r w:rsidRPr="007E0A9F">
        <w:rPr>
          <w:rFonts w:ascii="Times New Roman" w:hAnsi="Times New Roman" w:cs="Times New Roman"/>
          <w:i/>
          <w:iCs/>
          <w:noProof/>
        </w:rPr>
        <w:t>Journal of Policy Analysis and Management</w:t>
      </w:r>
      <w:r w:rsidRPr="007E0A9F">
        <w:rPr>
          <w:rFonts w:ascii="Times New Roman" w:hAnsi="Times New Roman" w:cs="Times New Roman"/>
          <w:noProof/>
        </w:rPr>
        <w:t xml:space="preserve">, </w:t>
      </w:r>
      <w:r w:rsidRPr="007E0A9F">
        <w:rPr>
          <w:rFonts w:ascii="Times New Roman" w:hAnsi="Times New Roman" w:cs="Times New Roman"/>
          <w:i/>
          <w:iCs/>
          <w:noProof/>
        </w:rPr>
        <w:t>33</w:t>
      </w:r>
      <w:r w:rsidRPr="007E0A9F">
        <w:rPr>
          <w:rFonts w:ascii="Times New Roman" w:hAnsi="Times New Roman" w:cs="Times New Roman"/>
          <w:noProof/>
        </w:rPr>
        <w:t>(1). https://doi.org/10.1002/pam.21728</w:t>
      </w:r>
    </w:p>
    <w:p w14:paraId="1F7FCF9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Figlio, D., Rush, M., &amp; Yin, L. (2013). Is it live or is it internet? experimental estimates of the effects of online instruction on student learning. </w:t>
      </w:r>
      <w:r w:rsidRPr="007E0A9F">
        <w:rPr>
          <w:rFonts w:ascii="Times New Roman" w:hAnsi="Times New Roman" w:cs="Times New Roman"/>
          <w:i/>
          <w:iCs/>
          <w:noProof/>
        </w:rPr>
        <w:t>Journal of Labor Economics</w:t>
      </w:r>
      <w:r w:rsidRPr="007E0A9F">
        <w:rPr>
          <w:rFonts w:ascii="Times New Roman" w:hAnsi="Times New Roman" w:cs="Times New Roman"/>
          <w:noProof/>
        </w:rPr>
        <w:t xml:space="preserve">, </w:t>
      </w:r>
      <w:r w:rsidRPr="007E0A9F">
        <w:rPr>
          <w:rFonts w:ascii="Times New Roman" w:hAnsi="Times New Roman" w:cs="Times New Roman"/>
          <w:i/>
          <w:iCs/>
          <w:noProof/>
        </w:rPr>
        <w:t>31</w:t>
      </w:r>
      <w:r w:rsidRPr="007E0A9F">
        <w:rPr>
          <w:rFonts w:ascii="Times New Roman" w:hAnsi="Times New Roman" w:cs="Times New Roman"/>
          <w:noProof/>
        </w:rPr>
        <w:t>(4). https://doi.org/10.1086/669930</w:t>
      </w:r>
    </w:p>
    <w:p w14:paraId="054C0FEE"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Joyce, T., Crockett, S., Jaeger, D. A., Altindag, O., &amp; O’Connell, S. D. (2015). Does classroom time matter? </w:t>
      </w:r>
      <w:r w:rsidRPr="007E0A9F">
        <w:rPr>
          <w:rFonts w:ascii="Times New Roman" w:hAnsi="Times New Roman" w:cs="Times New Roman"/>
          <w:i/>
          <w:iCs/>
          <w:noProof/>
        </w:rPr>
        <w:t>Economics of Education Review</w:t>
      </w:r>
      <w:r w:rsidRPr="007E0A9F">
        <w:rPr>
          <w:rFonts w:ascii="Times New Roman" w:hAnsi="Times New Roman" w:cs="Times New Roman"/>
          <w:noProof/>
        </w:rPr>
        <w:t xml:space="preserve">, </w:t>
      </w:r>
      <w:r w:rsidRPr="007E0A9F">
        <w:rPr>
          <w:rFonts w:ascii="Times New Roman" w:hAnsi="Times New Roman" w:cs="Times New Roman"/>
          <w:i/>
          <w:iCs/>
          <w:noProof/>
        </w:rPr>
        <w:t>46</w:t>
      </w:r>
      <w:r w:rsidRPr="007E0A9F">
        <w:rPr>
          <w:rFonts w:ascii="Times New Roman" w:hAnsi="Times New Roman" w:cs="Times New Roman"/>
          <w:noProof/>
        </w:rPr>
        <w:t>. https://doi.org/10.1016/j.econedurev.2015.02.007</w:t>
      </w:r>
    </w:p>
    <w:p w14:paraId="520BCDC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Maxwell, S. E., Delaney, H. D., &amp; Kelley, K. (2017). Designing Experiments and Analyzing Data. In </w:t>
      </w:r>
      <w:r w:rsidRPr="007E0A9F">
        <w:rPr>
          <w:rFonts w:ascii="Times New Roman" w:hAnsi="Times New Roman" w:cs="Times New Roman"/>
          <w:i/>
          <w:iCs/>
          <w:noProof/>
        </w:rPr>
        <w:t>Designing Experiments and Analyzing Data</w:t>
      </w:r>
      <w:r w:rsidRPr="007E0A9F">
        <w:rPr>
          <w:rFonts w:ascii="Times New Roman" w:hAnsi="Times New Roman" w:cs="Times New Roman"/>
          <w:noProof/>
        </w:rPr>
        <w:t>. https://doi.org/10.4324/9781315642956</w:t>
      </w:r>
    </w:p>
    <w:p w14:paraId="63E6F467" w14:textId="29E29E4B" w:rsidR="00EA06A9" w:rsidRDefault="00EA06A9" w:rsidP="007E0A9F">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23" w:history="1">
        <w:r w:rsidRPr="002512AA">
          <w:rPr>
            <w:rStyle w:val="Hyperlink"/>
            <w:rFonts w:ascii="TimesNewRomanPSMT" w:hAnsi="TimesNewRomanPSMT"/>
          </w:rPr>
          <w:t>A Randomized Assessment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F55B66" w:rsidP="00136FFC">
      <w:pPr>
        <w:rPr>
          <w:rFonts w:ascii="Times New Roman" w:hAnsi="Times New Roman" w:cs="Times New Roman"/>
        </w:rPr>
      </w:pPr>
      <w:hyperlink r:id="rId24" w:history="1">
        <w:r w:rsidR="00BB060C"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F55B66" w:rsidP="00136FFC">
      <w:pPr>
        <w:rPr>
          <w:rFonts w:ascii="Times New Roman" w:hAnsi="Times New Roman" w:cs="Times New Roman"/>
        </w:rPr>
      </w:pPr>
      <w:hyperlink r:id="rId25" w:history="1">
        <w:r w:rsidR="00BB060C"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26"/>
      <w:footerReference w:type="default" r:id="rId2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06T15:05:00Z" w:initials="g">
    <w:p w14:paraId="0D89DCD1" w14:textId="77777777" w:rsidR="00FD4BDA" w:rsidRDefault="00FD4BDA">
      <w:pPr>
        <w:pStyle w:val="CommentText"/>
      </w:pPr>
      <w:r>
        <w:rPr>
          <w:rStyle w:val="CommentReference"/>
        </w:rPr>
        <w:annotationRef/>
      </w:r>
      <w:r>
        <w:t xml:space="preserve">Notes from lecture discussion: </w:t>
      </w:r>
    </w:p>
    <w:p w14:paraId="12984A87" w14:textId="77777777" w:rsidR="00FD4BDA" w:rsidRDefault="00FD4BDA">
      <w:pPr>
        <w:pStyle w:val="CommentText"/>
      </w:pPr>
    </w:p>
    <w:p w14:paraId="465F64BE" w14:textId="77777777" w:rsidR="00FD4BDA" w:rsidRDefault="00FD4BDA" w:rsidP="00F66BFE">
      <w:pPr>
        <w:pStyle w:val="CommentText"/>
        <w:numPr>
          <w:ilvl w:val="0"/>
          <w:numId w:val="7"/>
        </w:numPr>
      </w:pPr>
      <w:r>
        <w:t xml:space="preserve"> Provide commentary as to whether results are likely conservative or anti-conservative based on a group variances and group sample sizes </w:t>
      </w:r>
    </w:p>
    <w:p w14:paraId="51C1D03E" w14:textId="77777777" w:rsidR="00FD4BDA" w:rsidRDefault="00FD4BDA" w:rsidP="00F66BFE">
      <w:pPr>
        <w:pStyle w:val="CommentText"/>
        <w:numPr>
          <w:ilvl w:val="0"/>
          <w:numId w:val="7"/>
        </w:numPr>
      </w:pPr>
      <w:r>
        <w:t xml:space="preserve"> For data transformation, if needed, consider using log transformation </w:t>
      </w:r>
    </w:p>
    <w:p w14:paraId="20D62367" w14:textId="77777777" w:rsidR="00FD4BDA" w:rsidRDefault="00FD4BDA" w:rsidP="00645DA8">
      <w:pPr>
        <w:pStyle w:val="CommentText"/>
        <w:numPr>
          <w:ilvl w:val="0"/>
          <w:numId w:val="7"/>
        </w:numPr>
      </w:pPr>
      <w:r>
        <w:t xml:space="preserve">If covariate interacts with treatment, look into ANCOHET, though that will start to expand scope of project beyond what is necessary; if there is an interaction, note that there is baseline imbalance, tested assumption of no treatment x covariate interaction, and therefore watch out </w:t>
      </w:r>
    </w:p>
    <w:p w14:paraId="08F932D8" w14:textId="625CE550" w:rsidR="00FD4BDA" w:rsidRDefault="00FD4BDA" w:rsidP="00645DA8">
      <w:pPr>
        <w:pStyle w:val="CommentText"/>
        <w:numPr>
          <w:ilvl w:val="0"/>
          <w:numId w:val="7"/>
        </w:numPr>
      </w:pPr>
    </w:p>
  </w:comment>
  <w:comment w:id="1" w:author="gmz2108" w:date="2021-12-11T12:24:00Z" w:initials="g">
    <w:p w14:paraId="6E22D6EE" w14:textId="23653EA2" w:rsidR="00FD4BDA" w:rsidRDefault="00FD4BDA">
      <w:pPr>
        <w:pStyle w:val="CommentText"/>
      </w:pPr>
      <w:r>
        <w:rPr>
          <w:rStyle w:val="CommentReference"/>
        </w:rPr>
        <w:annotationRef/>
      </w:r>
      <w:r>
        <w:t xml:space="preserve">1. state theoretical background (re-arrange current text starting with background on the research context for this replication study) </w:t>
      </w:r>
    </w:p>
    <w:p w14:paraId="1F6AC40F" w14:textId="4FC350A4" w:rsidR="00FD4BDA" w:rsidRDefault="00FD4BDA">
      <w:pPr>
        <w:pStyle w:val="CommentText"/>
      </w:pPr>
      <w:r>
        <w:t xml:space="preserve">2. list research questions </w:t>
      </w:r>
    </w:p>
  </w:comment>
  <w:comment w:id="2" w:author="gmz2108" w:date="2021-12-11T13:21:00Z" w:initials="g">
    <w:p w14:paraId="5445708E" w14:textId="5378A6A2" w:rsidR="00FD4BDA" w:rsidRDefault="00FD4BDA">
      <w:pPr>
        <w:pStyle w:val="CommentText"/>
      </w:pPr>
      <w:r>
        <w:rPr>
          <w:rStyle w:val="CommentReference"/>
        </w:rPr>
        <w:annotationRef/>
      </w:r>
      <w:r>
        <w:t xml:space="preserve">Update table Times New Roman </w:t>
      </w:r>
    </w:p>
  </w:comment>
  <w:comment w:id="3" w:author="gmz2108" w:date="2021-12-11T12:09:00Z" w:initials="g">
    <w:p w14:paraId="365D22E0" w14:textId="3F21F1E4" w:rsidR="00FD4BDA" w:rsidRDefault="00FD4BDA">
      <w:pPr>
        <w:pStyle w:val="CommentText"/>
      </w:pPr>
      <w:r>
        <w:rPr>
          <w:rStyle w:val="CommentReference"/>
        </w:rPr>
        <w:annotationRef/>
      </w:r>
      <w:r>
        <w:t xml:space="preserve">Legend doesn’t match up; remove legend but confirm appropriate boxes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F932D8" w15:done="0"/>
  <w15:commentEx w15:paraId="1F6AC40F" w15:done="0"/>
  <w15:commentEx w15:paraId="5445708E" w15:done="0"/>
  <w15:commentEx w15:paraId="365D22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8A530" w16cex:dateUtc="2021-12-06T20:05:00Z"/>
  <w16cex:commentExtensible w16cex:durableId="255F1707" w16cex:dateUtc="2021-12-11T17:24:00Z"/>
  <w16cex:commentExtensible w16cex:durableId="255F2453" w16cex:dateUtc="2021-12-11T18:21:00Z"/>
  <w16cex:commentExtensible w16cex:durableId="255F1396" w16cex:dateUtc="2021-12-11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F932D8" w16cid:durableId="2558A530"/>
  <w16cid:commentId w16cid:paraId="1F6AC40F" w16cid:durableId="255F1707"/>
  <w16cid:commentId w16cid:paraId="5445708E" w16cid:durableId="255F2453"/>
  <w16cid:commentId w16cid:paraId="365D22E0" w16cid:durableId="255F1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F539A" w14:textId="77777777" w:rsidR="0068456C" w:rsidRDefault="0068456C" w:rsidP="00136FFC">
      <w:r>
        <w:separator/>
      </w:r>
    </w:p>
  </w:endnote>
  <w:endnote w:type="continuationSeparator" w:id="0">
    <w:p w14:paraId="7BC7A8BC" w14:textId="77777777" w:rsidR="0068456C" w:rsidRDefault="0068456C"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Content>
      <w:p w14:paraId="41866DBA" w14:textId="052C3CCF" w:rsidR="00FD4BDA" w:rsidRDefault="00FD4BDA"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FD4BDA" w:rsidRDefault="00FD4BDA"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Content>
      <w:p w14:paraId="437D9845" w14:textId="348A27DF" w:rsidR="00FD4BDA" w:rsidRDefault="00FD4BDA"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FD4BDA" w:rsidRDefault="00FD4BDA"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D38FA" w14:textId="77777777" w:rsidR="0068456C" w:rsidRDefault="0068456C" w:rsidP="00136FFC">
      <w:r>
        <w:separator/>
      </w:r>
    </w:p>
  </w:footnote>
  <w:footnote w:type="continuationSeparator" w:id="0">
    <w:p w14:paraId="18AF65EA" w14:textId="77777777" w:rsidR="0068456C" w:rsidRDefault="0068456C"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2959"/>
    <w:multiLevelType w:val="hybridMultilevel"/>
    <w:tmpl w:val="FCA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75FA3"/>
    <w:multiLevelType w:val="multilevel"/>
    <w:tmpl w:val="50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35F23"/>
    <w:multiLevelType w:val="hybridMultilevel"/>
    <w:tmpl w:val="22EC2D0E"/>
    <w:lvl w:ilvl="0" w:tplc="4E14BF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03F71"/>
    <w:multiLevelType w:val="hybridMultilevel"/>
    <w:tmpl w:val="28F8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9190A"/>
    <w:multiLevelType w:val="hybridMultilevel"/>
    <w:tmpl w:val="0BBC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716CB"/>
    <w:multiLevelType w:val="hybridMultilevel"/>
    <w:tmpl w:val="BBA41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5"/>
  </w:num>
  <w:num w:numId="5">
    <w:abstractNumId w:val="6"/>
  </w:num>
  <w:num w:numId="6">
    <w:abstractNumId w:val="7"/>
  </w:num>
  <w:num w:numId="7">
    <w:abstractNumId w:val="3"/>
  </w:num>
  <w:num w:numId="8">
    <w:abstractNumId w:val="11"/>
  </w:num>
  <w:num w:numId="9">
    <w:abstractNumId w:val="9"/>
  </w:num>
  <w:num w:numId="10">
    <w:abstractNumId w:val="0"/>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019FD"/>
    <w:rsid w:val="00002255"/>
    <w:rsid w:val="00042CDB"/>
    <w:rsid w:val="00053FBC"/>
    <w:rsid w:val="000703FC"/>
    <w:rsid w:val="000766DB"/>
    <w:rsid w:val="00081534"/>
    <w:rsid w:val="00081D29"/>
    <w:rsid w:val="00095FF3"/>
    <w:rsid w:val="000A2014"/>
    <w:rsid w:val="000A5A87"/>
    <w:rsid w:val="000B66D1"/>
    <w:rsid w:val="000D7014"/>
    <w:rsid w:val="00110BC3"/>
    <w:rsid w:val="00114CCE"/>
    <w:rsid w:val="00117743"/>
    <w:rsid w:val="00136FFC"/>
    <w:rsid w:val="0014692A"/>
    <w:rsid w:val="0014709B"/>
    <w:rsid w:val="00156FFD"/>
    <w:rsid w:val="00180ED4"/>
    <w:rsid w:val="001973EA"/>
    <w:rsid w:val="001C3672"/>
    <w:rsid w:val="001D2B26"/>
    <w:rsid w:val="001E6771"/>
    <w:rsid w:val="002415C8"/>
    <w:rsid w:val="002512AA"/>
    <w:rsid w:val="00262F15"/>
    <w:rsid w:val="002A1FFB"/>
    <w:rsid w:val="002B4A1A"/>
    <w:rsid w:val="002E0FF9"/>
    <w:rsid w:val="002E3094"/>
    <w:rsid w:val="003053AB"/>
    <w:rsid w:val="00344C14"/>
    <w:rsid w:val="00393012"/>
    <w:rsid w:val="00395160"/>
    <w:rsid w:val="003C7E32"/>
    <w:rsid w:val="003D03B5"/>
    <w:rsid w:val="003D43FD"/>
    <w:rsid w:val="003F208B"/>
    <w:rsid w:val="003F43B9"/>
    <w:rsid w:val="0042323C"/>
    <w:rsid w:val="00455158"/>
    <w:rsid w:val="00477CAE"/>
    <w:rsid w:val="00485C1A"/>
    <w:rsid w:val="00490C8F"/>
    <w:rsid w:val="004A7D80"/>
    <w:rsid w:val="004C6253"/>
    <w:rsid w:val="00527ABC"/>
    <w:rsid w:val="005338BF"/>
    <w:rsid w:val="005445CF"/>
    <w:rsid w:val="00546C4A"/>
    <w:rsid w:val="00560E61"/>
    <w:rsid w:val="00565D3E"/>
    <w:rsid w:val="00566E64"/>
    <w:rsid w:val="00583532"/>
    <w:rsid w:val="00597202"/>
    <w:rsid w:val="005A18EC"/>
    <w:rsid w:val="005B7DA1"/>
    <w:rsid w:val="005C2FC8"/>
    <w:rsid w:val="005D0EDC"/>
    <w:rsid w:val="005D3560"/>
    <w:rsid w:val="005D4E35"/>
    <w:rsid w:val="005D501F"/>
    <w:rsid w:val="005D6199"/>
    <w:rsid w:val="00610400"/>
    <w:rsid w:val="00615AB0"/>
    <w:rsid w:val="00626C40"/>
    <w:rsid w:val="00633756"/>
    <w:rsid w:val="0064183F"/>
    <w:rsid w:val="00644167"/>
    <w:rsid w:val="00645DA8"/>
    <w:rsid w:val="00652D6B"/>
    <w:rsid w:val="00654490"/>
    <w:rsid w:val="0065731C"/>
    <w:rsid w:val="0068456C"/>
    <w:rsid w:val="00691822"/>
    <w:rsid w:val="006F42B4"/>
    <w:rsid w:val="006F6CEA"/>
    <w:rsid w:val="00702F39"/>
    <w:rsid w:val="00725510"/>
    <w:rsid w:val="00744F3A"/>
    <w:rsid w:val="00773B4B"/>
    <w:rsid w:val="00774AE3"/>
    <w:rsid w:val="00785832"/>
    <w:rsid w:val="00792F4D"/>
    <w:rsid w:val="00797DB8"/>
    <w:rsid w:val="007A502E"/>
    <w:rsid w:val="007B308A"/>
    <w:rsid w:val="007C6E1A"/>
    <w:rsid w:val="007D5817"/>
    <w:rsid w:val="007E066E"/>
    <w:rsid w:val="007E0A9F"/>
    <w:rsid w:val="007E3370"/>
    <w:rsid w:val="007F2EAC"/>
    <w:rsid w:val="008028F6"/>
    <w:rsid w:val="00814CE1"/>
    <w:rsid w:val="00852709"/>
    <w:rsid w:val="008602AD"/>
    <w:rsid w:val="008634A5"/>
    <w:rsid w:val="00871EFE"/>
    <w:rsid w:val="008731A9"/>
    <w:rsid w:val="00883CAE"/>
    <w:rsid w:val="00884519"/>
    <w:rsid w:val="008E1C8F"/>
    <w:rsid w:val="00905FA3"/>
    <w:rsid w:val="009112EA"/>
    <w:rsid w:val="0092508C"/>
    <w:rsid w:val="00931098"/>
    <w:rsid w:val="00950C2D"/>
    <w:rsid w:val="00952A5F"/>
    <w:rsid w:val="00962EB7"/>
    <w:rsid w:val="00977497"/>
    <w:rsid w:val="00983382"/>
    <w:rsid w:val="009B0BD8"/>
    <w:rsid w:val="009B66FD"/>
    <w:rsid w:val="009F2946"/>
    <w:rsid w:val="00A30322"/>
    <w:rsid w:val="00A34AC6"/>
    <w:rsid w:val="00A35FFC"/>
    <w:rsid w:val="00A37BF1"/>
    <w:rsid w:val="00A55EB4"/>
    <w:rsid w:val="00A8361C"/>
    <w:rsid w:val="00A935B6"/>
    <w:rsid w:val="00AA2095"/>
    <w:rsid w:val="00AB1388"/>
    <w:rsid w:val="00AB724E"/>
    <w:rsid w:val="00AC4789"/>
    <w:rsid w:val="00B00F86"/>
    <w:rsid w:val="00B07B0A"/>
    <w:rsid w:val="00B3530C"/>
    <w:rsid w:val="00B408CF"/>
    <w:rsid w:val="00B441DE"/>
    <w:rsid w:val="00B60750"/>
    <w:rsid w:val="00B7203A"/>
    <w:rsid w:val="00BA4EC6"/>
    <w:rsid w:val="00BA55B4"/>
    <w:rsid w:val="00BA720A"/>
    <w:rsid w:val="00BB060C"/>
    <w:rsid w:val="00BB0D77"/>
    <w:rsid w:val="00BC2BD5"/>
    <w:rsid w:val="00BC51BE"/>
    <w:rsid w:val="00BE6D42"/>
    <w:rsid w:val="00C07582"/>
    <w:rsid w:val="00C07BDB"/>
    <w:rsid w:val="00C140A4"/>
    <w:rsid w:val="00C167BA"/>
    <w:rsid w:val="00C35369"/>
    <w:rsid w:val="00C364D9"/>
    <w:rsid w:val="00C42F68"/>
    <w:rsid w:val="00C47603"/>
    <w:rsid w:val="00C50E5A"/>
    <w:rsid w:val="00C5272B"/>
    <w:rsid w:val="00C61A81"/>
    <w:rsid w:val="00C83BF3"/>
    <w:rsid w:val="00C87DC9"/>
    <w:rsid w:val="00C950B0"/>
    <w:rsid w:val="00CA0E78"/>
    <w:rsid w:val="00CE1F28"/>
    <w:rsid w:val="00CF783B"/>
    <w:rsid w:val="00D33127"/>
    <w:rsid w:val="00D346DD"/>
    <w:rsid w:val="00D6091E"/>
    <w:rsid w:val="00D82E5E"/>
    <w:rsid w:val="00D91335"/>
    <w:rsid w:val="00DB5924"/>
    <w:rsid w:val="00DC3330"/>
    <w:rsid w:val="00DC379B"/>
    <w:rsid w:val="00DC3AA6"/>
    <w:rsid w:val="00DD1F00"/>
    <w:rsid w:val="00DD6A55"/>
    <w:rsid w:val="00E00B2F"/>
    <w:rsid w:val="00E35739"/>
    <w:rsid w:val="00E478EA"/>
    <w:rsid w:val="00E87EE9"/>
    <w:rsid w:val="00E901C8"/>
    <w:rsid w:val="00EA06A9"/>
    <w:rsid w:val="00EA234F"/>
    <w:rsid w:val="00EA5259"/>
    <w:rsid w:val="00EA68E7"/>
    <w:rsid w:val="00EA6BB9"/>
    <w:rsid w:val="00EB55EA"/>
    <w:rsid w:val="00ED7E72"/>
    <w:rsid w:val="00F35CC1"/>
    <w:rsid w:val="00F372B0"/>
    <w:rsid w:val="00F439CC"/>
    <w:rsid w:val="00F55B66"/>
    <w:rsid w:val="00F57D5E"/>
    <w:rsid w:val="00F62F34"/>
    <w:rsid w:val="00F66BFE"/>
    <w:rsid w:val="00F81A1E"/>
    <w:rsid w:val="00F84621"/>
    <w:rsid w:val="00F8555C"/>
    <w:rsid w:val="00FA195E"/>
    <w:rsid w:val="00FB71FE"/>
    <w:rsid w:val="00FD4BDA"/>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 w:type="character" w:styleId="PlaceholderText">
    <w:name w:val="Placeholder Text"/>
    <w:basedOn w:val="DefaultParagraphFont"/>
    <w:uiPriority w:val="99"/>
    <w:semiHidden/>
    <w:rsid w:val="00F55B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2441">
      <w:bodyDiv w:val="1"/>
      <w:marLeft w:val="0"/>
      <w:marRight w:val="0"/>
      <w:marTop w:val="0"/>
      <w:marBottom w:val="0"/>
      <w:divBdr>
        <w:top w:val="none" w:sz="0" w:space="0" w:color="auto"/>
        <w:left w:val="none" w:sz="0" w:space="0" w:color="auto"/>
        <w:bottom w:val="none" w:sz="0" w:space="0" w:color="auto"/>
        <w:right w:val="none" w:sz="0" w:space="0" w:color="auto"/>
      </w:divBdr>
      <w:divsChild>
        <w:div w:id="505897665">
          <w:marLeft w:val="0"/>
          <w:marRight w:val="0"/>
          <w:marTop w:val="0"/>
          <w:marBottom w:val="0"/>
          <w:divBdr>
            <w:top w:val="none" w:sz="0" w:space="0" w:color="auto"/>
            <w:left w:val="none" w:sz="0" w:space="0" w:color="auto"/>
            <w:bottom w:val="none" w:sz="0" w:space="0" w:color="auto"/>
            <w:right w:val="none" w:sz="0" w:space="0" w:color="auto"/>
          </w:divBdr>
          <w:divsChild>
            <w:div w:id="1157722704">
              <w:marLeft w:val="0"/>
              <w:marRight w:val="0"/>
              <w:marTop w:val="0"/>
              <w:marBottom w:val="0"/>
              <w:divBdr>
                <w:top w:val="none" w:sz="0" w:space="0" w:color="auto"/>
                <w:left w:val="none" w:sz="0" w:space="0" w:color="auto"/>
                <w:bottom w:val="none" w:sz="0" w:space="0" w:color="auto"/>
                <w:right w:val="none" w:sz="0" w:space="0" w:color="auto"/>
              </w:divBdr>
              <w:divsChild>
                <w:div w:id="16270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67396">
      <w:bodyDiv w:val="1"/>
      <w:marLeft w:val="0"/>
      <w:marRight w:val="0"/>
      <w:marTop w:val="0"/>
      <w:marBottom w:val="0"/>
      <w:divBdr>
        <w:top w:val="none" w:sz="0" w:space="0" w:color="auto"/>
        <w:left w:val="none" w:sz="0" w:space="0" w:color="auto"/>
        <w:bottom w:val="none" w:sz="0" w:space="0" w:color="auto"/>
        <w:right w:val="none" w:sz="0" w:space="0" w:color="auto"/>
      </w:divBdr>
      <w:divsChild>
        <w:div w:id="883784807">
          <w:marLeft w:val="0"/>
          <w:marRight w:val="0"/>
          <w:marTop w:val="0"/>
          <w:marBottom w:val="0"/>
          <w:divBdr>
            <w:top w:val="none" w:sz="0" w:space="0" w:color="auto"/>
            <w:left w:val="none" w:sz="0" w:space="0" w:color="auto"/>
            <w:bottom w:val="none" w:sz="0" w:space="0" w:color="auto"/>
            <w:right w:val="none" w:sz="0" w:space="0" w:color="auto"/>
          </w:divBdr>
          <w:divsChild>
            <w:div w:id="503323314">
              <w:marLeft w:val="0"/>
              <w:marRight w:val="0"/>
              <w:marTop w:val="0"/>
              <w:marBottom w:val="0"/>
              <w:divBdr>
                <w:top w:val="none" w:sz="0" w:space="0" w:color="auto"/>
                <w:left w:val="none" w:sz="0" w:space="0" w:color="auto"/>
                <w:bottom w:val="none" w:sz="0" w:space="0" w:color="auto"/>
                <w:right w:val="none" w:sz="0" w:space="0" w:color="auto"/>
              </w:divBdr>
              <w:divsChild>
                <w:div w:id="14439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487092674">
      <w:bodyDiv w:val="1"/>
      <w:marLeft w:val="0"/>
      <w:marRight w:val="0"/>
      <w:marTop w:val="0"/>
      <w:marBottom w:val="0"/>
      <w:divBdr>
        <w:top w:val="none" w:sz="0" w:space="0" w:color="auto"/>
        <w:left w:val="none" w:sz="0" w:space="0" w:color="auto"/>
        <w:bottom w:val="none" w:sz="0" w:space="0" w:color="auto"/>
        <w:right w:val="none" w:sz="0" w:space="0" w:color="auto"/>
      </w:divBdr>
      <w:divsChild>
        <w:div w:id="737358317">
          <w:marLeft w:val="0"/>
          <w:marRight w:val="0"/>
          <w:marTop w:val="0"/>
          <w:marBottom w:val="0"/>
          <w:divBdr>
            <w:top w:val="none" w:sz="0" w:space="0" w:color="auto"/>
            <w:left w:val="none" w:sz="0" w:space="0" w:color="auto"/>
            <w:bottom w:val="none" w:sz="0" w:space="0" w:color="auto"/>
            <w:right w:val="none" w:sz="0" w:space="0" w:color="auto"/>
          </w:divBdr>
          <w:divsChild>
            <w:div w:id="745033097">
              <w:marLeft w:val="0"/>
              <w:marRight w:val="0"/>
              <w:marTop w:val="0"/>
              <w:marBottom w:val="0"/>
              <w:divBdr>
                <w:top w:val="none" w:sz="0" w:space="0" w:color="auto"/>
                <w:left w:val="none" w:sz="0" w:space="0" w:color="auto"/>
                <w:bottom w:val="none" w:sz="0" w:space="0" w:color="auto"/>
                <w:right w:val="none" w:sz="0" w:space="0" w:color="auto"/>
              </w:divBdr>
              <w:divsChild>
                <w:div w:id="16723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7515">
      <w:bodyDiv w:val="1"/>
      <w:marLeft w:val="0"/>
      <w:marRight w:val="0"/>
      <w:marTop w:val="0"/>
      <w:marBottom w:val="0"/>
      <w:divBdr>
        <w:top w:val="none" w:sz="0" w:space="0" w:color="auto"/>
        <w:left w:val="none" w:sz="0" w:space="0" w:color="auto"/>
        <w:bottom w:val="none" w:sz="0" w:space="0" w:color="auto"/>
        <w:right w:val="none" w:sz="0" w:space="0" w:color="auto"/>
      </w:divBdr>
      <w:divsChild>
        <w:div w:id="1622151108">
          <w:marLeft w:val="0"/>
          <w:marRight w:val="0"/>
          <w:marTop w:val="0"/>
          <w:marBottom w:val="0"/>
          <w:divBdr>
            <w:top w:val="none" w:sz="0" w:space="0" w:color="auto"/>
            <w:left w:val="none" w:sz="0" w:space="0" w:color="auto"/>
            <w:bottom w:val="none" w:sz="0" w:space="0" w:color="auto"/>
            <w:right w:val="none" w:sz="0" w:space="0" w:color="auto"/>
          </w:divBdr>
          <w:divsChild>
            <w:div w:id="93786950">
              <w:marLeft w:val="0"/>
              <w:marRight w:val="0"/>
              <w:marTop w:val="0"/>
              <w:marBottom w:val="0"/>
              <w:divBdr>
                <w:top w:val="none" w:sz="0" w:space="0" w:color="auto"/>
                <w:left w:val="none" w:sz="0" w:space="0" w:color="auto"/>
                <w:bottom w:val="none" w:sz="0" w:space="0" w:color="auto"/>
                <w:right w:val="none" w:sz="0" w:space="0" w:color="auto"/>
              </w:divBdr>
              <w:divsChild>
                <w:div w:id="1723867302">
                  <w:marLeft w:val="0"/>
                  <w:marRight w:val="0"/>
                  <w:marTop w:val="0"/>
                  <w:marBottom w:val="0"/>
                  <w:divBdr>
                    <w:top w:val="none" w:sz="0" w:space="0" w:color="auto"/>
                    <w:left w:val="none" w:sz="0" w:space="0" w:color="auto"/>
                    <w:bottom w:val="none" w:sz="0" w:space="0" w:color="auto"/>
                    <w:right w:val="none" w:sz="0" w:space="0" w:color="auto"/>
                  </w:divBdr>
                  <w:divsChild>
                    <w:div w:id="5340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tiff"/><Relationship Id="rId25" Type="http://schemas.openxmlformats.org/officeDocument/2006/relationships/hyperlink" Target="https://www.openicpsr.org/openicpsr/project/113462/version/V1/view"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gzlupko/5123_Linear_Models/tree/main/Online_Learning_Stud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openicpsr.org/openicpsr/project/113462/version/V1/view"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17</Pages>
  <Words>6517</Words>
  <Characters>37151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176</cp:revision>
  <dcterms:created xsi:type="dcterms:W3CDTF">2021-11-11T19:29:00Z</dcterms:created>
  <dcterms:modified xsi:type="dcterms:W3CDTF">2021-12-13T01:31:00Z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