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pPr>
        <w:ind w:firstLine="0"/>
        <w:jc w:val="right"/>
      </w:pPr>
      <w:r>
        <w:drawing>
          <ns2:inline>
            <ns2:extent cx="1508760" cy="688372"/>
            <ns2:docPr id="1" name="Picture 1"/>
            <ns2:cNvGraphicFramePr>
              <ns3:graphicFrameLocks noChangeAspect="1"/>
            </ns2:cNvGraphicFramePr>
            <ns3:graphic>
              <ns3:graphicData uri="http://schemas.openxmlformats.org/drawingml/2006/picture">
                <ns4:pic>
                  <ns4:nvPicPr>
                    <ns4:cNvPr id="0" name="image.png"/>
                    <ns4:cNvPicPr/>
                  </ns4:nvPicPr>
                  <ns4:blipFill>
                    <ns3:blip r:embed="rId9"/>
                    <ns3:stretch>
                      <ns3:fillRect/>
                    </ns3:stretch>
                  </ns4:blipFill>
                  <ns4:spPr>
                    <ns3:xfrm>
                      <ns3:off x="0" y="0"/>
                      <ns3:ext cx="1508760" cy="688372"/>
                    </ns3:xfrm>
                    <ns3:prstGeom prst="rect"/>
                  </ns4:spPr>
                </ns4:pic>
              </ns3:graphicData>
            </ns3:graphic>
          </ns2:inline>
        </w:drawing>
      </w:r>
    </w:p>
    <w:p/>
    <w:p/>
    <w:p/>
    <w:p/>
    <w:p/>
    <w:p>
      <w:pPr>
        <w:ind w:firstLine="0"/>
        <w:jc w:val="center"/>
      </w:pPr>
      <w:r>
        <w:rPr>
          <w:rFonts w:ascii="微软雅黑" w:hAnsi="微软雅黑" w:eastAsia="微软雅黑"/>
          <w:b/>
          <w:color w:val="123B56"/>
          <w:sz w:val="52"/>
        </w:rPr>
        <w:t>上饶银行支付系统业务中断故障处理报告</w:t>
      </w:r>
    </w:p>
    <w:p>
      <w:pPr>
        <w:ind w:firstLine="0"/>
        <w:jc w:val="center"/>
      </w:pPr>
      <w:r>
        <w:rPr>
          <w:rFonts w:ascii="微软雅黑" w:hAnsi="微软雅黑" w:eastAsia="微软雅黑"/>
          <w:color w:val="19A5BE"/>
          <w:sz w:val="28"/>
        </w:rPr>
        <w:t>2016年3月2日 | 故障处理、原因分析与后续建议</w:t>
      </w:r>
    </w:p>
    <w:p/>
    <w:p/>
    <w:p/>
    <w:p/>
    <w:p/>
    <w:p/>
    <w:p/>
    <w:tbl>
      <w:tblPr>
        <w:tblW w:type="auto" w:w="0"/>
        <w:jc w:val="center"/>
        <w:tblLayout w:type="fixed"/>
        <w:tblLook w:firstColumn="1" w:firstRow="1" w:lastColumn="0" w:lastRow="0" w:noHBand="0" w:noVBand="1" w:val="04A0"/>
      </w:tblPr>
      <w:tblGrid>
        <w:gridCol w:w="4592"/>
        <w:gridCol w:w="4592"/>
      </w:tblGrid>
      <w:tr>
        <w:tc>
          <w:tcPr>
            <w:tcW w:type="dxa" w:w="201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服务单位</w:t>
            </w:r>
          </w:p>
        </w:tc>
        <w:tc>
          <w:tcPr>
            <w:tcW w:type="dxa" w:w="662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北京银信长远科技股份有限公司</w:t>
            </w:r>
          </w:p>
        </w:tc>
      </w:tr>
      <w:tr>
        <w:tc>
          <w:tcPr>
            <w:tcW w:type="dxa" w:w="201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服务对象</w:t>
            </w:r>
          </w:p>
        </w:tc>
        <w:tc>
          <w:tcPr>
            <w:tcW w:type="dxa" w:w="662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上饶银行股份有限公司</w:t>
            </w:r>
          </w:p>
        </w:tc>
      </w:tr>
      <w:tr>
        <w:tc>
          <w:tcPr>
            <w:tcW w:type="dxa" w:w="201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报告日期</w:t>
            </w:r>
          </w:p>
        </w:tc>
        <w:tc>
          <w:tcPr>
            <w:tcW w:type="dxa" w:w="662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2026年05月03日</w:t>
            </w:r>
          </w:p>
        </w:tc>
      </w:tr>
      <w:tr>
        <w:tc>
          <w:tcPr>
            <w:tcW w:type="dxa" w:w="201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报告性质</w:t>
            </w:r>
          </w:p>
        </w:tc>
        <w:tc>
          <w:tcPr>
            <w:tcW w:type="dxa" w:w="662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对外故障处理报告</w:t>
            </w:r>
          </w:p>
        </w:tc>
      </w:tr>
    </w:tbl>
    <w:p>
      <w:r>
        <w:br w:type="page"/>
      </w:r>
    </w:p>
    <w:p>
      <w:pPr>
        <w:pStyle w:val="3"/>
        <w:ind w:firstLine="0"/>
        <w:jc w:val="left"/>
      </w:pPr>
      <w:r>
        <w:rPr>
          <w:rFonts w:ascii="微软雅黑" w:hAnsi="微软雅黑" w:eastAsia="微软雅黑"/>
          <w:b/>
          <w:color w:val="123B56"/>
          <w:sz w:val="36"/>
        </w:rPr>
        <w:t>目录</w:t>
      </w:r>
    </w:p>
    <w:p>
      <w:pPr>
        <w:tabs>
          <w:tab w:pos="8784" w:val="left"/>
        </w:tabs>
        <w:spacing w:after="40"/>
        <w:ind w:firstLine="0" w:left="0"/>
      </w:pPr>
      <w:r>
        <w:rPr>
          <w:rFonts w:ascii="微软雅黑" w:hAnsi="微软雅黑" w:eastAsia="微软雅黑"/>
          <w:color w:val="1F2937"/>
          <w:sz w:val="22"/>
        </w:rPr>
        <w:t>1. 报告摘要</w:t>
        <w:tab/>
        <w:t>1</w:t>
      </w:r>
    </w:p>
    <w:p>
      <w:pPr>
        <w:tabs>
          <w:tab w:pos="8784" w:val="left"/>
        </w:tabs>
        <w:spacing w:after="40"/>
        <w:ind w:firstLine="0" w:left="360"/>
      </w:pPr>
      <w:r>
        <w:rPr>
          <w:rFonts w:ascii="微软雅黑" w:hAnsi="微软雅黑" w:eastAsia="微软雅黑"/>
          <w:color w:val="1F2937"/>
          <w:sz w:val="22"/>
        </w:rPr>
        <w:t>1.1 结论与当前状态</w:t>
        <w:tab/>
        <w:t>1</w:t>
      </w:r>
    </w:p>
    <w:p>
      <w:pPr>
        <w:tabs>
          <w:tab w:pos="8784" w:val="left"/>
        </w:tabs>
        <w:spacing w:after="40"/>
        <w:ind w:firstLine="0" w:left="720"/>
      </w:pPr>
      <w:r>
        <w:rPr>
          <w:rFonts w:ascii="微软雅黑" w:hAnsi="微软雅黑" w:eastAsia="微软雅黑"/>
          <w:color w:val="1F2937"/>
          <w:sz w:val="22"/>
        </w:rPr>
        <w:t>1.1.1 报告口径说明</w:t>
        <w:tab/>
        <w:t>2</w:t>
      </w:r>
    </w:p>
    <w:p>
      <w:pPr>
        <w:tabs>
          <w:tab w:pos="8784" w:val="left"/>
        </w:tabs>
        <w:spacing w:after="40"/>
        <w:ind w:firstLine="0" w:left="0"/>
      </w:pPr>
      <w:r>
        <w:rPr>
          <w:rFonts w:ascii="微软雅黑" w:hAnsi="微软雅黑" w:eastAsia="微软雅黑"/>
          <w:color w:val="1F2937"/>
          <w:sz w:val="22"/>
        </w:rPr>
        <w:t>2. 基本信息</w:t>
        <w:tab/>
        <w:t>3</w:t>
      </w:r>
    </w:p>
    <w:p>
      <w:pPr>
        <w:tabs>
          <w:tab w:pos="8784" w:val="left"/>
        </w:tabs>
        <w:spacing w:after="40"/>
        <w:ind w:firstLine="0" w:left="360"/>
      </w:pPr>
      <w:r>
        <w:rPr>
          <w:rFonts w:ascii="微软雅黑" w:hAnsi="微软雅黑" w:eastAsia="微软雅黑"/>
          <w:color w:val="1F2937"/>
          <w:sz w:val="22"/>
        </w:rPr>
        <w:t>2.1 事件基础信息</w:t>
        <w:tab/>
        <w:t>3</w:t>
      </w:r>
    </w:p>
    <w:p>
      <w:pPr>
        <w:tabs>
          <w:tab w:pos="8784" w:val="left"/>
        </w:tabs>
        <w:spacing w:after="40"/>
        <w:ind w:firstLine="0" w:left="720"/>
      </w:pPr>
      <w:r>
        <w:rPr>
          <w:rFonts w:ascii="微软雅黑" w:hAnsi="微软雅黑" w:eastAsia="微软雅黑"/>
          <w:color w:val="1F2937"/>
          <w:sz w:val="22"/>
        </w:rPr>
        <w:t>2.1.1 资料来源与证据等级</w:t>
        <w:tab/>
        <w:t>4</w:t>
      </w:r>
    </w:p>
    <w:p>
      <w:pPr>
        <w:tabs>
          <w:tab w:pos="8784" w:val="left"/>
        </w:tabs>
        <w:spacing w:after="40"/>
        <w:ind w:firstLine="0" w:left="0"/>
      </w:pPr>
      <w:r>
        <w:rPr>
          <w:rFonts w:ascii="微软雅黑" w:hAnsi="微软雅黑" w:eastAsia="微软雅黑"/>
          <w:color w:val="1F2937"/>
          <w:sz w:val="22"/>
        </w:rPr>
        <w:t>3. 故障现象与影响</w:t>
        <w:tab/>
        <w:t>5</w:t>
      </w:r>
    </w:p>
    <w:p>
      <w:pPr>
        <w:tabs>
          <w:tab w:pos="8784" w:val="left"/>
        </w:tabs>
        <w:spacing w:after="40"/>
        <w:ind w:firstLine="0" w:left="360"/>
      </w:pPr>
      <w:r>
        <w:rPr>
          <w:rFonts w:ascii="微软雅黑" w:hAnsi="微软雅黑" w:eastAsia="微软雅黑"/>
          <w:color w:val="1F2937"/>
          <w:sz w:val="22"/>
        </w:rPr>
        <w:t>3.1 客户侧现象</w:t>
        <w:tab/>
        <w:t>5</w:t>
      </w:r>
    </w:p>
    <w:p>
      <w:pPr>
        <w:tabs>
          <w:tab w:pos="8784" w:val="left"/>
        </w:tabs>
        <w:spacing w:after="40"/>
        <w:ind w:firstLine="0" w:left="720"/>
      </w:pPr>
      <w:r>
        <w:rPr>
          <w:rFonts w:ascii="微软雅黑" w:hAnsi="微软雅黑" w:eastAsia="微软雅黑"/>
          <w:color w:val="1F2937"/>
          <w:sz w:val="22"/>
        </w:rPr>
        <w:t>3.1.1 受影响业务范围</w:t>
        <w:tab/>
        <w:t>6</w:t>
      </w:r>
    </w:p>
    <w:p>
      <w:pPr>
        <w:tabs>
          <w:tab w:pos="8784" w:val="left"/>
        </w:tabs>
        <w:spacing w:after="40"/>
        <w:ind w:firstLine="0" w:left="0"/>
      </w:pPr>
      <w:r>
        <w:rPr>
          <w:rFonts w:ascii="微软雅黑" w:hAnsi="微软雅黑" w:eastAsia="微软雅黑"/>
          <w:color w:val="1F2937"/>
          <w:sz w:val="22"/>
        </w:rPr>
        <w:t>4. 处理时间线</w:t>
        <w:tab/>
        <w:t>7</w:t>
      </w:r>
    </w:p>
    <w:p>
      <w:pPr>
        <w:tabs>
          <w:tab w:pos="8784" w:val="left"/>
        </w:tabs>
        <w:spacing w:after="40"/>
        <w:ind w:firstLine="0" w:left="360"/>
      </w:pPr>
      <w:r>
        <w:rPr>
          <w:rFonts w:ascii="微软雅黑" w:hAnsi="微软雅黑" w:eastAsia="微软雅黑"/>
          <w:color w:val="1F2937"/>
          <w:sz w:val="22"/>
        </w:rPr>
        <w:t>4.1 关键时间线</w:t>
        <w:tab/>
        <w:t>7</w:t>
      </w:r>
    </w:p>
    <w:p>
      <w:pPr>
        <w:tabs>
          <w:tab w:pos="8784" w:val="left"/>
        </w:tabs>
        <w:spacing w:after="40"/>
        <w:ind w:firstLine="0" w:left="720"/>
      </w:pPr>
      <w:r>
        <w:rPr>
          <w:rFonts w:ascii="微软雅黑" w:hAnsi="微软雅黑" w:eastAsia="微软雅黑"/>
          <w:color w:val="1F2937"/>
          <w:sz w:val="22"/>
        </w:rPr>
        <w:t>4.1.1 恢复时间口径</w:t>
        <w:tab/>
        <w:t>9</w:t>
      </w:r>
    </w:p>
    <w:p>
      <w:pPr>
        <w:tabs>
          <w:tab w:pos="8784" w:val="left"/>
        </w:tabs>
        <w:spacing w:after="40"/>
        <w:ind w:firstLine="0" w:left="0"/>
      </w:pPr>
      <w:r>
        <w:rPr>
          <w:rFonts w:ascii="微软雅黑" w:hAnsi="微软雅黑" w:eastAsia="微软雅黑"/>
          <w:color w:val="1F2937"/>
          <w:sz w:val="22"/>
        </w:rPr>
        <w:t>5. 排查与处理过程</w:t>
        <w:tab/>
        <w:t>10</w:t>
      </w:r>
    </w:p>
    <w:p>
      <w:pPr>
        <w:tabs>
          <w:tab w:pos="8784" w:val="left"/>
        </w:tabs>
        <w:spacing w:after="40"/>
        <w:ind w:firstLine="0" w:left="360"/>
      </w:pPr>
      <w:r>
        <w:rPr>
          <w:rFonts w:ascii="微软雅黑" w:hAnsi="微软雅黑" w:eastAsia="微软雅黑"/>
          <w:color w:val="1F2937"/>
          <w:sz w:val="22"/>
        </w:rPr>
        <w:t>5.1 排查处置阶段</w:t>
        <w:tab/>
        <w:t>10</w:t>
      </w:r>
    </w:p>
    <w:p>
      <w:pPr>
        <w:tabs>
          <w:tab w:pos="8784" w:val="left"/>
        </w:tabs>
        <w:spacing w:after="40"/>
        <w:ind w:firstLine="0" w:left="720"/>
      </w:pPr>
      <w:r>
        <w:rPr>
          <w:rFonts w:ascii="微软雅黑" w:hAnsi="微软雅黑" w:eastAsia="微软雅黑"/>
          <w:color w:val="1F2937"/>
          <w:sz w:val="22"/>
        </w:rPr>
        <w:t>5.1.1 关键操作与结果</w:t>
        <w:tab/>
        <w:t>11</w:t>
      </w:r>
    </w:p>
    <w:p>
      <w:pPr>
        <w:tabs>
          <w:tab w:pos="8784" w:val="left"/>
        </w:tabs>
        <w:spacing w:after="40"/>
        <w:ind w:firstLine="0" w:left="0"/>
      </w:pPr>
      <w:r>
        <w:rPr>
          <w:rFonts w:ascii="微软雅黑" w:hAnsi="微软雅黑" w:eastAsia="微软雅黑"/>
          <w:color w:val="1F2937"/>
          <w:sz w:val="22"/>
        </w:rPr>
        <w:t>6. 原因分析</w:t>
        <w:tab/>
        <w:t>12</w:t>
      </w:r>
    </w:p>
    <w:p>
      <w:pPr>
        <w:tabs>
          <w:tab w:pos="8784" w:val="left"/>
        </w:tabs>
        <w:spacing w:after="40"/>
        <w:ind w:firstLine="0" w:left="360"/>
      </w:pPr>
      <w:r>
        <w:rPr>
          <w:rFonts w:ascii="微软雅黑" w:hAnsi="微软雅黑" w:eastAsia="微软雅黑"/>
          <w:color w:val="1F2937"/>
          <w:sz w:val="22"/>
        </w:rPr>
        <w:t>6.1 技术原因</w:t>
        <w:tab/>
        <w:t>12</w:t>
      </w:r>
    </w:p>
    <w:p>
      <w:pPr>
        <w:tabs>
          <w:tab w:pos="8784" w:val="left"/>
        </w:tabs>
        <w:spacing w:after="40"/>
        <w:ind w:firstLine="0" w:left="720"/>
      </w:pPr>
      <w:r>
        <w:rPr>
          <w:rFonts w:ascii="微软雅黑" w:hAnsi="微软雅黑" w:eastAsia="微软雅黑"/>
          <w:color w:val="1F2937"/>
          <w:sz w:val="22"/>
        </w:rPr>
        <w:t>6.1.1 直接原因、触发条件与贡献因素</w:t>
        <w:tab/>
        <w:t>13</w:t>
      </w:r>
    </w:p>
    <w:p>
      <w:pPr>
        <w:tabs>
          <w:tab w:pos="8784" w:val="left"/>
        </w:tabs>
        <w:spacing w:after="40"/>
        <w:ind w:firstLine="0" w:left="360"/>
      </w:pPr>
      <w:r>
        <w:rPr>
          <w:rFonts w:ascii="微软雅黑" w:hAnsi="微软雅黑" w:eastAsia="微软雅黑"/>
          <w:color w:val="1F2937"/>
          <w:sz w:val="22"/>
        </w:rPr>
        <w:t>6.2 流程与管理因素</w:t>
        <w:tab/>
        <w:t>14</w:t>
      </w:r>
    </w:p>
    <w:p>
      <w:pPr>
        <w:tabs>
          <w:tab w:pos="8784" w:val="left"/>
        </w:tabs>
        <w:spacing w:after="40"/>
        <w:ind w:firstLine="0" w:left="720"/>
      </w:pPr>
      <w:r>
        <w:rPr>
          <w:rFonts w:ascii="微软雅黑" w:hAnsi="微软雅黑" w:eastAsia="微软雅黑"/>
          <w:color w:val="1F2937"/>
          <w:sz w:val="22"/>
        </w:rPr>
        <w:t>6.2.1 已排除或证据不足事项</w:t>
        <w:tab/>
        <w:t>15</w:t>
      </w:r>
    </w:p>
    <w:p>
      <w:pPr>
        <w:tabs>
          <w:tab w:pos="8784" w:val="left"/>
        </w:tabs>
        <w:spacing w:after="40"/>
        <w:ind w:firstLine="0" w:left="0"/>
      </w:pPr>
      <w:r>
        <w:rPr>
          <w:rFonts w:ascii="微软雅黑" w:hAnsi="微软雅黑" w:eastAsia="微软雅黑"/>
          <w:color w:val="1F2937"/>
          <w:sz w:val="22"/>
        </w:rPr>
        <w:t>7. 恢复验证与客户确认</w:t>
        <w:tab/>
        <w:t>16</w:t>
      </w:r>
    </w:p>
    <w:p>
      <w:pPr>
        <w:tabs>
          <w:tab w:pos="8784" w:val="left"/>
        </w:tabs>
        <w:spacing w:after="40"/>
        <w:ind w:firstLine="0" w:left="360"/>
      </w:pPr>
      <w:r>
        <w:rPr>
          <w:rFonts w:ascii="微软雅黑" w:hAnsi="微软雅黑" w:eastAsia="微软雅黑"/>
          <w:color w:val="1F2937"/>
          <w:sz w:val="22"/>
        </w:rPr>
        <w:t>7.1 验证结果</w:t>
        <w:tab/>
        <w:t>16</w:t>
      </w:r>
    </w:p>
    <w:p>
      <w:pPr>
        <w:tabs>
          <w:tab w:pos="8784" w:val="left"/>
        </w:tabs>
        <w:spacing w:after="40"/>
        <w:ind w:firstLine="0" w:left="720"/>
      </w:pPr>
      <w:r>
        <w:rPr>
          <w:rFonts w:ascii="微软雅黑" w:hAnsi="微软雅黑" w:eastAsia="微软雅黑"/>
          <w:color w:val="1F2937"/>
          <w:sz w:val="22"/>
        </w:rPr>
        <w:t>7.1.1 业务、资金与舆情确认</w:t>
        <w:tab/>
        <w:t>17</w:t>
      </w:r>
    </w:p>
    <w:p>
      <w:pPr>
        <w:tabs>
          <w:tab w:pos="8784" w:val="left"/>
        </w:tabs>
        <w:spacing w:after="40"/>
        <w:ind w:firstLine="0" w:left="0"/>
      </w:pPr>
      <w:r>
        <w:rPr>
          <w:rFonts w:ascii="微软雅黑" w:hAnsi="微软雅黑" w:eastAsia="微软雅黑"/>
          <w:color w:val="1F2937"/>
          <w:sz w:val="22"/>
        </w:rPr>
        <w:t>8. 后续建议方案</w:t>
        <w:tab/>
        <w:t>18</w:t>
      </w:r>
    </w:p>
    <w:p>
      <w:pPr>
        <w:tabs>
          <w:tab w:pos="8784" w:val="left"/>
        </w:tabs>
        <w:spacing w:after="40"/>
        <w:ind w:firstLine="0" w:left="360"/>
      </w:pPr>
      <w:r>
        <w:rPr>
          <w:rFonts w:ascii="微软雅黑" w:hAnsi="微软雅黑" w:eastAsia="微软雅黑"/>
          <w:color w:val="1F2937"/>
          <w:sz w:val="22"/>
        </w:rPr>
        <w:t>8.1 整改建议</w:t>
        <w:tab/>
        <w:t>18</w:t>
      </w:r>
    </w:p>
    <w:p>
      <w:pPr>
        <w:tabs>
          <w:tab w:pos="8784" w:val="left"/>
        </w:tabs>
        <w:spacing w:after="40"/>
        <w:ind w:firstLine="0" w:left="720"/>
      </w:pPr>
      <w:r>
        <w:rPr>
          <w:rFonts w:ascii="微软雅黑" w:hAnsi="微软雅黑" w:eastAsia="微软雅黑"/>
          <w:color w:val="1F2937"/>
          <w:sz w:val="22"/>
        </w:rPr>
        <w:t>8.1.1 优先级与实施窗口</w:t>
        <w:tab/>
        <w:t>19</w:t>
      </w:r>
    </w:p>
    <w:p>
      <w:pPr>
        <w:tabs>
          <w:tab w:pos="8784" w:val="left"/>
        </w:tabs>
        <w:spacing w:after="40"/>
        <w:ind w:firstLine="0" w:left="0"/>
      </w:pPr>
      <w:r>
        <w:rPr>
          <w:rFonts w:ascii="微软雅黑" w:hAnsi="微软雅黑" w:eastAsia="微软雅黑"/>
          <w:color w:val="1F2937"/>
          <w:sz w:val="22"/>
        </w:rPr>
        <w:t>9. 附录：证据索引与补充材料</w:t>
        <w:tab/>
        <w:t>20</w:t>
      </w:r>
    </w:p>
    <w:p>
      <w:pPr>
        <w:tabs>
          <w:tab w:pos="8784" w:val="left"/>
        </w:tabs>
        <w:spacing w:after="40"/>
        <w:ind w:firstLine="0" w:left="360"/>
      </w:pPr>
      <w:r>
        <w:rPr>
          <w:rFonts w:ascii="微软雅黑" w:hAnsi="微软雅黑" w:eastAsia="微软雅黑"/>
          <w:color w:val="1F2937"/>
          <w:sz w:val="22"/>
        </w:rPr>
        <w:t>9.1 证据索引</w:t>
        <w:tab/>
        <w:t>20</w:t>
      </w:r>
    </w:p>
    <w:p>
      <w:pPr>
        <w:tabs>
          <w:tab w:pos="8784" w:val="left"/>
        </w:tabs>
        <w:spacing w:after="40"/>
        <w:ind w:firstLine="0" w:left="720"/>
      </w:pPr>
      <w:r>
        <w:rPr>
          <w:rFonts w:ascii="微软雅黑" w:hAnsi="微软雅黑" w:eastAsia="微软雅黑"/>
          <w:color w:val="1F2937"/>
          <w:sz w:val="22"/>
        </w:rPr>
        <w:t>9.1.1 源文件清单</w:t>
        <w:tab/>
        <w:t>21</w:t>
      </w:r>
    </w:p>
    <w:p>
      <w:pPr>
        <w:tabs>
          <w:tab w:pos="8784" w:val="left"/>
        </w:tabs>
        <w:spacing w:after="40"/>
        <w:ind w:firstLine="0" w:left="360"/>
      </w:pPr>
      <w:r>
        <w:rPr>
          <w:rFonts w:ascii="微软雅黑" w:hAnsi="微软雅黑" w:eastAsia="微软雅黑"/>
          <w:color w:val="1F2937"/>
          <w:sz w:val="22"/>
        </w:rPr>
        <w:t>9.2 口径差异说明</w:t>
        <w:tab/>
        <w:t>22</w:t>
      </w:r>
    </w:p>
    <w:p>
      <w:pPr>
        <w:tabs>
          <w:tab w:pos="8784" w:val="left"/>
        </w:tabs>
        <w:spacing w:after="40"/>
        <w:ind w:firstLine="0" w:left="720"/>
      </w:pPr>
      <w:r>
        <w:rPr>
          <w:rFonts w:ascii="微软雅黑" w:hAnsi="微软雅黑" w:eastAsia="微软雅黑"/>
          <w:color w:val="1F2937"/>
          <w:sz w:val="22"/>
        </w:rPr>
        <w:t>9.2.1 本报告采用口径</w:t>
        <w:tab/>
        <w:t>22</w:t>
      </w:r>
    </w:p>
    <w:p>
      <w:pPr>
        <w:sectPr>
          <w:headerReference w:type="default" r:id="rId5"/>
          <w:titlePg/>
          <w:pgSz w:w="11906" w:h="16838"/>
          <w:pgMar w:top="1361" w:right="1304" w:bottom="1247" w:left="1417" w:header="720" w:footer="720" w:gutter="0"/>
          <w:cols w:space="720" w:num="1"/>
          <w:docGrid w:linePitch="360" w:charSpace="0"/>
        </w:sectPr>
      </w:pPr>
    </w:p>
    <w:p>
      <w:pPr>
        <w:pStyle w:val="3"/>
        <w:keepNext/>
        <w:spacing w:before="280" w:after="120"/>
        <w:ind w:firstLine="0"/>
      </w:pPr>
      <w:r>
        <w:rPr>
          <w:rFonts w:ascii="微软雅黑" w:hAnsi="微软雅黑" w:eastAsia="微软雅黑"/>
          <w:b/>
          <w:color w:val="123B56"/>
          <w:sz w:val="36"/>
        </w:rPr>
        <w:t>1. 报告摘要</w:t>
      </w:r>
    </w:p>
    <w:p>
      <w:pPr>
        <w:pStyle w:val="4"/>
        <w:keepNext/>
        <w:spacing w:before="160" w:after="120"/>
        <w:ind w:firstLine="0"/>
      </w:pPr>
      <w:r>
        <w:rPr>
          <w:rFonts w:ascii="微软雅黑" w:hAnsi="微软雅黑" w:eastAsia="微软雅黑"/>
          <w:b/>
          <w:color w:val="1F2937"/>
          <w:sz w:val="32"/>
        </w:rPr>
        <w:t>1.1 结论与当前状态</w:t>
      </w:r>
    </w:p>
    <w:p>
      <w:pPr>
        <w:spacing w:line="300" w:lineRule="auto" w:after="120"/>
        <w:ind w:firstLine="480"/>
      </w:pPr>
      <w:r>
        <w:rPr>
          <w:rFonts w:ascii="微软雅黑" w:hAnsi="微软雅黑" w:eastAsia="微软雅黑"/>
          <w:color w:val="1F2937"/>
          <w:sz w:val="24"/>
        </w:rPr>
        <w:t>结合现有监管报送材料、服务商故障处理报告、日志分析报告、变更申请表以及 SVC 原始 auditlog，本次故障的主链路可以明确还原：在上饶银行 IT 基础架构资源整合项目中，生产主存储向灾备存储进行 SVC 磁盘镜像同步；批量 vdisk copy 占用了大量 SVC IO 资源，引发支付链路存储读写性能下降；随后在同步进程未能通过标准删除操作正常终止的情况下，现场尝试去除镜像存储 mapping，导致相关 vdisk 脱机，支付系统业务中断。</w:t>
      </w:r>
    </w:p>
    <w:p>
      <w:pPr>
        <w:spacing w:line="300" w:lineRule="auto" w:after="120"/>
        <w:ind w:firstLine="480"/>
      </w:pPr>
      <w:r>
        <w:rPr>
          <w:rFonts w:ascii="微软雅黑" w:hAnsi="微软雅黑" w:eastAsia="微软雅黑"/>
          <w:color w:val="1F2937"/>
          <w:sz w:val="24"/>
        </w:rPr>
        <w:t>故障已经恢复。正式报送口径记录 2016年3月2日13:30 至 15:20 支付系统完全中断 1小时50分；15:20 后支付系统可访问并经验证受理跨行汇款业务。服务商处理报告同时记录了更早的性能劣化、更多存储承载业务系统影响，以及 16:30/18:10 的技术恢复里程碑。本报告将业务侧正式口径与技术侧处置口径分别列示。</w:t>
      </w:r>
    </w:p>
    <w:tbl>
      <w:tblPr>
        <w:tblStyle w:val="33"/>
        <w:tblW w:type="auto" w:w="0"/>
        <w:jc w:val="center"/>
        <w:tblLayout w:type="fixed"/>
        <w:tblLook w:firstColumn="1" w:firstRow="1" w:lastColumn="0" w:lastRow="0" w:noHBand="0" w:noVBand="1" w:val="04A0"/>
      </w:tblPr>
      <w:tblGrid>
        <w:gridCol w:w="4592"/>
        <w:gridCol w:w="4592"/>
      </w:tblGrid>
      <w:tr>
        <w:trPr>
          <w:tblHeader w:val="true"/>
        </w:trPr>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项目</w:t>
            </w:r>
          </w:p>
        </w:tc>
        <w:tc>
          <w:tcPr>
            <w:tcW w:type="dxa" w:w="806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内容</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客户名称</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上饶银行股份有限公司</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事件主题</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支付系统及相关存储卷在 SVC 磁盘镜像同步期间出现性能劣化、部分卷脱机及业务中断</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发生地点</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江西省上饶市紫阳大道佳利商城上饶银行数据中心/信息中心机房</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客户侧异常开始</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2016年3月2日12:26-12:30 左右出现 MQ 队列写入缓慢、掌易行汇款超时/卡顿等现象</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正式中断口径</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2016年3月2日13:30 至 15:20，支付系统完全中断 1小时50分</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技术恢复口径</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15:20 支付系统可访问并受理跨行汇款；16:30 多数业务系统恢复；18:10 服务商报告记录所有业务系统恢复</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影响范围</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正式报送材料确认人行支付系统业务中断，商圈和 OA 办公系统不可用；服务商材料另记录手机银行、同城清算、公务卡、支付宝等相关存储承载系统受性能影响</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当前状态</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故障已恢复；镜像同步进程已停止，主存储访问恢复，业务经验证后恢复对外服务</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结论强度</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证据链较完整。SVC 审计日志、日志分析报告、监管报送材料和处理报告可相互印证主要技术过程</w:t>
            </w:r>
          </w:p>
        </w:tc>
      </w:tr>
    </w:tbl>
    <w:p/>
    <w:p>
      <w:pPr>
        <w:pStyle w:val="5"/>
        <w:keepNext/>
        <w:spacing w:before="160" w:after="120"/>
        <w:ind w:firstLine="0"/>
      </w:pPr>
      <w:r>
        <w:rPr>
          <w:rFonts w:ascii="微软雅黑" w:hAnsi="微软雅黑" w:eastAsia="微软雅黑"/>
          <w:b/>
          <w:color w:val="1F2937"/>
          <w:sz w:val="30"/>
        </w:rPr>
        <w:t>1.1.1 报告口径说明</w:t>
      </w:r>
    </w:p>
    <w:p>
      <w:pPr>
        <w:spacing w:line="300" w:lineRule="auto" w:after="120"/>
        <w:ind w:firstLine="480"/>
      </w:pPr>
      <w:r>
        <w:rPr>
          <w:rFonts w:ascii="微软雅黑" w:hAnsi="微软雅黑" w:eastAsia="微软雅黑"/>
          <w:color w:val="1F2937"/>
          <w:sz w:val="24"/>
        </w:rPr>
        <w:t>本报告采用“正式监管报送材料 + 日志分析报告 + SVC auditlog”作为主证据链。对于服务商处理报告中“12:30-16:30影响约4小时”“18:10所有业务系统恢复”的记录，作为技术处置和扩大影响范围参考；对于另一份处理报告中“存储2控制器不稳定”的表述，由于与日志分析报告及 auditlog 主链路不一致，列为差异口径，不作为本报告根因主结论。</w:t>
      </w:r>
    </w:p>
    <w:p>
      <w:pPr>
        <w:pStyle w:val="3"/>
        <w:keepNext/>
        <w:spacing w:before="280" w:after="120"/>
        <w:ind w:firstLine="0"/>
      </w:pPr>
      <w:r>
        <w:rPr>
          <w:rFonts w:ascii="微软雅黑" w:hAnsi="微软雅黑" w:eastAsia="微软雅黑"/>
          <w:b/>
          <w:color w:val="123B56"/>
          <w:sz w:val="36"/>
        </w:rPr>
        <w:t>2. 基本信息</w:t>
      </w:r>
    </w:p>
    <w:p>
      <w:pPr>
        <w:pStyle w:val="4"/>
        <w:keepNext/>
        <w:spacing w:before="160" w:after="120"/>
        <w:ind w:firstLine="0"/>
      </w:pPr>
      <w:r>
        <w:rPr>
          <w:rFonts w:ascii="微软雅黑" w:hAnsi="微软雅黑" w:eastAsia="微软雅黑"/>
          <w:b/>
          <w:color w:val="1F2937"/>
          <w:sz w:val="32"/>
        </w:rPr>
        <w:t>2.1 事件基础信息</w:t>
      </w:r>
    </w:p>
    <w:tbl>
      <w:tblPr>
        <w:tblStyle w:val="33"/>
        <w:tblW w:type="auto" w:w="0"/>
        <w:jc w:val="center"/>
        <w:tblLayout w:type="fixed"/>
        <w:tblLook w:firstColumn="1" w:firstRow="1" w:lastColumn="0" w:lastRow="0" w:noHBand="0" w:noVBand="1" w:val="04A0"/>
      </w:tblPr>
      <w:tblGrid>
        <w:gridCol w:w="4592"/>
        <w:gridCol w:w="4592"/>
      </w:tblGrid>
      <w:tr>
        <w:trPr>
          <w:tblHeader w:val="true"/>
        </w:trPr>
        <w:tc>
          <w:tcPr>
            <w:tcW w:type="dxa" w:w="244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字段</w:t>
            </w:r>
          </w:p>
        </w:tc>
        <w:tc>
          <w:tcPr>
            <w:tcW w:type="dxa" w:w="784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内容</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事件名称</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上饶银行支付系统业务中断及 SVC 存储镜像同步故障</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发生日期</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项目背景</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 IT 基础架构资源整合项目，主存储向灾备存储进行镜像同步以提高可用性和灾备能力</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涉及平台</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IBM SVC、V7000 存储、支付前置机/支付数据库及相关业务系统</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服务商/外包单位</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银信科技/北京银信长远科技股份有限公司相关现场工程师参与处置</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厂商支持</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IBM 实验室、IBM800、IBM 二线及德国三线专家提供远程支持</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报告适用范围</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用于客户侧故障处理复盘、外部沟通、整改跟踪和后续变更治理参考</w:t>
            </w:r>
          </w:p>
        </w:tc>
      </w:tr>
    </w:tbl>
    <w:p/>
    <w:p>
      <w:pPr>
        <w:pStyle w:val="5"/>
        <w:keepNext/>
        <w:spacing w:before="160" w:after="120"/>
        <w:ind w:firstLine="0"/>
      </w:pPr>
      <w:r>
        <w:rPr>
          <w:rFonts w:ascii="微软雅黑" w:hAnsi="微软雅黑" w:eastAsia="微软雅黑"/>
          <w:b/>
          <w:color w:val="1F2937"/>
          <w:sz w:val="30"/>
        </w:rPr>
        <w:t>2.1.1 资料来源与证据等级</w:t>
      </w:r>
    </w:p>
    <w:p>
      <w:pPr>
        <w:spacing w:line="300" w:lineRule="auto" w:after="120"/>
        <w:ind w:firstLine="480"/>
      </w:pPr>
      <w:r>
        <w:rPr>
          <w:rFonts w:ascii="微软雅黑" w:hAnsi="微软雅黑" w:eastAsia="微软雅黑"/>
          <w:color w:val="1F2937"/>
          <w:sz w:val="24"/>
        </w:rPr>
        <w:t>本报告已读取 fault_context 目录下所有文件，包括 DOC/DOCX 报告、PPTX 截图说明、变更申请表和 snap.rar 诊断包。证据优先级按原始日志、正式报送材料、日志分析报告、服务商处理报告、草稿/版本材料依次采用。</w:t>
      </w:r>
    </w:p>
    <w:tbl>
      <w:tblPr>
        <w:tblStyle w:val="33"/>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93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证据ID</w:t>
            </w:r>
          </w:p>
        </w:tc>
        <w:tc>
          <w:tcPr>
            <w:tcW w:type="dxa" w:w="316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材料</w:t>
            </w:r>
          </w:p>
        </w:tc>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类别</w:t>
            </w:r>
          </w:p>
        </w:tc>
        <w:tc>
          <w:tcPr>
            <w:tcW w:type="dxa" w:w="439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在本报告中的用途</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E01</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12:30发现异常、13:35卷脱机、16:30大部分业务恢复、18:10全部恢复；记录完整处置过程和整改措施。</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E02</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上饶银行存储中断故障处理报告1.docx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服务商处理报告变体</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采用“存储2控制器不稳定”表述，与日志分析和监管报告主口径不完全一致，作为差异材料引用。</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E03</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日志分析报告</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12:22 至 15:20 事件经过、SVC 命令清单和审计日志截图说明。</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E04</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（16）关于上饶银行支付系统业务中断事件的报告-银监局.doc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正式监管报送材料</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采用上银文〔2016〕16号口径，确认支付系统 13:30-15:20 中断 1小时50分、影响范围、原因和整改措施。</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E05</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关于上饶银行支付系统业务中断事件的报告20160304.doc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监管报告过程版本</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包含 2016-03-04 版本文字，部分措辞仍有占位内容，作为版本比对材料。</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E06</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关于上饶银行支付系统业务中断事件的报告-银监局*.doc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监管报告草稿/修订件</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与正式文号材料大体一致，时间线和整改措施用于交叉核验。</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E07</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系统变更申请表_SVC磁盘镜像.docx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变更申请</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2016-03-01 申请、2016-03-02 变更日期、变更理由、影响系统和测试评估判断。</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E08</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snap.rar / SVC auditlog</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原始诊断包</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展开后核到 2月29日测试、3月2日批量 addvdiskcopy、chvdisk、rmvdiskcopy、recovervdisk、detectmdisk 等操作。</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E09</w:t>
            </w:r>
          </w:p>
        </w:tc>
        <w:tc>
          <w:tcPr>
            <w:tcW w:type="dxa" w:w="316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截图解释.pptx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日志截图说明</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说明创建磁盘镜像、修改同步速率、删除镜像配对关系、修复脱机卷、重新发现 mapping、迁移测试等截图主题。</w:t>
            </w:r>
          </w:p>
        </w:tc>
      </w:tr>
    </w:tbl>
    <w:p/>
    <w:p>
      <w:pPr>
        <w:pStyle w:val="3"/>
        <w:keepNext/>
        <w:spacing w:before="280" w:after="120"/>
        <w:ind w:firstLine="0"/>
      </w:pPr>
      <w:r>
        <w:rPr>
          <w:rFonts w:ascii="微软雅黑" w:hAnsi="微软雅黑" w:eastAsia="微软雅黑"/>
          <w:b/>
          <w:color w:val="123B56"/>
          <w:sz w:val="36"/>
        </w:rPr>
        <w:t>3. 故障现象与影响</w:t>
      </w:r>
    </w:p>
    <w:p>
      <w:pPr>
        <w:pStyle w:val="4"/>
        <w:keepNext/>
        <w:spacing w:before="160" w:after="120"/>
        <w:ind w:firstLine="0"/>
      </w:pPr>
      <w:r>
        <w:rPr>
          <w:rFonts w:ascii="微软雅黑" w:hAnsi="微软雅黑" w:eastAsia="微软雅黑"/>
          <w:b/>
          <w:color w:val="1F2937"/>
          <w:sz w:val="32"/>
        </w:rPr>
        <w:t>3.1 客户侧现象</w:t>
      </w:r>
    </w:p>
    <w:p>
      <w:pPr>
        <w:spacing w:line="300" w:lineRule="auto" w:after="120"/>
        <w:ind w:firstLine="480"/>
      </w:pPr>
      <w:r>
        <w:rPr>
          <w:rFonts w:ascii="微软雅黑" w:hAnsi="微软雅黑" w:eastAsia="微软雅黑"/>
          <w:color w:val="1F2937"/>
          <w:sz w:val="24"/>
        </w:rPr>
        <w:t>客户侧最早可感知现象出现在 2016年3月2日12:26-12:30 左右。正式报告记录人行前置机日志从 12:26 开始存在 MQ 接收队列写入缓慢、业务受理迟钝；12:30 内部反馈客户通过掌易行汇款出现超时、卡顿。服务商报告也记录手机银行系统性能严重下降，二代支付系统随后出现同类问题。</w:t>
      </w:r>
    </w:p>
    <w:p>
      <w:pPr>
        <w:spacing w:line="300" w:lineRule="auto" w:after="120"/>
        <w:ind w:firstLine="480"/>
      </w:pPr>
      <w:r>
        <w:rPr>
          <w:rFonts w:ascii="微软雅黑" w:hAnsi="微软雅黑" w:eastAsia="微软雅黑"/>
          <w:color w:val="1F2937"/>
          <w:sz w:val="24"/>
        </w:rPr>
        <w:t>在 13:30 左右去除镜像存储 mapping 后，SVC 主机上镜像相关卷进入脱机状态，加载在存储卷上的支付系统数据无法访问，支付业务由性能迟缓发展为完全中断。</w:t>
      </w:r>
    </w:p>
    <w:p>
      <w:pPr>
        <w:pStyle w:val="5"/>
        <w:keepNext/>
        <w:spacing w:before="160" w:after="120"/>
        <w:ind w:firstLine="0"/>
      </w:pPr>
      <w:r>
        <w:rPr>
          <w:rFonts w:ascii="微软雅黑" w:hAnsi="微软雅黑" w:eastAsia="微软雅黑"/>
          <w:b/>
          <w:color w:val="1F2937"/>
          <w:sz w:val="30"/>
        </w:rPr>
        <w:t>3.1.1 受影响业务范围</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影响类别</w:t>
            </w:r>
          </w:p>
        </w:tc>
        <w:tc>
          <w:tcPr>
            <w:tcW w:type="dxa" w:w="640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c>
          <w:tcPr>
            <w:tcW w:type="dxa" w:w="208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正式业务影响</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人行支付系统业务中断；商圈和 OA 办公系统无法使用。</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监管报送材料 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客户可感知现象</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掌易行跨行汇款超时、卡顿；客户汇款业务受影响。</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监管报送材料 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未受影响/已控制事项</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柜面业务正常；急需汇款客户通过现金取款至其他银行汇款等方式进行解释和替代处理。</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监管报送材料 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技术影响范围参考</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服务商报告列示手机银行、二代支付、同城清算、公务卡、支付宝、柜面、信贷等业务系统，表明相关存储承载系统存在更宽技术影响可能。</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服务商报告 E01</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资金与舆情</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3月2日晚与人民银行支付系统对账，头寸对平；截至3月8日8时未出现客户投诉和不利舆情传播。</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监管报送材料 E04</w:t>
            </w:r>
          </w:p>
        </w:tc>
      </w:tr>
    </w:tbl>
    <w:p/>
    <w:p>
      <w:pPr>
        <w:pStyle w:val="3"/>
        <w:keepNext/>
        <w:spacing w:before="280" w:after="120"/>
        <w:ind w:firstLine="0"/>
      </w:pPr>
      <w:r>
        <w:rPr>
          <w:rFonts w:ascii="微软雅黑" w:hAnsi="微软雅黑" w:eastAsia="微软雅黑"/>
          <w:b/>
          <w:color w:val="123B56"/>
          <w:sz w:val="36"/>
        </w:rPr>
        <w:t>4. 处理时间线</w:t>
      </w:r>
    </w:p>
    <w:p>
      <w:pPr>
        <w:pStyle w:val="4"/>
        <w:keepNext/>
        <w:spacing w:before="160" w:after="120"/>
        <w:ind w:firstLine="0"/>
      </w:pPr>
      <w:r>
        <w:rPr>
          <w:rFonts w:ascii="微软雅黑" w:hAnsi="微软雅黑" w:eastAsia="微软雅黑"/>
          <w:b/>
          <w:color w:val="1F2937"/>
          <w:sz w:val="32"/>
        </w:rPr>
        <w:t>4.1 关键时间线</w:t>
      </w:r>
    </w:p>
    <w:p>
      <w:pPr>
        <w:spacing w:line="300" w:lineRule="auto" w:after="120"/>
        <w:ind w:firstLine="480"/>
      </w:pPr>
      <w:r>
        <w:rPr>
          <w:rFonts w:ascii="微软雅黑" w:hAnsi="微软雅黑" w:eastAsia="微软雅黑"/>
          <w:color w:val="1F2937"/>
          <w:sz w:val="24"/>
        </w:rPr>
        <w:t>以下时间线合并正式报送材料、服务商处理报告、日志分析报告和 SVC auditlog。对客户沟通时建议优先使用正式业务影响口径，同时保留技术处置里程碑用于内部整改与服务复盘。</w:t>
      </w:r>
    </w:p>
    <w:tbl>
      <w:tblPr>
        <w:tblStyle w:val="33"/>
        <w:tblW w:type="auto" w:w="0"/>
        <w:jc w:val="center"/>
        <w:tblLayout w:type="fixed"/>
        <w:tblLook w:firstColumn="1" w:firstRow="1" w:lastColumn="0" w:lastRow="0" w:noHBand="0" w:noVBand="1" w:val="04A0"/>
      </w:tblPr>
      <w:tblGrid>
        <w:gridCol w:w="1837"/>
        <w:gridCol w:w="1837"/>
        <w:gridCol w:w="1837"/>
        <w:gridCol w:w="1837"/>
        <w:gridCol w:w="1837"/>
      </w:tblGrid>
      <w:tr>
        <w:trPr>
          <w:tblHeader w:val="true"/>
        </w:trPr>
        <w:tc>
          <w:tcPr>
            <w:tcW w:type="dxa" w:w="158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时间</w:t>
            </w:r>
          </w:p>
        </w:tc>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来源</w:t>
            </w:r>
          </w:p>
        </w:tc>
        <w:tc>
          <w:tcPr>
            <w:tcW w:type="dxa" w:w="367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事件/动作</w:t>
            </w:r>
          </w:p>
        </w:tc>
        <w:tc>
          <w:tcPr>
            <w:tcW w:type="dxa" w:w="266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结果</w:t>
            </w:r>
          </w:p>
        </w:tc>
        <w:tc>
          <w:tcPr>
            <w:tcW w:type="dxa" w:w="57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2016-02-29 16:18</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对测试卷执行 addvdiskcopy，进行磁盘镜像测试。</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测试完成但代表性不足，后续变更仍按日间执行。</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2016-02-29 16:29</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审计日志</w:t>
            </w:r>
          </w:p>
        </w:tc>
        <w:tc>
          <w:tcPr>
            <w:tcW w:type="dxa" w:w="367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对测试卷修改镜像同步速率为 90。</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形成“白天可执行、影响不大”的判断依据之一。</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2016-03-01</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变更申请表</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提交 SVC 存储磁盘镜像变更申请，计划 2016-03-02 执行。</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申请材料称已测试评估且不会对业务造成大影响。</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E07</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10:50-12:10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新增 V7000_3 相关存储池、mdisk，并连续创建大量 vdisk 镜像拷贝。</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镜像同步任务进入生产存储环境。</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12:22</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日志分析/监管报告</w:t>
            </w:r>
          </w:p>
        </w:tc>
        <w:tc>
          <w:tcPr>
            <w:tcW w:type="dxa" w:w="367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科技人员开始/继续进行存储镜像操作。</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进入客户业务时段内的生产变更窗口。</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12:26</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人行前置机日志出现 MQ 接收队列写入缓慢、业务受理迟钝。</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支付链路开始出现性能劣化迹象。</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12:30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监管报告/处理报告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客户通过掌易行汇款出现超时、卡顿；科技部收到反馈。</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客户可感知异常出现。</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E01/E04</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12:40-12:50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日志分析/监管报告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检查人行前置机、支付数据库和 Oracle 日志切换，发现存储读写显著变慢。</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初步判断为镜像同步占用 SVC IO 资源导致性能下降。</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12:49</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执行 chvdisk -syncrate 50 调整部分卷同步速率。</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尝试降低同步压力，但未能消除 IO 堵塞。</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13:10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日志分析/监管报告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尝试通过删除镜像拷贝关系终止同步进程。</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因系统资源严重不足，命令超时或未有效执行。</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13:30-13:34</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日志分析/监管报告/SVC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尝试去除镜像存储 mapping，并执行 rmvdiskcopy。</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镜像相关 vdisk 进入脱机状态，支付系统业务中断。</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E03/E04/E08</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14:00-14:40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处理报告/日志分析</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联系 IBM 实验室、IBM800 与二线专家；收集 support 信息；多次执行 recovervdisk。</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recovervdisk 未能使目标 vdisk 联机。</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E01/E03</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15:00-15:08</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按 IBM 专家建议重新发现/恢复存储 mapping，执行 detectmdisk，并对测试卷迁移验证。</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重新发现存储后卷自动联机，主存储数据访问恢复。</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15:20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监管报告/日志分析</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主存储访问恢复，经系统验证后对外提供服务。</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各渠道受理多笔跨行汇款业务，正式支付系统中断口径结束。</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16:10-16:30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 mapping 后继续逐一删除 SVC 镜像卷，系统管理员重启受影响业务系统。</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大部分业务系统恢复正常对外服务。</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17:00-18:10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发现数据整合数据库主机无法访问，两台数据库主机自动关闭；重新启动数据库主机。</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服务商报告记录所有业务系统于 18:10 恢复。</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晚间至03-08 08:00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进行人民银行支付系统对账，并持续观察投诉和舆情。</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头寸对平，未给客户资金带来损失；未出现客户投诉和不利舆情传播。</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bl>
    <w:p/>
    <w:p>
      <w:pPr>
        <w:pStyle w:val="5"/>
        <w:keepNext/>
        <w:spacing w:before="160" w:after="120"/>
        <w:ind w:firstLine="0"/>
      </w:pPr>
      <w:r>
        <w:rPr>
          <w:rFonts w:ascii="微软雅黑" w:hAnsi="微软雅黑" w:eastAsia="微软雅黑"/>
          <w:b/>
          <w:color w:val="1F2937"/>
          <w:sz w:val="30"/>
        </w:rPr>
        <w:t>4.1.1 恢复时间口径</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口径</w:t>
            </w:r>
          </w:p>
        </w:tc>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时间</w:t>
            </w:r>
          </w:p>
        </w:tc>
        <w:tc>
          <w:tcPr>
            <w:tcW w:type="dxa" w:w="58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客户业务侧正式口径</w:t>
            </w:r>
          </w:p>
        </w:tc>
        <w:tc>
          <w:tcPr>
            <w:tcW w:type="dxa" w:w="22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2016年3月2日13:30-15:20</w:t>
            </w:r>
          </w:p>
        </w:tc>
        <w:tc>
          <w:tcPr>
            <w:tcW w:type="dxa" w:w="58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支付系统完全中断 1小时50分；15:20 后系统可访问并受理跨行汇款。</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性能劣化起点</w:t>
            </w:r>
          </w:p>
        </w:tc>
        <w:tc>
          <w:tcPr>
            <w:tcW w:type="dxa" w:w="22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2016年3月2日12:26-12:30</w:t>
            </w:r>
          </w:p>
        </w:tc>
        <w:tc>
          <w:tcPr>
            <w:tcW w:type="dxa" w:w="58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MQ 队列写入缓慢、掌易行汇款超时/卡顿，属于客户可感知性能异常阶段。</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服务商技术恢复口径</w:t>
            </w:r>
          </w:p>
        </w:tc>
        <w:tc>
          <w:tcPr>
            <w:tcW w:type="dxa" w:w="22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2016年3月2日16:30/18:10</w:t>
            </w:r>
          </w:p>
        </w:tc>
        <w:tc>
          <w:tcPr>
            <w:tcW w:type="dxa" w:w="58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16:30 大部分业务系统恢复；18:10 服务商报告记录所有业务系统恢复。</w:t>
            </w:r>
          </w:p>
        </w:tc>
      </w:tr>
    </w:tbl>
    <w:p/>
    <w:p>
      <w:pPr>
        <w:pStyle w:val="3"/>
        <w:keepNext/>
        <w:spacing w:before="280" w:after="120"/>
        <w:ind w:firstLine="0"/>
      </w:pPr>
      <w:r>
        <w:rPr>
          <w:rFonts w:ascii="微软雅黑" w:hAnsi="微软雅黑" w:eastAsia="微软雅黑"/>
          <w:b/>
          <w:color w:val="123B56"/>
          <w:sz w:val="36"/>
        </w:rPr>
        <w:t>5. 排查与处理过程</w:t>
      </w:r>
    </w:p>
    <w:p>
      <w:pPr>
        <w:pStyle w:val="4"/>
        <w:keepNext/>
        <w:spacing w:before="160" w:after="120"/>
        <w:ind w:firstLine="0"/>
      </w:pPr>
      <w:r>
        <w:rPr>
          <w:rFonts w:ascii="微软雅黑" w:hAnsi="微软雅黑" w:eastAsia="微软雅黑"/>
          <w:b/>
          <w:color w:val="1F2937"/>
          <w:sz w:val="32"/>
        </w:rPr>
        <w:t>5.1 排查处置阶段</w:t>
      </w:r>
    </w:p>
    <w:p>
      <w:pPr>
        <w:spacing w:line="300" w:lineRule="auto" w:after="120"/>
        <w:ind w:firstLine="480"/>
      </w:pPr>
      <w:r>
        <w:rPr>
          <w:rFonts w:ascii="微软雅黑" w:hAnsi="微软雅黑" w:eastAsia="微软雅黑"/>
          <w:color w:val="1F2937"/>
          <w:sz w:val="24"/>
        </w:rPr>
        <w:t>故障处置经历了性能确认、尝试中止镜像同步、异常放大、厂商升级、恢复联机、逐一清理镜像卷和业务验证六个阶段。关键转折点在于 13:30 左右去除镜像存储 mapping 后卷脱机，以及 15:01 左右重新发现存储 mapping 后卷自动联机。</w:t>
      </w:r>
    </w:p>
    <w:tbl>
      <w:tblPr>
        <w:tblStyle w:val="33"/>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151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阶段</w:t>
            </w:r>
          </w:p>
        </w:tc>
        <w:tc>
          <w:tcPr>
            <w:tcW w:type="dxa" w:w="338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处置动作</w:t>
            </w:r>
          </w:p>
        </w:tc>
        <w:tc>
          <w:tcPr>
            <w:tcW w:type="dxa" w:w="352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结果</w:t>
            </w:r>
          </w:p>
        </w:tc>
        <w:tc>
          <w:tcPr>
            <w:tcW w:type="dxa" w:w="187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性能确认</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检查人行前置机日志、支付数据库和 Oracle 日志切换。</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确认 MQ 队列写入缓慢、日志切换迟缓，问题指向存储 IO。</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中止同步</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尝试删除镜像拷贝关系，降低或停止镜像复制。</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在资源严重不足时命令超时，标准恢复手段未能及时释放 IO。</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E03/E08</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错误处置放大</w:t>
            </w:r>
          </w:p>
        </w:tc>
        <w:tc>
          <w:tcPr>
            <w:tcW w:type="dxa" w:w="33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尝试去除镜像存储 mapping。</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SVC 上镜像相关 vdisk 变为脱机，支付系统从迟缓发展为中断。</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E01/E04/E08</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厂商升级</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联系 IBM 实验室、IBM800、二线及德国三线专家，搭建远程桌面。</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形成重新 mapping 与逐一删除镜像卷的处理路径。</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E01/E04</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恢复联机</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重新将去除 mapping 的存储加入 SVC，执行 detectmdisk。</w:t>
            </w:r>
          </w:p>
        </w:tc>
        <w:tc>
          <w:tcPr>
            <w:tcW w:type="dxa" w:w="35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卷自动联机，主存储数据恢复访问。</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E03/E08</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恢复业务</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按容量/风险逐一删除镜像卷，重启受影响业务系统并执行验证。</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15:20 支付系统恢复访问；16:30 多数系统恢复；18:10 服务商记录全部恢复。</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E01/E03/E04</w:t>
            </w:r>
          </w:p>
        </w:tc>
      </w:tr>
    </w:tbl>
    <w:p/>
    <w:p>
      <w:pPr>
        <w:pStyle w:val="5"/>
        <w:keepNext/>
        <w:spacing w:before="160" w:after="120"/>
        <w:ind w:firstLine="0"/>
      </w:pPr>
      <w:r>
        <w:rPr>
          <w:rFonts w:ascii="微软雅黑" w:hAnsi="微软雅黑" w:eastAsia="微软雅黑"/>
          <w:b/>
          <w:color w:val="1F2937"/>
          <w:sz w:val="30"/>
        </w:rPr>
        <w:t>5.1.1 关键操作与结果</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216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操作</w:t>
            </w:r>
          </w:p>
        </w:tc>
        <w:tc>
          <w:tcPr>
            <w:tcW w:type="dxa" w:w="194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时间</w:t>
            </w:r>
          </w:p>
        </w:tc>
        <w:tc>
          <w:tcPr>
            <w:tcW w:type="dxa" w:w="619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addvdiskcopy</w:t>
            </w:r>
          </w:p>
        </w:tc>
        <w:tc>
          <w:tcPr>
            <w:tcW w:type="dxa" w:w="194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11:16-12:10</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SVC auditlog 显示连续创建大量 vdisk mirror copy，形成高 IO 同步任务。</w:t>
            </w:r>
          </w:p>
        </w:tc>
      </w:tr>
      <w:tr>
        <w:tc>
          <w:tcPr>
            <w:tcW w:type="dxa" w:w="216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chvdisk -syncrate 50</w:t>
            </w:r>
          </w:p>
        </w:tc>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12:49</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尝试调整同步速率，未能根本释放资源。</w:t>
            </w:r>
          </w:p>
        </w:tc>
      </w:tr>
      <w:tr>
        <w:tc>
          <w:tcPr>
            <w:tcW w:type="dxa" w:w="216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rmvdiskcopy -copy 1 31</w:t>
            </w:r>
          </w:p>
        </w:tc>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13:34</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删除镜像拷贝关系，日志分析记录命令超时/失败，随后去除 mapping。</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recovervdisk</w:t>
            </w:r>
          </w:p>
        </w:tc>
        <w:tc>
          <w:tcPr>
            <w:tcW w:type="dxa" w:w="194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13:53-15:40</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多次尝试修复脱机卷，未能使关键卷联机。</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detectmdisk</w:t>
            </w:r>
          </w:p>
        </w:tc>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15:01</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重新发现存储 mapping 后，所有卷自动联机，业务卷可访问。</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migratevdisk</w:t>
            </w:r>
          </w:p>
        </w:tc>
        <w:tc>
          <w:tcPr>
            <w:tcW w:type="dxa" w:w="194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15:07/15:08</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通过测试卷迁移验证存储池可用。</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rmvdiskcopy 逐一删除</w:t>
            </w:r>
          </w:p>
        </w:tc>
        <w:tc>
          <w:tcPr>
            <w:tcW w:type="dxa" w:w="194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16:12-17:03</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按卷逐一删除镜像拷贝关系，使 SVC 停止同步并释放资源。</w:t>
            </w:r>
          </w:p>
        </w:tc>
      </w:tr>
    </w:tbl>
    <w:p/>
    <w:p>
      <w:pPr>
        <w:pStyle w:val="3"/>
        <w:keepNext/>
        <w:spacing w:before="280" w:after="120"/>
        <w:ind w:firstLine="0"/>
      </w:pPr>
      <w:r>
        <w:rPr>
          <w:rFonts w:ascii="微软雅黑" w:hAnsi="微软雅黑" w:eastAsia="微软雅黑"/>
          <w:b/>
          <w:color w:val="123B56"/>
          <w:sz w:val="36"/>
        </w:rPr>
        <w:t>6. 原因分析</w:t>
      </w:r>
    </w:p>
    <w:p>
      <w:pPr>
        <w:pStyle w:val="4"/>
        <w:keepNext/>
        <w:spacing w:before="160" w:after="120"/>
        <w:ind w:firstLine="0"/>
      </w:pPr>
      <w:r>
        <w:rPr>
          <w:rFonts w:ascii="微软雅黑" w:hAnsi="微软雅黑" w:eastAsia="微软雅黑"/>
          <w:b/>
          <w:color w:val="1F2937"/>
          <w:sz w:val="32"/>
        </w:rPr>
        <w:t>6.1 技术原因</w:t>
      </w:r>
    </w:p>
    <w:p>
      <w:pPr>
        <w:spacing w:line="300" w:lineRule="auto" w:after="120"/>
        <w:ind w:firstLine="480"/>
      </w:pPr>
      <w:r>
        <w:rPr>
          <w:rFonts w:ascii="微软雅黑" w:hAnsi="微软雅黑" w:eastAsia="微软雅黑"/>
          <w:color w:val="1F2937"/>
          <w:sz w:val="24"/>
        </w:rPr>
        <w:t>本次故障技术原因可归纳为“批量镜像同步造成 IO 堵塞”和“异常处置导致 vdisk 脱机”两个连续环节。前者导致支付系统迟缓，后者导致支付系统中断。该链路由监管报送材料、日志分析报告和 SVC auditlog 共同支撑。</w:t>
      </w:r>
    </w:p>
    <w:tbl>
      <w:tblPr>
        <w:tblStyle w:val="33"/>
        <w:tblW w:type="auto" w:w="0"/>
        <w:jc w:val="center"/>
        <w:tblLayout w:type="fixed"/>
        <w:tblLook w:firstColumn="1" w:firstRow="1" w:lastColumn="0" w:lastRow="0" w:noHBand="0" w:noVBand="1" w:val="04A0"/>
      </w:tblPr>
      <w:tblGrid>
        <w:gridCol w:w="4592"/>
        <w:gridCol w:w="4592"/>
      </w:tblGrid>
      <w:tr>
        <w:trPr>
          <w:tblHeader w:val="true"/>
        </w:trPr>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原因类型</w:t>
            </w:r>
          </w:p>
        </w:tc>
        <w:tc>
          <w:tcPr>
            <w:tcW w:type="dxa" w:w="806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分析</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直接原因</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SVC 磁盘镜像同步期间批量 vdisk copy 占用大量 IO 资源，导致支付链路承载存储读写性能显著下降；在同步未正常停止的情况下去除镜像存储 mapping，引发镜像相关卷脱机。</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触发条件</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日间生产业务时段执行主存储向灾备存储的批量镜像同步，且同一时间段并发镜像卷数量过多。正式报送材料记载同时对 21 个 vdisk 操作，SVC auditlog 也显示 10:50-12:10 间连续创建大量 addvdiskcopy。</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贡献因素一</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应急预案对资源耗尽、命令超时、删除镜像关系失败、mapping 去除后的 vdisk 状态变化等复杂异常场景覆盖不足。</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贡献因素二</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变更前测试代表性不足。2月29日测试主要针对测试卷，未充分模拟生产数据量、并发镜像数量、业务高峰 IO 模型及支付系统 2GB 光纤通道卡约束。</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贡献因素三</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变更窗口选择不当。材料显示变更申请认为日间影响不大，但故障后整改要求明确禁止对外营业期间执行生产系统变更。</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贡献因素四</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监控体系不完整。监管报告指出资源整合过渡阶段存储监控未部署，未能在 IO 资源异常时提前预警。</w:t>
            </w:r>
          </w:p>
        </w:tc>
      </w:tr>
    </w:tbl>
    <w:p/>
    <w:p>
      <w:pPr>
        <w:pStyle w:val="5"/>
        <w:keepNext/>
        <w:spacing w:before="160" w:after="120"/>
        <w:ind w:firstLine="0"/>
      </w:pPr>
      <w:r>
        <w:rPr>
          <w:rFonts w:ascii="微软雅黑" w:hAnsi="微软雅黑" w:eastAsia="微软雅黑"/>
          <w:b/>
          <w:color w:val="1F2937"/>
          <w:sz w:val="30"/>
        </w:rPr>
        <w:t>6.1.1 直接原因、触发条件与贡献因素</w:t>
      </w:r>
    </w:p>
    <w:p>
      <w:pPr>
        <w:spacing w:line="300" w:lineRule="auto" w:after="120"/>
        <w:ind w:firstLine="480"/>
      </w:pPr>
      <w:r>
        <w:rPr>
          <w:rFonts w:ascii="微软雅黑" w:hAnsi="微软雅黑" w:eastAsia="微软雅黑"/>
          <w:b/>
          <w:color w:val="1F2937"/>
          <w:sz w:val="24"/>
        </w:rPr>
        <w:t>直接原因：</w:t>
      </w:r>
      <w:r>
        <w:rPr>
          <w:rFonts w:ascii="微软雅黑" w:hAnsi="微软雅黑" w:eastAsia="微软雅黑"/>
          <w:color w:val="1F2937"/>
          <w:sz w:val="24"/>
        </w:rPr>
        <w:t>生产存储执行批量镜像同步时，SVC IO 资源被大量占用，支付系统相关存储读写响应显著下降；在无法正常删除镜像拷贝关系的情况下，通过去除镜像存储 mapping 试图终止同步，导致相关 vdisk 脱机。</w:t>
      </w:r>
    </w:p>
    <w:p>
      <w:pPr>
        <w:spacing w:line="300" w:lineRule="auto" w:after="120"/>
        <w:ind w:firstLine="480"/>
      </w:pPr>
      <w:r>
        <w:rPr>
          <w:rFonts w:ascii="微软雅黑" w:hAnsi="微软雅黑" w:eastAsia="微软雅黑"/>
          <w:b/>
          <w:color w:val="1F2937"/>
          <w:sz w:val="24"/>
        </w:rPr>
        <w:t>触发条件：</w:t>
      </w:r>
      <w:r>
        <w:rPr>
          <w:rFonts w:ascii="微软雅黑" w:hAnsi="微软雅黑" w:eastAsia="微软雅黑"/>
          <w:color w:val="1F2937"/>
          <w:sz w:val="24"/>
        </w:rPr>
        <w:t>变更申请材料显示本次变更安排在 2016年3月2日白天执行，且变更前判断“不会对业务系统造成大的影响”。事后材料确认，该判断低估了批量镜像对存储性能的影响。</w:t>
      </w:r>
    </w:p>
    <w:p>
      <w:pPr>
        <w:spacing w:line="300" w:lineRule="auto" w:after="120"/>
        <w:ind w:firstLine="480"/>
      </w:pPr>
      <w:r>
        <w:rPr>
          <w:rFonts w:ascii="微软雅黑" w:hAnsi="微软雅黑" w:eastAsia="微软雅黑"/>
          <w:b/>
          <w:color w:val="1F2937"/>
          <w:sz w:val="24"/>
        </w:rPr>
        <w:t>贡献因素：</w:t>
      </w:r>
      <w:r>
        <w:rPr>
          <w:rFonts w:ascii="微软雅黑" w:hAnsi="微软雅黑" w:eastAsia="微软雅黑"/>
          <w:color w:val="1F2937"/>
          <w:sz w:val="24"/>
        </w:rPr>
        <w:t>正式报告指出同一时间段批量执行多个 vdisk 镜像不符合 IBM 红皮书建议的单一 vdisk 镜像原则；支付系统 P570 小型机使用 2GB 光纤通道卡，在 IO 堵塞时抢占资源能力弱于同存储上 16GB 光纤通道卡服务器；监控未部署导致异常发现和预警滞后。</w:t>
      </w:r>
    </w:p>
    <w:p>
      <w:pPr>
        <w:pStyle w:val="4"/>
        <w:keepNext/>
        <w:spacing w:before="160" w:after="120"/>
        <w:ind w:firstLine="0"/>
      </w:pPr>
      <w:r>
        <w:rPr>
          <w:rFonts w:ascii="微软雅黑" w:hAnsi="微软雅黑" w:eastAsia="微软雅黑"/>
          <w:b/>
          <w:color w:val="1F2937"/>
          <w:sz w:val="32"/>
        </w:rPr>
        <w:t>6.2 流程与管理因素</w:t>
      </w:r>
    </w:p>
    <w:tbl>
      <w:tblPr>
        <w:tblStyle w:val="33"/>
        <w:tblW w:type="auto" w:w="0"/>
        <w:jc w:val="center"/>
        <w:tblLayout w:type="fixed"/>
        <w:tblLook w:firstColumn="1" w:firstRow="1" w:lastColumn="0" w:lastRow="0" w:noHBand="0" w:noVBand="1" w:val="04A0"/>
      </w:tblPr>
      <w:tblGrid>
        <w:gridCol w:w="4592"/>
        <w:gridCol w:w="4592"/>
      </w:tblGrid>
      <w:tr>
        <w:trPr>
          <w:tblHeader w:val="true"/>
        </w:trPr>
        <w:tc>
          <w:tcPr>
            <w:tcW w:type="dxa" w:w="194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因素</w:t>
            </w:r>
          </w:p>
        </w:tc>
        <w:tc>
          <w:tcPr>
            <w:tcW w:type="dxa" w:w="835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变更评估</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测试未充分覆盖生产级数据量、并发镜像数量和业务高峰场景，导致日间实施风险被低估。</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变更窗口</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生产营业时段执行高 IO 存储变更，故障后整改明确要求营业终止后按审批计划执行。</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应急预案</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预案未充分覆盖命令超时、镜像删除失败、mapping 去除后 vdisk 脱机等异常分支。</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监控告警</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资源整合过渡阶段存储监控未部署，未能及时发现系统资源异常。</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外包管理</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监管报告要求服务商严肃处理相关人员并梳理项目外包风险，说明风险评估和现场处置质量需纳入管理闭环。</w:t>
            </w:r>
          </w:p>
        </w:tc>
      </w:tr>
    </w:tbl>
    <w:p/>
    <w:p>
      <w:pPr>
        <w:pStyle w:val="5"/>
        <w:keepNext/>
        <w:spacing w:before="160" w:after="120"/>
        <w:ind w:firstLine="0"/>
      </w:pPr>
      <w:r>
        <w:rPr>
          <w:rFonts w:ascii="微软雅黑" w:hAnsi="微软雅黑" w:eastAsia="微软雅黑"/>
          <w:b/>
          <w:color w:val="1F2937"/>
          <w:sz w:val="30"/>
        </w:rPr>
        <w:t>6.2.1 已排除或证据不足事项</w:t>
      </w:r>
    </w:p>
    <w:p>
      <w:pPr>
        <w:spacing w:line="300" w:lineRule="auto" w:after="120"/>
        <w:ind w:firstLine="480"/>
      </w:pPr>
      <w:r>
        <w:rPr>
          <w:rFonts w:ascii="微软雅黑" w:hAnsi="微软雅黑" w:eastAsia="微软雅黑"/>
          <w:color w:val="1F2937"/>
          <w:sz w:val="24"/>
        </w:rPr>
        <w:t>关于“存储2控制器不稳定导致数据不一致”的说法，仅在一份服务商处理报告变体中出现，未在正式监管报告、日志分析报告和 SVC auditlog 主链路中形成闭合证据。因此本报告不将其作为主根因；如后续需采用该口径，应补充原厂硬件错误日志、控制器状态记录和部件更换证明。</w:t>
      </w:r>
    </w:p>
    <w:p>
      <w:pPr>
        <w:spacing w:line="300" w:lineRule="auto" w:after="120"/>
        <w:ind w:firstLine="480"/>
      </w:pPr>
      <w:r>
        <w:rPr>
          <w:rFonts w:ascii="微软雅黑" w:hAnsi="微软雅黑" w:eastAsia="微软雅黑"/>
          <w:color w:val="1F2937"/>
          <w:sz w:val="24"/>
        </w:rPr>
        <w:t>关于柜面、信贷等业务是否属于正式业务中断范围，材料存在差异。正式监管报告明确柜面业务正常，服务商处理报告列示更宽存储承载影响范围。本报告在业务影响章节中按正式报送口径陈述，并将服务商材料作为技术影响范围参考。</w:t>
      </w:r>
    </w:p>
    <w:p>
      <w:pPr>
        <w:pStyle w:val="3"/>
        <w:keepNext/>
        <w:spacing w:before="280" w:after="120"/>
        <w:ind w:firstLine="0"/>
      </w:pPr>
      <w:r>
        <w:rPr>
          <w:rFonts w:ascii="微软雅黑" w:hAnsi="微软雅黑" w:eastAsia="微软雅黑"/>
          <w:b/>
          <w:color w:val="123B56"/>
          <w:sz w:val="36"/>
        </w:rPr>
        <w:t>7. 恢复验证与客户确认</w:t>
      </w:r>
    </w:p>
    <w:p>
      <w:pPr>
        <w:pStyle w:val="4"/>
        <w:keepNext/>
        <w:spacing w:before="160" w:after="120"/>
        <w:ind w:firstLine="0"/>
      </w:pPr>
      <w:r>
        <w:rPr>
          <w:rFonts w:ascii="微软雅黑" w:hAnsi="微软雅黑" w:eastAsia="微软雅黑"/>
          <w:b/>
          <w:color w:val="1F2937"/>
          <w:sz w:val="32"/>
        </w:rPr>
        <w:t>7.1 验证结果</w:t>
      </w:r>
    </w:p>
    <w:p>
      <w:pPr>
        <w:spacing w:line="300" w:lineRule="auto" w:after="120"/>
        <w:ind w:firstLine="480"/>
      </w:pPr>
      <w:r>
        <w:rPr>
          <w:rFonts w:ascii="微软雅黑" w:hAnsi="微软雅黑" w:eastAsia="微软雅黑"/>
          <w:color w:val="1F2937"/>
          <w:sz w:val="24"/>
        </w:rPr>
        <w:t>恢复验证主要包括三类：一是重新 mapping/detectmdisk 后 vdisk 自动联机，主存储数据可访问；二是通过测试卷迁移确认存储池可用；三是支付系统恢复访问后，经系统验证受理多笔跨行汇款业务。</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验证类别</w:t>
            </w:r>
          </w:p>
        </w:tc>
        <w:tc>
          <w:tcPr>
            <w:tcW w:type="dxa" w:w="676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结果</w:t>
            </w:r>
          </w:p>
        </w:tc>
        <w:tc>
          <w:tcPr>
            <w:tcW w:type="dxa" w:w="172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存储侧验证</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重新发现存储 mapping 后所有卷自动联机；测试卷在存储池间迁移成功。</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E03/E08</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系统侧验证</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上饶银行系统管理员对受影响业务系统进行重启并验证。</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业务侧验证</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15:20 后系统可访问，各渠道受理多笔跨行汇款业务。</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资金侧验证</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3月2日晚与人民银行支付系统对账，头寸对平。</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舆情/投诉</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截至3月8日8时，未出现客户投诉和不利社会舆情传播。</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bl>
    <w:p/>
    <w:p>
      <w:pPr>
        <w:pStyle w:val="5"/>
        <w:keepNext/>
        <w:spacing w:before="160" w:after="120"/>
        <w:ind w:firstLine="0"/>
      </w:pPr>
      <w:r>
        <w:rPr>
          <w:rFonts w:ascii="微软雅黑" w:hAnsi="微软雅黑" w:eastAsia="微软雅黑"/>
          <w:b/>
          <w:color w:val="1F2937"/>
          <w:sz w:val="30"/>
        </w:rPr>
        <w:t>7.1.1 业务、资金与舆情确认</w:t>
      </w:r>
    </w:p>
    <w:p>
      <w:pPr>
        <w:spacing w:line="300" w:lineRule="auto" w:after="120"/>
        <w:ind w:firstLine="480"/>
      </w:pPr>
      <w:r>
        <w:rPr>
          <w:rFonts w:ascii="微软雅黑" w:hAnsi="微软雅黑" w:eastAsia="微软雅黑"/>
          <w:color w:val="1F2937"/>
          <w:sz w:val="24"/>
        </w:rPr>
        <w:t>正式报送材料记录，故障期间上饶银行对需办理汇款客户进行解释，并对急需汇款客户通过现金取款至其他银行汇款等方式进行临时引导。支付系统在人行关闭前恢复，等待客户的汇款业务随后受理。</w:t>
      </w:r>
    </w:p>
    <w:p>
      <w:pPr>
        <w:spacing w:line="300" w:lineRule="auto" w:after="120"/>
        <w:ind w:firstLine="480"/>
      </w:pPr>
      <w:r>
        <w:rPr>
          <w:rFonts w:ascii="微软雅黑" w:hAnsi="微软雅黑" w:eastAsia="微软雅黑"/>
          <w:color w:val="1F2937"/>
          <w:sz w:val="24"/>
        </w:rPr>
        <w:t>资金核对方面，3月2日晚与人民银行支付系统对账结果为头寸对平，未给客户资金带来损失。客户投诉和舆情方面，截至3月8日8时未出现客户投诉和不利社会舆情传播。</w:t>
      </w:r>
    </w:p>
    <w:p>
      <w:pPr>
        <w:pStyle w:val="3"/>
        <w:keepNext/>
        <w:spacing w:before="280" w:after="120"/>
        <w:ind w:firstLine="0"/>
      </w:pPr>
      <w:r>
        <w:rPr>
          <w:rFonts w:ascii="微软雅黑" w:hAnsi="微软雅黑" w:eastAsia="微软雅黑"/>
          <w:b/>
          <w:color w:val="123B56"/>
          <w:sz w:val="36"/>
        </w:rPr>
        <w:t>8. 后续建议方案</w:t>
      </w:r>
    </w:p>
    <w:p>
      <w:pPr>
        <w:pStyle w:val="4"/>
        <w:keepNext/>
        <w:spacing w:before="160" w:after="120"/>
        <w:ind w:firstLine="0"/>
      </w:pPr>
      <w:r>
        <w:rPr>
          <w:rFonts w:ascii="微软雅黑" w:hAnsi="微软雅黑" w:eastAsia="微软雅黑"/>
          <w:b/>
          <w:color w:val="1F2937"/>
          <w:sz w:val="32"/>
        </w:rPr>
        <w:t>8.1 整改建议</w:t>
      </w:r>
    </w:p>
    <w:p>
      <w:pPr>
        <w:spacing w:line="300" w:lineRule="auto" w:after="120"/>
        <w:ind w:firstLine="480"/>
      </w:pPr>
      <w:r>
        <w:rPr>
          <w:rFonts w:ascii="微软雅黑" w:hAnsi="微软雅黑" w:eastAsia="微软雅黑"/>
          <w:color w:val="1F2937"/>
          <w:sz w:val="24"/>
        </w:rPr>
        <w:t>后续整改应围绕“变更纪律、技术预案、监控告警、厂商升级、外包管理”五条线同步推进。建议将 SVC/V7000 生产镜像同步类操作列为高风险变更，执行前必须完成可量化压力验证、分批方案、失败回退、客户沟通和原厂复核。</w:t>
      </w:r>
    </w:p>
    <w:tbl>
      <w:tblPr>
        <w:tblStyle w:val="33"/>
        <w:tblW w:type="auto" w:w="0"/>
        <w:jc w:val="center"/>
        <w:tblLayout w:type="fixed"/>
        <w:tblLook w:firstColumn="1" w:firstRow="1" w:lastColumn="0" w:lastRow="0" w:noHBand="0" w:noVBand="1" w:val="04A0"/>
      </w:tblPr>
      <w:tblGrid>
        <w:gridCol w:w="1837"/>
        <w:gridCol w:w="1837"/>
        <w:gridCol w:w="1837"/>
        <w:gridCol w:w="1837"/>
        <w:gridCol w:w="1837"/>
      </w:tblGrid>
      <w:tr>
        <w:trPr>
          <w:tblHeader w:val="true"/>
        </w:trPr>
        <w:tc>
          <w:tcPr>
            <w:tcW w:type="dxa" w:w="79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优先级</w:t>
            </w:r>
          </w:p>
        </w:tc>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建议</w:t>
            </w:r>
          </w:p>
        </w:tc>
        <w:tc>
          <w:tcPr>
            <w:tcW w:type="dxa" w:w="324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预期效果</w:t>
            </w:r>
          </w:p>
        </w:tc>
        <w:tc>
          <w:tcPr>
            <w:tcW w:type="dxa" w:w="151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建议窗口</w:t>
            </w:r>
          </w:p>
        </w:tc>
        <w:tc>
          <w:tcPr>
            <w:tcW w:type="dxa" w:w="252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责任边界</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P1</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立即固化生产变更冻结规则</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禁止营业时段对生产存储、支付链路和核心系统执行高 IO、高风险变更；紧急变更需单独审批并设置回退条件。</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立即执行/持续生效</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客户科技部、服务商、外包管理</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P1</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重做镜像同步实施方案和回退预案</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按卷容量、业务重要性和存储池隔离情况分批实施；明确命令超时、同步异常、mapping 误操作后的可执行恢复步骤。</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下一次变更前</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服务商主责，客户审批，厂商复核</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P1</w:t>
            </w:r>
          </w:p>
        </w:tc>
        <w:tc>
          <w:tcPr>
            <w:tcW w:type="dxa" w:w="22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开展 SVC/V7000 变更前压力验证</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在测试环境或低风险窗口模拟生产级数据量、并发卷数量和支付系统 IO 模型，形成可量化阈值。</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下一维护窗口前</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服务商、IBM/原厂、客户联合</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P2</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补齐存储与支付链路监控</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建立 SVC IO 延迟、队列深度、vdisk copy 同步状态、MQ 队列、Oracle 日志切换耗时等指标监控和告警。</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1-2周</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客户运维、服务商</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P2</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建立分级应急指挥与厂商升级机制</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在重大生产故障时明确现场指挥、操作授权、原厂升级、远程接入和客户侧沟通节奏。</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1个月内</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客户科技部、服务商</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P3</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完善外包服务质量复盘机制</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将风险评估质量、预案完整性、测试代表性和变更执行纪律纳入外包考核，降低类似变更风险。</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季度复盘</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客户外包管理、服务商管理层</w:t>
            </w:r>
          </w:p>
        </w:tc>
      </w:tr>
    </w:tbl>
    <w:p/>
    <w:p>
      <w:pPr>
        <w:pStyle w:val="5"/>
        <w:keepNext/>
        <w:spacing w:before="160" w:after="120"/>
        <w:ind w:firstLine="0"/>
      </w:pPr>
      <w:r>
        <w:rPr>
          <w:rFonts w:ascii="微软雅黑" w:hAnsi="微软雅黑" w:eastAsia="微软雅黑"/>
          <w:b/>
          <w:color w:val="1F2937"/>
          <w:sz w:val="30"/>
        </w:rPr>
        <w:t>8.1.1 优先级与实施窗口</w:t>
      </w:r>
    </w:p>
    <w:p>
      <w:pPr>
        <w:spacing w:line="300" w:lineRule="auto" w:after="120"/>
        <w:ind w:firstLine="480"/>
      </w:pPr>
      <w:r>
        <w:rPr>
          <w:rFonts w:ascii="微软雅黑" w:hAnsi="微软雅黑" w:eastAsia="微软雅黑"/>
          <w:color w:val="1F2937"/>
          <w:sz w:val="24"/>
        </w:rPr>
        <w:t>P1 建议应在下一次生产变更前完成，重点是禁止营业时段高风险变更、重做镜像同步方案和回退预案、补齐原厂复核。P2 建议应在 1-2 周至 1 个月内落地，重点是监控告警和应急指挥机制。P3 建议纳入季度外包服务质量复盘，形成长期治理闭环。</w:t>
      </w:r>
    </w:p>
    <w:p>
      <w:pPr>
        <w:pStyle w:val="3"/>
        <w:keepNext/>
        <w:spacing w:before="280" w:after="120"/>
        <w:ind w:firstLine="0"/>
      </w:pPr>
      <w:r>
        <w:rPr>
          <w:rFonts w:ascii="微软雅黑" w:hAnsi="微软雅黑" w:eastAsia="微软雅黑"/>
          <w:b/>
          <w:color w:val="123B56"/>
          <w:sz w:val="36"/>
        </w:rPr>
        <w:t>9. 附录：证据索引与补充材料</w:t>
      </w:r>
    </w:p>
    <w:p>
      <w:pPr>
        <w:pStyle w:val="4"/>
        <w:keepNext/>
        <w:spacing w:before="160" w:after="120"/>
        <w:ind w:firstLine="0"/>
      </w:pPr>
      <w:r>
        <w:rPr>
          <w:rFonts w:ascii="微软雅黑" w:hAnsi="微软雅黑" w:eastAsia="微软雅黑"/>
          <w:b/>
          <w:color w:val="1F2937"/>
          <w:sz w:val="32"/>
        </w:rPr>
        <w:t>9.1 证据索引</w:t>
      </w:r>
    </w:p>
    <w:p>
      <w:pPr>
        <w:spacing w:line="300" w:lineRule="auto" w:after="120"/>
        <w:ind w:firstLine="480"/>
      </w:pPr>
      <w:r>
        <w:rPr>
          <w:rFonts w:ascii="微软雅黑" w:hAnsi="微软雅黑" w:eastAsia="微软雅黑"/>
          <w:color w:val="1F2937"/>
          <w:sz w:val="24"/>
        </w:rPr>
        <w:t>本节列示本报告引用的主要证据材料。所有抽取文本、snap 展开目录和中间文件已保存在本次输出目录的 _work 子目录，便于后续复核。</w:t>
      </w:r>
    </w:p>
    <w:tbl>
      <w:tblPr>
        <w:tblStyle w:val="33"/>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93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证据ID</w:t>
            </w:r>
          </w:p>
        </w:tc>
        <w:tc>
          <w:tcPr>
            <w:tcW w:type="dxa" w:w="316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材料</w:t>
            </w:r>
          </w:p>
        </w:tc>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类别</w:t>
            </w:r>
          </w:p>
        </w:tc>
        <w:tc>
          <w:tcPr>
            <w:tcW w:type="dxa" w:w="439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关键内容</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E01</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12:30发现异常、13:35卷脱机、16:30大部分业务恢复、18:10全部恢复；记录完整处置过程和整改措施。</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E02</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上饶银行存储中断故障处理报告1.docx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服务商处理报告变体</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采用“存储2控制器不稳定”表述，与日志分析和监管报告主口径不完全一致，作为差异材料引用。</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E03</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日志分析报告</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12:22 至 15:20 事件经过、SVC 命令清单和审计日志截图说明。</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E04</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（16）关于上饶银行支付系统业务中断事件的报告-银监局.doc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正式监管报送材料</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采用上银文〔2016〕16号口径，确认支付系统 13:30-15:20 中断 1小时50分、影响范围、原因和整改措施。</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E05</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关于上饶银行支付系统业务中断事件的报告20160304.doc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监管报告过程版本</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包含 2016-03-04 版本文字，部分措辞仍有占位内容，作为版本比对材料。</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E06</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关于上饶银行支付系统业务中断事件的报告-银监局*.doc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监管报告草稿/修订件</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与正式文号材料大体一致，时间线和整改措施用于交叉核验。</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E07</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系统变更申请表_SVC磁盘镜像.docx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变更申请</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2016-03-01 申请、2016-03-02 变更日期、变更理由、影响系统和测试评估判断。</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E08</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snap.rar / SVC auditlog</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原始诊断包</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展开后核到 2月29日测试、3月2日批量 addvdiskcopy、chvdisk、rmvdiskcopy、recovervdisk、detectmdisk 等操作。</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E09</w:t>
            </w:r>
          </w:p>
        </w:tc>
        <w:tc>
          <w:tcPr>
            <w:tcW w:type="dxa" w:w="316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截图解释.pptx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日志截图说明</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说明创建磁盘镜像、修改同步速率、删除镜像配对关系、修复脱机卷、重新发现 mapping、迁移测试等截图主题。</w:t>
            </w:r>
          </w:p>
        </w:tc>
      </w:tr>
    </w:tbl>
    <w:p/>
    <w:p>
      <w:pPr>
        <w:pStyle w:val="5"/>
        <w:keepNext/>
        <w:spacing w:before="160" w:after="120"/>
        <w:ind w:firstLine="0"/>
      </w:pPr>
      <w:r>
        <w:rPr>
          <w:rFonts w:ascii="微软雅黑" w:hAnsi="微软雅黑" w:eastAsia="微软雅黑"/>
          <w:b/>
          <w:color w:val="1F2937"/>
          <w:sz w:val="30"/>
        </w:rPr>
        <w:t>9.1.1 源文件清单</w:t>
      </w:r>
    </w:p>
    <w:tbl>
      <w:tblPr>
        <w:tblStyle w:val="33"/>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324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源文件</w:t>
            </w:r>
          </w:p>
        </w:tc>
        <w:tc>
          <w:tcPr>
            <w:tcW w:type="dxa" w:w="172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类型</w:t>
            </w:r>
          </w:p>
        </w:tc>
        <w:tc>
          <w:tcPr>
            <w:tcW w:type="dxa" w:w="115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状态</w:t>
            </w:r>
          </w:p>
        </w:tc>
        <w:tc>
          <w:tcPr>
            <w:tcW w:type="dxa" w:w="417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系统变更申请表_SVC磁盘镜像.docx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变更申请</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记录申请人、申请日期、变更日期、变更内容和测试评估判断。</w:t>
            </w:r>
          </w:p>
        </w:tc>
      </w:tr>
      <w:tr>
        <w:tc>
          <w:tcPr>
            <w:tcW w:type="dxa" w:w="324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系统变更申请表.docx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空白/模板申请表</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用于确认变更申请表结构。</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12:30-18:10 技术处置过程。</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上饶银行存储中断故障处理报告1.docx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服务商处理报告变体</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与主口径存在原因差异，列为差异材料。</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记录事件经过和 SVC 命令说明。</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上饶银行存储中断故障日志分析报告2.docx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日志分析副本/版本</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与日志分析主稿基本一致。</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上饶银行存储中断故障日志分析报告20160311.docx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日志分析后续版本</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补充 2月29日测试和 3月2日操作截图说明。</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关于上饶银行支付系统业务中断事件的报告*.doc</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监管报送材料/草稿</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记录正式业务影响、社会影响、原因分析和整改措施。</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（16）关于上饶银行支付系统业务中断事件的报告-银监局.doc</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正式监管报送材料</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采用上银文〔2016〕16号最终口径。</w:t>
            </w:r>
          </w:p>
        </w:tc>
      </w:tr>
      <w:tr>
        <w:tc>
          <w:tcPr>
            <w:tcW w:type="dxa" w:w="324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截图解释.pptx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截图说明</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说明日志截图对应的操作主题。</w:t>
            </w:r>
          </w:p>
        </w:tc>
      </w:tr>
      <w:tr>
        <w:tc>
          <w:tcPr>
            <w:tcW w:type="dxa" w:w="324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snap.rar</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SVC/V7000 诊断包</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已展开</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展开 SVC/V7000 snap 包并核验 SVC auditlog 关键操作。</w:t>
            </w:r>
          </w:p>
        </w:tc>
      </w:tr>
    </w:tbl>
    <w:p/>
    <w:p>
      <w:pPr>
        <w:pStyle w:val="4"/>
        <w:keepNext/>
        <w:spacing w:before="160" w:after="120"/>
        <w:ind w:firstLine="0"/>
      </w:pPr>
      <w:r>
        <w:rPr>
          <w:rFonts w:ascii="微软雅黑" w:hAnsi="微软雅黑" w:eastAsia="微软雅黑"/>
          <w:b/>
          <w:color w:val="1F2937"/>
          <w:sz w:val="32"/>
        </w:rPr>
        <w:t>9.2 口径差异说明</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165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差异项</w:t>
            </w:r>
          </w:p>
        </w:tc>
        <w:tc>
          <w:tcPr>
            <w:tcW w:type="dxa" w:w="511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材料差异</w:t>
            </w:r>
          </w:p>
        </w:tc>
        <w:tc>
          <w:tcPr>
            <w:tcW w:type="dxa" w:w="352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本报告处理方式</w:t>
            </w:r>
          </w:p>
        </w:tc>
      </w:tr>
      <w:tr>
        <w:tc>
          <w:tcPr>
            <w:tcW w:type="dxa" w:w="165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故障时间</w:t>
            </w:r>
          </w:p>
        </w:tc>
        <w:tc>
          <w:tcPr>
            <w:tcW w:type="dxa" w:w="511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正式材料：13:30-15:20 支付系统中断；服务商主报告：12:30发现异常、16:30多数系统恢复、18:10全部恢复。</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区分客户业务中断、性能劣化和技术恢复，不互相替代。</w:t>
            </w:r>
          </w:p>
        </w:tc>
      </w:tr>
      <w:tr>
        <w:tc>
          <w:tcPr>
            <w:tcW w:type="dxa" w:w="165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影响范围</w:t>
            </w:r>
          </w:p>
        </w:tc>
        <w:tc>
          <w:tcPr>
            <w:tcW w:type="dxa" w:w="511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正式材料：支付系统、商圈、OA；服务商报告：手机银行、二代支付、同城清算、公务卡、支付宝、柜面、信贷等。</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对外业务影响以正式材料为准，技术影响范围列示参考。</w:t>
            </w:r>
          </w:p>
        </w:tc>
      </w:tr>
      <w:tr>
        <w:tc>
          <w:tcPr>
            <w:tcW w:type="dxa" w:w="165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原因表述</w:t>
            </w:r>
          </w:p>
        </w:tc>
        <w:tc>
          <w:tcPr>
            <w:tcW w:type="dxa" w:w="511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主口径：批量镜像同步 IO 占用和去除 mapping 导致脱机；变体报告：存储2控制器不稳定。</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采用证据链更完整的主口径，变体作为待补充原厂硬件证据事项。</w:t>
            </w:r>
          </w:p>
        </w:tc>
      </w:tr>
      <w:tr>
        <w:tc>
          <w:tcPr>
            <w:tcW w:type="dxa" w:w="165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恢复完成</w:t>
            </w:r>
          </w:p>
        </w:tc>
        <w:tc>
          <w:tcPr>
            <w:tcW w:type="dxa" w:w="511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正式材料：15:20 支付系统恢复；服务商报告：16:30大部分业务、18:10全部业务恢复。</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正式对外沟通使用 15:20，技术复盘保留 16:30/18:10 里程碑。</w:t>
            </w:r>
          </w:p>
        </w:tc>
      </w:tr>
    </w:tbl>
    <w:p/>
    <w:p>
      <w:pPr>
        <w:pStyle w:val="5"/>
        <w:keepNext/>
        <w:spacing w:before="160" w:after="120"/>
        <w:ind w:firstLine="0"/>
      </w:pPr>
      <w:r>
        <w:rPr>
          <w:rFonts w:ascii="微软雅黑" w:hAnsi="微软雅黑" w:eastAsia="微软雅黑"/>
          <w:b/>
          <w:color w:val="1F2937"/>
          <w:sz w:val="30"/>
        </w:rPr>
        <w:t>9.2.1 本报告采用口径</w:t>
      </w:r>
    </w:p>
    <w:p>
      <w:pPr>
        <w:spacing w:line="300" w:lineRule="auto" w:after="120"/>
        <w:ind w:firstLine="480"/>
      </w:pPr>
      <w:r>
        <w:rPr>
          <w:rFonts w:ascii="微软雅黑" w:hAnsi="微软雅黑" w:eastAsia="微软雅黑"/>
          <w:color w:val="1F2937"/>
          <w:sz w:val="24"/>
        </w:rPr>
        <w:t>本报告最终采用如下口径：本次故障为 2016年3月2日 SVC 磁盘镜像同步生产变更期间发生的存储性能劣化与支付系统业务中断事件。客户可感知性能异常自 12:26-12:30 左右出现，支付系统正式中断时间为 13:30-15:20，主要原因是批量 vdisk 镜像同步占用 SVC IO 资源，并在异常处置中去除镜像存储 mapping 引发相关 vdisk 脱机。故障经重新 mapping、detectmdisk、逐一删除镜像卷和业务验证后恢复；资金未受损，未出现客户投诉和不利舆情。</w:t>
      </w:r>
    </w:p>
    <w:sectPr>
      <w:headerReference w:type="default" r:id="rId5"/>
      <w:footerReference w:type="default" r:id="rId6"/>
      <w:pgNumType w:start="1"/>
      <w:pgSz w:w="11906" w:h="16838"/>
      <w:pgMar w:top="1361" w:right="1304"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left"/>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4"/>
                            <w:rPr>
                              <w:b w:val="0"/>
                              <w:bCs w:val="0"/>
                              <w:sz w:val="16"/>
                              <w:szCs w:val="18"/>
                            </w:rPr>
                          </w:pPr>
                          <w:r>
                            <w:rPr>
                              <w:b w:val="0"/>
                              <w:bCs w:val="0"/>
                              <w:sz w:val="16"/>
                              <w:szCs w:val="18"/>
                            </w:rPr>
                            <w:t xml:space="preserve">第 </w:t>
                          </w:r>
                          <w:r>
                            <w:rPr>
                              <w:b w:val="0"/>
                              <w:bCs w:val="0"/>
                              <w:sz w:val="16"/>
                              <w:szCs w:val="18"/>
                            </w:rPr>
                            <w:fldChar w:fldCharType="begin"/>
                          </w:r>
                          <w:r>
                            <w:rPr>
                              <w:b w:val="0"/>
                              <w:bCs w:val="0"/>
                              <w:sz w:val="16"/>
                              <w:szCs w:val="18"/>
                            </w:rPr>
                            <w:instrText xml:space="preserve"> PAGE  \* MERGEFORMAT </w:instrText>
                          </w:r>
                          <w:r>
                            <w:rPr>
                              <w:b w:val="0"/>
                              <w:bCs w:val="0"/>
                              <w:sz w:val="16"/>
                              <w:szCs w:val="18"/>
                            </w:rPr>
                            <w:fldChar w:fldCharType="separate"/>
                          </w:r>
                          <w:r>
                            <w:rPr>
                              <w:b w:val="0"/>
                              <w:bCs w:val="0"/>
                              <w:sz w:val="16"/>
                              <w:szCs w:val="18"/>
                            </w:rPr>
                            <w:t>2</w:t>
                          </w:r>
                          <w:r>
                            <w:rPr>
                              <w:b w:val="0"/>
                              <w:bCs w:val="0"/>
                              <w:sz w:val="16"/>
                              <w:szCs w:val="18"/>
                            </w:rPr>
                            <w:fldChar w:fldCharType="end"/>
                          </w:r>
                          <w:r>
                            <w:rPr>
                              <w:b w:val="0"/>
                              <w:bCs w:val="0"/>
                              <w:sz w:val="16"/>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ClSD0MgIAAGEEAAAOAAAAZHJz&#10;L2Uyb0RvYy54bWytVM2O0zAQviPxDpbvNGkRq27VdFW2KkKq2JUWxNl1nCaS/2S7TcoDwBtw4sKd&#10;5+pz8NlpumjhsAcuztgz/sbfNzOZ33RKkoNwvjG6oONRTonQ3JSN3hX008f1qyklPjBdMmm0KOhR&#10;eHqzePli3tqZmJjayFI4AhDtZ60taB2CnWWZ57VQzI+MFRrOyjjFArZul5WOtUBXMpvk+VXWGlda&#10;Z7jwHqer3knPiO45gKaqGi5Whu+V0KFHdUKyAEq+bqyni/TaqhI83FWVF4HIgoJpSCuSwN7GNVvM&#10;2WznmK0bfn4Ce84TnnBSrNFIeoFascDI3jV/QamGO+NNFUbcqKwnkhQBi3H+RJuHmlmRuEBqby+i&#10;+/8Hyz8c7h1pyoJeU6KZQsFP37+dfvw6/fxKrqM8rfUzRD1YxIXurenQNMO5x2Fk3VVOxS/4EPgh&#10;7vEirugC4fHSdDKd5nBx+IYN8LPH69b58E4YRaJRUIfqJVHZYeNDHzqExGzarBspUwWlJm1Br16/&#10;ydOFiwfgUiNHJNE/Nlqh23ZnZltTHkHMmb4zvOXrBsk3zId75tAKeDCGJdxhqaRBEnO2KKmN+/Kv&#10;8xiPCsFLSYvWKqjGJFEi32tUDoBhMNxgbAdD79WtQa+OMYSWJxMXXJCDWTmjPmOCljEHXExzZCpo&#10;GMzb0Lc3JpCL5TIF7a1rdnV/AX1nWdjoB8tjmiikt8t9gJhJ4yhQr8pZN3ReqtJ5SmJr/7lPUY9/&#10;h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AKVIPQyAgAAYQQAAA4AAAAAAAAAAQAgAAAA&#10;NQEAAGRycy9lMm9Eb2MueG1sUEsFBgAAAAAGAAYAWQEAANkFAAAAAA==&#10;">
              <v:fill on="f" focussize="0,0"/>
              <v:stroke on="f" weight="0.5pt"/>
              <v:imagedata o:title=""/>
              <o:lock v:ext="edit" aspectratio="f"/>
              <v:textbox inset="0mm,0mm,0mm,0mm" style="mso-fit-shape-to-text:t;">
                <w:txbxContent>
                  <w:p>
                    <w:pPr>
                      <w:pStyle w:val="24"/>
                      <w:rPr>
                        <w:b w:val="0"/>
                        <w:bCs w:val="0"/>
                        <w:sz w:val="16"/>
                        <w:szCs w:val="18"/>
                      </w:rPr>
                    </w:pPr>
                    <w:r>
                      <w:rPr>
                        <w:b w:val="0"/>
                        <w:bCs w:val="0"/>
                        <w:sz w:val="16"/>
                        <w:szCs w:val="18"/>
                      </w:rPr>
                      <w:t xml:space="preserve">第 </w:t>
                    </w:r>
                    <w:r>
                      <w:rPr>
                        <w:b w:val="0"/>
                        <w:bCs w:val="0"/>
                        <w:sz w:val="16"/>
                        <w:szCs w:val="18"/>
                      </w:rPr>
                      <w:fldChar w:fldCharType="begin"/>
                    </w:r>
                    <w:r>
                      <w:rPr>
                        <w:b w:val="0"/>
                        <w:bCs w:val="0"/>
                        <w:sz w:val="16"/>
                        <w:szCs w:val="18"/>
                      </w:rPr>
                      <w:instrText xml:space="preserve"> PAGE  \* MERGEFORMAT </w:instrText>
                    </w:r>
                    <w:r>
                      <w:rPr>
                        <w:b w:val="0"/>
                        <w:bCs w:val="0"/>
                        <w:sz w:val="16"/>
                        <w:szCs w:val="18"/>
                      </w:rPr>
                      <w:fldChar w:fldCharType="separate"/>
                    </w:r>
                    <w:r>
                      <w:rPr>
                        <w:b w:val="0"/>
                        <w:bCs w:val="0"/>
                        <w:sz w:val="16"/>
                        <w:szCs w:val="18"/>
                      </w:rPr>
                      <w:t>2</w:t>
                    </w:r>
                    <w:r>
                      <w:rPr>
                        <w:b w:val="0"/>
                        <w:bCs w:val="0"/>
                        <w:sz w:val="16"/>
                        <w:szCs w:val="18"/>
                      </w:rPr>
                      <w:fldChar w:fldCharType="end"/>
                    </w:r>
                    <w:r>
                      <w:rPr>
                        <w:b w:val="0"/>
                        <w:bCs w:val="0"/>
                        <w:sz w:val="16"/>
                        <w:szCs w:val="18"/>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rPr>
        <w:rFonts w:hint="default"/>
        <w:lang w:val="en-US"/>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4"/>
                            <w:rPr>
                              <w:sz w:val="18"/>
                              <w:szCs w:val="20"/>
                            </w:rPr>
                          </w:pPr>
                          <w:r>
                            <w:rPr>
                              <w:sz w:val="18"/>
                              <w:szCs w:val="20"/>
                            </w:rPr>
                            <w:t xml:space="preserve">第 </w:t>
                          </w:r>
                          <w:r>
                            <w:rPr>
                              <w:sz w:val="18"/>
                              <w:szCs w:val="20"/>
                            </w:rPr>
                            <w:fldChar w:fldCharType="begin"/>
                          </w:r>
                          <w:r>
                            <w:rPr>
                              <w:sz w:val="18"/>
                              <w:szCs w:val="20"/>
                            </w:rPr>
                            <w:instrText xml:space="preserve"> PAGE  \* MERGEFORMAT </w:instrText>
                          </w:r>
                          <w:r>
                            <w:rPr>
                              <w:sz w:val="18"/>
                              <w:szCs w:val="20"/>
                            </w:rPr>
                            <w:fldChar w:fldCharType="separate"/>
                          </w:r>
                          <w:r>
                            <w:rPr>
                              <w:sz w:val="18"/>
                              <w:szCs w:val="20"/>
                            </w:rPr>
                            <w:t>1</w:t>
                          </w:r>
                          <w:r>
                            <w:rPr>
                              <w:sz w:val="18"/>
                              <w:szCs w:val="20"/>
                            </w:rPr>
                            <w:fldChar w:fldCharType="end"/>
                          </w:r>
                          <w:r>
                            <w:rPr>
                              <w:sz w:val="18"/>
                              <w:szCs w:val="20"/>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pqK+VMQIAAGM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ILdAIkMUyj4pfv3y4/fl1+fiU4g0C1C3PE7RwiY/PWNggezgMOE++m9Dp9wYjAD6zz&#10;VV7RRMLTpdl0NhvDxeEbNsDPHq87H+I7YTVJRk496tfKyk7bELvQISRlM3YjlWprqAypc3rz+s24&#10;vXD1AFwZ5EgkuscmKzb7pme2t8UZxLzteiM4vpFIvmUhPjCPZsCDMS7xHkupLJLY3qKksv7Lv85T&#10;PGoELyU1miunBrNEiXpvUDsAxsHwg7EfDHPUdxbdOsEYOt6auOCjGszSW/0ZM7RKOeBihiNTTuNg&#10;3sWuwTGDXKxWbdDReXmougvoPMfi1uwcT2mSkMGtjhFithongTpVet3Qe22V+jlJzf3nvo16/Dc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qaivlTECAABjBAAADgAAAAAAAAABACAAAAA1&#10;AQAAZHJzL2Uyb0RvYy54bWxQSwUGAAAAAAYABgBZAQAA2AUAAAAA&#10;">
              <v:fill on="f" focussize="0,0"/>
              <v:stroke on="f" weight="0.5pt"/>
              <v:imagedata o:title=""/>
              <o:lock v:ext="edit" aspectratio="f"/>
              <v:textbox inset="0mm,0mm,0mm,0mm" style="mso-fit-shape-to-text:t;">
                <w:txbxContent>
                  <w:p>
                    <w:pPr>
                      <w:pStyle w:val="24"/>
                      <w:rPr>
                        <w:sz w:val="18"/>
                        <w:szCs w:val="20"/>
                      </w:rPr>
                    </w:pPr>
                    <w:r>
                      <w:rPr>
                        <w:sz w:val="18"/>
                        <w:szCs w:val="20"/>
                      </w:rPr>
                      <w:t xml:space="preserve">第 </w:t>
                    </w:r>
                    <w:r>
                      <w:rPr>
                        <w:sz w:val="18"/>
                        <w:szCs w:val="20"/>
                      </w:rPr>
                      <w:fldChar w:fldCharType="begin"/>
                    </w:r>
                    <w:r>
                      <w:rPr>
                        <w:sz w:val="18"/>
                        <w:szCs w:val="20"/>
                      </w:rPr>
                      <w:instrText xml:space="preserve"> PAGE  \* MERGEFORMAT </w:instrText>
                    </w:r>
                    <w:r>
                      <w:rPr>
                        <w:sz w:val="18"/>
                        <w:szCs w:val="20"/>
                      </w:rPr>
                      <w:fldChar w:fldCharType="separate"/>
                    </w:r>
                    <w:r>
                      <w:rPr>
                        <w:sz w:val="18"/>
                        <w:szCs w:val="20"/>
                      </w:rPr>
                      <w:t>1</w:t>
                    </w:r>
                    <w:r>
                      <w:rPr>
                        <w:sz w:val="18"/>
                        <w:szCs w:val="20"/>
                      </w:rPr>
                      <w:fldChar w:fldCharType="end"/>
                    </w:r>
                    <w:r>
                      <w:rPr>
                        <w:sz w:val="18"/>
                        <w:szCs w:val="20"/>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right" w:pos="8928"/>
      </w:tabs>
      <w:jc w:val="left"/>
    </w:pPr>
    <w:r>
      <w:drawing>
        <wp:anchor distT="0" distB="0" distL="114300" distR="114300" simplePos="0" relativeHeight="251661312" behindDoc="1" locked="0" layoutInCell="1" allowOverlap="1">
          <wp:simplePos x="0" y="0"/>
          <wp:positionH relativeFrom="column">
            <wp:posOffset>-250190</wp:posOffset>
          </wp:positionH>
          <wp:positionV relativeFrom="paragraph">
            <wp:posOffset>-179070</wp:posOffset>
          </wp:positionV>
          <wp:extent cx="791210" cy="360680"/>
          <wp:effectExtent l="0" t="0" r="0" b="0"/>
          <wp:wrapTight wrapText="bothSides">
            <wp:wrapPolygon>
              <wp:start x="4854" y="1559"/>
              <wp:lineTo x="0" y="12473"/>
              <wp:lineTo x="0" y="18710"/>
              <wp:lineTo x="15949" y="20269"/>
              <wp:lineTo x="19416" y="20269"/>
              <wp:lineTo x="20109" y="18710"/>
              <wp:lineTo x="13868" y="1559"/>
              <wp:lineTo x="4854" y="1559"/>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791210" cy="360680"/>
                  </a:xfrm>
                  <a:prstGeom prst="rect">
                    <a:avLst/>
                  </a:prstGeom>
                </pic:spPr>
              </pic:pic>
            </a:graphicData>
          </a:graphic>
        </wp:anchor>
      </w:drawing>
    </w:r>
    <w:r>
      <w:rPr>
        <w:rFonts w:ascii="微软雅黑" w:hAnsi="微软雅黑" w:eastAsia="微软雅黑"/>
        <w:b w:val="0"/>
        <w:color w:val="123B56"/>
        <w:sz w:val="18"/>
      </w:rPr>
      <w:tab/>
    </w:r>
    <w:r>
      <w:rPr>
        <w:rFonts w:ascii="微软雅黑" w:hAnsi="微软雅黑" w:eastAsia="微软雅黑"/>
        <w:b w:val="0"/>
        <w:color w:val="123B56"/>
        <w:sz w:val="18"/>
      </w:rPr>
      <w:t>上饶银行支付系统业务中断故障处理报告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AF0EC7"/>
    <w:rsid w:val="7EF3D2B3"/>
    <w:rsid w:val="7EFE383E"/>
    <w:rsid w:val="7FF70449"/>
    <w:rsid w:val="BEF7AC3C"/>
    <w:rsid w:val="FB37A1F7"/>
    <w:rsid w:val="FCDFF0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ind w:firstLine="480"/>
    </w:pPr>
    <w:rPr>
      <w:rFonts w:ascii="微软雅黑" w:hAnsi="微软雅黑" w:eastAsia="微软雅黑" w:cstheme="minorBidi"/>
      <w:color w:val="1F2937"/>
      <w:sz w:val="24"/>
      <w:szCs w:val="22"/>
      <w:lang w:val="en-US" w:eastAsia="en-US" w:bidi="ar-SA"/>
    </w:rPr>
  </w:style>
  <w:style w:type="paragraph" w:styleId="3">
    <w:name w:val="heading 1"/>
    <w:basedOn w:val="1"/>
    <w:next w:val="1"/>
    <w:link w:val="138"/>
    <w:qFormat/>
    <w:uiPriority w:val="9"/>
    <w:pPr>
      <w:keepNext/>
      <w:keepLines/>
      <w:spacing w:before="240" w:after="120"/>
      <w:ind w:firstLine="0"/>
      <w:outlineLvl w:val="0"/>
    </w:pPr>
    <w:rPr>
      <w:rFonts w:asciiTheme="majorHAnsi" w:hAnsiTheme="majorHAnsi" w:eastAsiaTheme="majorEastAsia" w:cstheme="majorBidi" w:ascii="微软雅黑" w:hAnsi="微软雅黑" w:eastAsia="微软雅黑"/>
      <w:b/>
      <w:bCs/>
      <w:color w:val="123B56"/>
      <w:sz w:val="36"/>
      <w:szCs w:val="28"/>
    </w:rPr>
  </w:style>
  <w:style w:type="paragraph" w:styleId="4">
    <w:name w:val="heading 2"/>
    <w:basedOn w:val="1"/>
    <w:next w:val="1"/>
    <w:link w:val="139"/>
    <w:unhideWhenUsed/>
    <w:qFormat/>
    <w:uiPriority w:val="9"/>
    <w:pPr>
      <w:keepNext/>
      <w:keepLines/>
      <w:spacing w:before="240" w:after="120"/>
      <w:ind w:firstLine="0"/>
      <w:outlineLvl w:val="1"/>
    </w:pPr>
    <w:rPr>
      <w:rFonts w:asciiTheme="majorHAnsi" w:hAnsiTheme="majorHAnsi" w:eastAsiaTheme="majorEastAsia" w:cstheme="majorBidi" w:ascii="微软雅黑" w:hAnsi="微软雅黑" w:eastAsia="微软雅黑"/>
      <w:b/>
      <w:bCs/>
      <w:color w:val="1F2937"/>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40" w:after="120"/>
      <w:ind w:firstLine="0"/>
      <w:outlineLvl w:val="2"/>
    </w:pPr>
    <w:rPr>
      <w:rFonts w:asciiTheme="majorHAnsi" w:hAnsiTheme="majorHAnsi" w:eastAsiaTheme="majorEastAsia" w:cstheme="majorBidi" w:ascii="微软雅黑" w:hAnsi="微软雅黑" w:eastAsia="微软雅黑"/>
      <w:b/>
      <w:bCs/>
      <w:color w:val="1F2937"/>
      <w:sz w:val="30"/>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40" w:after="120"/>
      <w:ind w:firstLine="0"/>
      <w:outlineLvl w:val="3"/>
    </w:pPr>
    <w:rPr>
      <w:rFonts w:asciiTheme="majorHAnsi" w:hAnsiTheme="majorHAnsi" w:eastAsiaTheme="majorEastAsia" w:cstheme="majorBidi" w:ascii="微软雅黑" w:hAnsi="微软雅黑" w:eastAsia="微软雅黑"/>
      <w:b/>
      <w:bCs/>
      <w:i/>
      <w:iCs/>
      <w:color w:val="1F2937"/>
      <w:sz w:val="28"/>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2013-12-25T23:15:00Z</dcterms:created>
  <dc:creator>北京银信长远科技股份有限公司</dc:creator>
  <dc:description>基于 fault_context 全部材料生成的客户侧正式故障处理报告。</dc:description>
  <cp:lastModifiedBy>Codex</cp:lastModifiedBy>
  <dcterms:modified xsi:type="dcterms:W3CDTF">2026-05-01T13:14:57Z</dcterms:modified>
  <dc:subject>上饶银行支付系统业务中断故障处理、原因分析与后续建议</dc:subject>
  <dc:title>上饶银行支付系统业务中断故障处理报告</dc:title>
  <cp:revision>1</cp:revision>
  <cp:keywords>上饶银行;故障处理报告;SVC;存储镜像;支付系统</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0E09816EA567C7A7DF95EE69582BDD28_42</vt:lpwstr>
  </property>
</Properties>
</file>