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proofErr w:type="spellStart"/>
      <w:r w:rsidR="005D7EF8">
        <w:t>fb</w:t>
      </w:r>
      <w:r>
        <w:t>Notex</w:t>
      </w:r>
      <w:proofErr w:type="spellEnd"/>
      <w:r>
        <w:t xml:space="preserve"> 1.</w:t>
      </w:r>
      <w:r w:rsidR="00AA251D">
        <w:t>2</w:t>
      </w:r>
      <w:r>
        <w:t>.</w:t>
      </w:r>
      <w:r w:rsidR="00CC6927">
        <w:t>3</w:t>
      </w:r>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un grande quantitativo di note testuali </w:t>
      </w:r>
      <w:r w:rsidR="00BE723F">
        <w:t xml:space="preserve">e di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 xml:space="preserve">). </w:t>
      </w:r>
      <w:proofErr w:type="spellStart"/>
      <w:r w:rsidR="00CB4985">
        <w:t>fbNotex</w:t>
      </w:r>
      <w:proofErr w:type="spellEnd"/>
      <w:r w:rsidR="00CB4985">
        <w:t xml:space="preserve"> è</w:t>
      </w:r>
      <w:r w:rsidR="00266741">
        <w:t xml:space="preserve"> un </w:t>
      </w:r>
      <w:proofErr w:type="spellStart"/>
      <w:r w:rsidR="00266741" w:rsidRPr="00266741">
        <w:rPr>
          <w:i/>
        </w:rPr>
        <w:t>fork</w:t>
      </w:r>
      <w:proofErr w:type="spellEnd"/>
      <w:r w:rsidR="00266741">
        <w:t xml:space="preserve"> di </w:t>
      </w:r>
      <w:proofErr w:type="spellStart"/>
      <w:r w:rsidR="00266741">
        <w:t>sqlNotex</w:t>
      </w:r>
      <w:proofErr w:type="spellEnd"/>
      <w:r w:rsidR="00E2576F">
        <w:t xml:space="preserve"> compilato per </w:t>
      </w:r>
      <w:proofErr w:type="spellStart"/>
      <w:r w:rsidR="00E2576F">
        <w:t>macOS</w:t>
      </w:r>
      <w:proofErr w:type="spellEnd"/>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xml:space="preserve">, ed è possibile associare a ciascuna nota una lista di attività da svolgere, una serie di allegati (file di qualunque tipo), dei </w:t>
      </w:r>
      <w:proofErr w:type="spellStart"/>
      <w:r>
        <w:t>tag</w:t>
      </w:r>
      <w:proofErr w:type="spellEnd"/>
      <w:r>
        <w:t xml:space="preserve"> e dei collegamenti ad altre note. Le funzionalità di ricerca consentono di reperire le note desiderate a partire dal titolo, dal contenuto del testo, dalla data di modifica, dai </w:t>
      </w:r>
      <w:proofErr w:type="spellStart"/>
      <w:r>
        <w:t>tag</w:t>
      </w:r>
      <w:proofErr w:type="spellEnd"/>
      <w:r>
        <w:t>,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proofErr w:type="spellStart"/>
      <w:r w:rsidR="00BE5DB3" w:rsidRPr="00BE5DB3">
        <w:rPr>
          <w:i/>
        </w:rPr>
        <w:t>Markdown</w:t>
      </w:r>
      <w:proofErr w:type="spellEnd"/>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w:t>
      </w:r>
      <w:r w:rsidR="0027408D">
        <w:t xml:space="preserve"> </w:t>
      </w:r>
      <w:r w:rsidR="00912F86">
        <w:t xml:space="preserve"> la formattazione dei marcatori e la compilazione dei titoli, di cui si parla in seguito, vengono inibite per ragioni prestazionali attivando </w:t>
      </w:r>
      <w:r w:rsidR="006066D0">
        <w:t xml:space="preserve">automaticamente </w:t>
      </w:r>
      <w:r w:rsidR="00912F86">
        <w:t xml:space="preserve">la voce di menù </w:t>
      </w:r>
      <w:r w:rsidR="00912F86" w:rsidRPr="00912F86">
        <w:rPr>
          <w:i/>
        </w:rPr>
        <w:t>Strumenti – Testo semplice</w:t>
      </w:r>
      <w:r w:rsidR="00912F86">
        <w:t>.</w:t>
      </w:r>
    </w:p>
    <w:p w:rsidR="008F6DB5" w:rsidRDefault="001F1F13">
      <w:pPr>
        <w:pStyle w:val="Corpotesto"/>
      </w:pPr>
      <w:r>
        <w:t>Le possibili formattazioni del testo delle note</w:t>
      </w:r>
      <w:r w:rsidR="0026392A">
        <w:t xml:space="preserve"> </w:t>
      </w:r>
      <w:r>
        <w:t>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lastRenderedPageBreak/>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t>linee orizzontali.</w:t>
      </w:r>
    </w:p>
    <w:p w:rsidR="008F6DB5" w:rsidRDefault="008F6DB5">
      <w:pPr>
        <w:pStyle w:val="Corpotesto"/>
      </w:pPr>
    </w:p>
    <w:p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proofErr w:type="spellStart"/>
      <w:r>
        <w:t>fbNotes</w:t>
      </w:r>
      <w:proofErr w:type="spellEnd"/>
      <w:r>
        <w:t>:</w:t>
      </w:r>
    </w:p>
    <w:p w:rsidR="00845BDD" w:rsidRDefault="00845BDD" w:rsidP="00845BDD">
      <w:pPr>
        <w:pStyle w:val="Corpotesto"/>
      </w:pPr>
    </w:p>
    <w:p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r>
        <w:t>).</w:t>
      </w:r>
    </w:p>
    <w:p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r w:rsidR="00520132" w:rsidRPr="00520132">
        <w:rPr>
          <w:i/>
        </w:rPr>
        <w:t>libfbclient.dylib</w:t>
      </w:r>
      <w:proofErr w:type="spellEnd"/>
      <w:r w:rsidR="00520132" w:rsidRPr="00520132">
        <w:t>.</w:t>
      </w:r>
    </w:p>
    <w:p w:rsidR="00772432" w:rsidRDefault="00772432" w:rsidP="00772432">
      <w:pPr>
        <w:pStyle w:val="Corpotesto"/>
      </w:pPr>
    </w:p>
    <w:p w:rsidR="008F6DB5" w:rsidRDefault="001F1F13">
      <w:pPr>
        <w:pStyle w:val="Titolo1"/>
      </w:pPr>
      <w:r>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202D10" w:rsidP="00874C8D">
      <w:pPr>
        <w:pStyle w:val="Corpotesto"/>
        <w:jc w:val="center"/>
      </w:pPr>
      <w:r>
        <w:rPr>
          <w:noProof/>
        </w:rPr>
        <w:drawing>
          <wp:inline distT="0" distB="0" distL="0" distR="0">
            <wp:extent cx="6480810" cy="37109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t>
      </w:r>
      <w:r w:rsidR="00DF2AD5">
        <w:lastRenderedPageBreak/>
        <w:t>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t>I</w:t>
      </w:r>
      <w:r w:rsidR="001F1F13">
        <w:t xml:space="preserve">l nome degli allegati alla nota corrente (griglia in alto a destra) e i </w:t>
      </w:r>
      <w:proofErr w:type="spellStart"/>
      <w:r w:rsidR="001F1F13">
        <w:t>tag</w:t>
      </w:r>
      <w:proofErr w:type="spellEnd"/>
      <w:r w:rsidR="001F1F13">
        <w:t xml:space="preserve">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lastRenderedPageBreak/>
        <w:t>all’interno di una nota a piè pagina (ad es. [^1]: Questa è la nota): sposta il cursore al riferimento della nota all’interno del testo;</w:t>
      </w:r>
    </w:p>
    <w:p w:rsidR="008F6DB5" w:rsidRDefault="001F1F13">
      <w:pPr>
        <w:pStyle w:val="Corpotesto"/>
        <w:numPr>
          <w:ilvl w:val="1"/>
          <w:numId w:val="4"/>
        </w:numPr>
      </w:pPr>
      <w:r>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10000 al loro numero</w:t>
      </w:r>
      <w:r w:rsidR="00DA6076">
        <w:t xml:space="preserve"> per consentire all’utente di identificarle</w:t>
      </w:r>
      <w:r w:rsidR="00492C6F">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396A20" w:rsidP="00D018D4">
      <w:pPr>
        <w:pStyle w:val="Corpotesto"/>
        <w:jc w:val="center"/>
      </w:pPr>
      <w:r>
        <w:rPr>
          <w:noProof/>
        </w:rPr>
        <w:lastRenderedPageBreak/>
        <w:drawing>
          <wp:inline distT="0" distB="0" distL="0" distR="0">
            <wp:extent cx="6480810" cy="37109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037EA5" w:rsidRDefault="00037EA5">
      <w:pPr>
        <w:pStyle w:val="Corpotesto"/>
      </w:pPr>
    </w:p>
    <w:p w:rsidR="008F6DB5" w:rsidRDefault="001F1F13">
      <w:pPr>
        <w:pStyle w:val="Corpotesto"/>
      </w:pPr>
      <w:r>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396A20" w:rsidP="00D018D4">
      <w:pPr>
        <w:pStyle w:val="Corpotesto"/>
        <w:jc w:val="center"/>
      </w:pPr>
      <w:r>
        <w:rPr>
          <w:noProof/>
        </w:rPr>
        <w:lastRenderedPageBreak/>
        <w:drawing>
          <wp:inline distT="0" distB="0" distL="0" distR="0">
            <wp:extent cx="6480810" cy="44913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t>Titoli</w:t>
      </w:r>
    </w:p>
    <w:p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lastRenderedPageBreak/>
        <w:t>Aggiorna</w:t>
      </w:r>
      <w:r>
        <w:t>: aggiorna i dati del database, per visualizzare le modifiche effettuate da altri utenti in una rete locale.</w:t>
      </w:r>
    </w:p>
    <w:p w:rsidR="008F6DB5" w:rsidRDefault="001F1F13">
      <w:pPr>
        <w:pStyle w:val="Corpotesto"/>
      </w:pPr>
      <w:r>
        <w:rPr>
          <w:i/>
          <w:iCs/>
        </w:rPr>
        <w:t>Esporta le note delle sezione</w:t>
      </w:r>
      <w:r>
        <w:t xml:space="preserve">: consente di creare un file di testo contenente i dati delle note della sezione corrente, delle relative attività, </w:t>
      </w:r>
      <w:proofErr w:type="spellStart"/>
      <w:r>
        <w:t>tag</w:t>
      </w:r>
      <w:proofErr w:type="spellEnd"/>
      <w:r>
        <w:t xml:space="preserve"> ed allegati; questi, se presenti, vengono salvati in una cartella con lo stesso nome del file.</w:t>
      </w:r>
    </w:p>
    <w:p w:rsidR="008F6DB5" w:rsidRDefault="001F1F13">
      <w:pPr>
        <w:pStyle w:val="Corpotesto"/>
      </w:pPr>
      <w:r>
        <w:rPr>
          <w:i/>
          <w:iCs/>
        </w:rPr>
        <w:t>Importa le note nella sezione</w:t>
      </w:r>
      <w:r>
        <w:t xml:space="preserve">: consente di importare nella sezione corrente un file creato con la funzionalità precedente, contenente delle note con le relative attività, </w:t>
      </w:r>
      <w:proofErr w:type="spellStart"/>
      <w:r>
        <w:t>tag</w:t>
      </w:r>
      <w:proofErr w:type="spellEnd"/>
      <w:r>
        <w:t xml:space="preserve">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proofErr w:type="spellStart"/>
      <w:r w:rsidR="00AE53CF">
        <w:t>fbNotex</w:t>
      </w:r>
      <w:proofErr w:type="spellEnd"/>
      <w:r>
        <w:t>.</w:t>
      </w:r>
    </w:p>
    <w:p w:rsidR="008F6DB5" w:rsidRDefault="001F1F13">
      <w:pPr>
        <w:pStyle w:val="Titolo2"/>
      </w:pPr>
      <w:r>
        <w:t>Menù Modifica</w:t>
      </w:r>
    </w:p>
    <w:p w:rsidR="000D1673" w:rsidRPr="000D1673" w:rsidRDefault="000D1673">
      <w:pPr>
        <w:pStyle w:val="Corpotesto"/>
      </w:pPr>
      <w:r>
        <w:rPr>
          <w:i/>
          <w:iCs/>
        </w:rPr>
        <w:t>Taglia</w:t>
      </w:r>
      <w:r>
        <w:t>: taglia il testo selezionato in ritaglio.</w:t>
      </w:r>
    </w:p>
    <w:p w:rsidR="000D1673" w:rsidRPr="000D1673" w:rsidRDefault="000D1673">
      <w:pPr>
        <w:pStyle w:val="Corpotesto"/>
      </w:pPr>
      <w:r>
        <w:rPr>
          <w:i/>
          <w:iCs/>
        </w:rPr>
        <w:t>Copia</w:t>
      </w:r>
      <w:r>
        <w:t>: copia il testo selezionato in ritaglio.</w:t>
      </w:r>
    </w:p>
    <w:p w:rsidR="000D1673" w:rsidRPr="000D1673" w:rsidRDefault="000D1673">
      <w:pPr>
        <w:pStyle w:val="Corpotesto"/>
      </w:pPr>
      <w:r>
        <w:rPr>
          <w:i/>
          <w:iCs/>
        </w:rPr>
        <w:t>Incolla</w:t>
      </w:r>
      <w:r>
        <w:t>: incolla il testo in ritaglio.</w:t>
      </w:r>
    </w:p>
    <w:p w:rsidR="000D1673" w:rsidRPr="000D1673" w:rsidRDefault="000D1673">
      <w:pPr>
        <w:pStyle w:val="Corpotesto"/>
      </w:pPr>
      <w:r>
        <w:rPr>
          <w:i/>
          <w:iCs/>
        </w:rPr>
        <w:t>Seleziona tutto</w:t>
      </w:r>
      <w:r>
        <w:t>: seleziona tutto il testo della nota corrente.</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lastRenderedPageBreak/>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062BA6" w:rsidRDefault="001F1F13" w:rsidP="008F15CE">
      <w:pPr>
        <w:pStyle w:val="Corpotesto"/>
      </w:pPr>
      <w:r>
        <w:rPr>
          <w:i/>
          <w:iCs/>
        </w:rPr>
        <w:t>Mostra i segnalibri</w:t>
      </w:r>
      <w:r>
        <w:t>: mostra la maschera per la gestione dei segnalibri (vedi sopra).</w:t>
      </w:r>
    </w:p>
    <w:p w:rsidR="00062BA6" w:rsidRDefault="00062BA6">
      <w:pPr>
        <w:pStyle w:val="Corpotesto"/>
      </w:pP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t>Menù Note</w:t>
      </w:r>
    </w:p>
    <w:p w:rsidR="008F6DB5" w:rsidRDefault="001F1F13">
      <w:pPr>
        <w:pStyle w:val="Corpotesto"/>
      </w:pPr>
      <w:r>
        <w:rPr>
          <w:i/>
          <w:iCs/>
        </w:rPr>
        <w:t>Nuova</w:t>
      </w:r>
      <w:r>
        <w:t>: crea una nuova nota.</w:t>
      </w:r>
    </w:p>
    <w:p w:rsidR="008F6DB5" w:rsidRDefault="001F1F13">
      <w:pPr>
        <w:pStyle w:val="Corpotesto"/>
      </w:pPr>
      <w:r>
        <w:rPr>
          <w:i/>
          <w:iCs/>
        </w:rPr>
        <w:t>Elimina</w:t>
      </w:r>
      <w:r>
        <w:t xml:space="preserve">: elimina la nota corrente, con tutti gli eventuali allegati, </w:t>
      </w:r>
      <w:proofErr w:type="spellStart"/>
      <w:r>
        <w:t>tag</w:t>
      </w:r>
      <w:proofErr w:type="spellEnd"/>
      <w:r>
        <w:t xml:space="preserve">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lastRenderedPageBreak/>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w:t>
      </w:r>
      <w:proofErr w:type="spellStart"/>
      <w:r>
        <w:t>tag</w:t>
      </w:r>
      <w:proofErr w:type="spellEnd"/>
      <w:r>
        <w:t xml:space="preserve"> relativo alla nota corrente (voce </w:t>
      </w:r>
      <w:r>
        <w:rPr>
          <w:i/>
          <w:iCs/>
        </w:rPr>
        <w:t>Nuovo</w:t>
      </w:r>
      <w:r>
        <w:t xml:space="preserve">), di cancellarlo (voce </w:t>
      </w:r>
      <w:r>
        <w:rPr>
          <w:i/>
          <w:iCs/>
        </w:rPr>
        <w:t>Elimina</w:t>
      </w:r>
      <w:r>
        <w:t xml:space="preserve">) e di rinominare un </w:t>
      </w:r>
      <w:proofErr w:type="spellStart"/>
      <w:r>
        <w:t>tag</w:t>
      </w:r>
      <w:proofErr w:type="spellEnd"/>
      <w:r>
        <w:t xml:space="preserve"> in tutte le note presenti nel database (voce </w:t>
      </w:r>
      <w:r>
        <w:rPr>
          <w:i/>
          <w:iCs/>
        </w:rPr>
        <w:t xml:space="preserve">Rinomina </w:t>
      </w:r>
      <w:proofErr w:type="spellStart"/>
      <w:r>
        <w:rPr>
          <w:i/>
          <w:iCs/>
        </w:rPr>
        <w:t>tag</w:t>
      </w:r>
      <w:proofErr w:type="spellEnd"/>
      <w:r>
        <w:t xml:space="preserve">); è possibile inserire un </w:t>
      </w:r>
      <w:proofErr w:type="spellStart"/>
      <w:r>
        <w:t>tag</w:t>
      </w:r>
      <w:proofErr w:type="spellEnd"/>
      <w:r>
        <w:t xml:space="preserve"> anche selezionandolo nella lista dei </w:t>
      </w:r>
      <w:proofErr w:type="spellStart"/>
      <w:r>
        <w:t>tag</w:t>
      </w:r>
      <w:proofErr w:type="spellEnd"/>
      <w:r>
        <w:t xml:space="preserve"> all’interno della sezione </w:t>
      </w:r>
      <w:r>
        <w:rPr>
          <w:i/>
          <w:iCs/>
        </w:rPr>
        <w:t>Ricerca</w:t>
      </w:r>
      <w:r>
        <w:t xml:space="preserve">, facendo clic con il pulsante destro del mouse e scegliendo la voce di menù </w:t>
      </w:r>
      <w:r>
        <w:rPr>
          <w:i/>
          <w:iCs/>
        </w:rPr>
        <w:t xml:space="preserve">Inserisci </w:t>
      </w:r>
      <w:proofErr w:type="spellStart"/>
      <w:r>
        <w:rPr>
          <w:i/>
          <w:iCs/>
        </w:rPr>
        <w:t>tag</w:t>
      </w:r>
      <w:proofErr w:type="spellEnd"/>
      <w:r>
        <w:rPr>
          <w:i/>
          <w:iCs/>
        </w:rPr>
        <w:t xml:space="preserve">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non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lastRenderedPageBreak/>
        <w:t>caratteri o un valore differente specificato dall’utente nelle opzioni del software</w:t>
      </w:r>
      <w:r w:rsidR="00A66D9E">
        <w:t>; in questo caso l’utente deve riattivarla manualmente</w:t>
      </w:r>
      <w:r w:rsidR="00291334">
        <w:t xml:space="preserve"> con la corrente voce di menù</w:t>
      </w:r>
      <w:r w:rsidR="00A66D9E">
        <w:t>.</w:t>
      </w:r>
    </w:p>
    <w:p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l’eventuale file esistente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il file attualmente in uso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sudo che quella di SYSDBA. Questa opzione è attiva solo se il database è chiuso e se l’IP del server è </w:t>
      </w:r>
      <w:proofErr w:type="spellStart"/>
      <w:r w:rsidRPr="005D7EF8">
        <w:rPr>
          <w:i/>
          <w:iCs/>
        </w:rPr>
        <w:t>localhost</w:t>
      </w:r>
      <w:proofErr w:type="spellEnd"/>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703039" w:rsidP="00F42BFF">
      <w:pPr>
        <w:pStyle w:val="Corpotesto"/>
        <w:jc w:val="center"/>
      </w:pPr>
      <w:r>
        <w:rPr>
          <w:noProof/>
        </w:rPr>
        <w:drawing>
          <wp:inline distT="0" distB="0" distL="0" distR="0">
            <wp:extent cx="3396653" cy="3600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D018D4" w:rsidRDefault="00D018D4" w:rsidP="001C2D7B">
      <w:pPr>
        <w:pStyle w:val="Corpotesto"/>
      </w:pP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bookmarkStart w:id="0" w:name="_GoBack"/>
      <w:bookmarkEnd w:id="0"/>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E656E7" w:rsidRDefault="00E656E7">
      <w:pPr>
        <w:pStyle w:val="Corpotesto"/>
        <w:numPr>
          <w:ilvl w:val="0"/>
          <w:numId w:val="5"/>
        </w:numPr>
      </w:pPr>
      <w:r>
        <w:t xml:space="preserve">ripristinare i colori di default (bottone </w:t>
      </w:r>
      <w:r w:rsidR="002449A5" w:rsidRPr="002449A5">
        <w:rPr>
          <w:i/>
        </w:rPr>
        <w:t>Colori standard</w:t>
      </w:r>
      <w:r w:rsidR="002449A5">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2449A5" w:rsidRDefault="002449A5">
      <w:pPr>
        <w:pStyle w:val="Corpotesto"/>
        <w:numPr>
          <w:ilvl w:val="0"/>
          <w:numId w:val="5"/>
        </w:numPr>
      </w:pPr>
      <w:r>
        <w:lastRenderedPageBreak/>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marcatori e delle intestazioni (bottone </w:t>
      </w:r>
      <w:r w:rsidRPr="002449A5">
        <w:rPr>
          <w:i/>
        </w:rPr>
        <w:t>Colore marcatori e intestazioni</w:t>
      </w:r>
      <w:r>
        <w:t>);</w:t>
      </w:r>
    </w:p>
    <w:p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p>
    <w:p w:rsidR="00F764A9" w:rsidRDefault="00F764A9">
      <w:pPr>
        <w:pStyle w:val="Corpotesto"/>
        <w:numPr>
          <w:ilvl w:val="0"/>
          <w:numId w:val="5"/>
        </w:numPr>
      </w:pPr>
      <w:r>
        <w:t xml:space="preserve">specificare il numero di caratteri di una nota oltre il quale il software attiva automaticamente la modalità “testo semplice” con la voce di menù Strumento – Testo semplice (casella </w:t>
      </w:r>
      <w:r w:rsidRPr="00F764A9">
        <w:rPr>
          <w:i/>
        </w:rPr>
        <w:t>Testo semplice da</w:t>
      </w:r>
      <w:r>
        <w:t>)</w:t>
      </w:r>
    </w:p>
    <w:p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rsidR="00CA05EB" w:rsidRDefault="00CA05EB">
      <w:pPr>
        <w:pStyle w:val="Corpotesto"/>
        <w:numPr>
          <w:ilvl w:val="0"/>
          <w:numId w:val="5"/>
        </w:numPr>
      </w:pPr>
      <w:r>
        <w:t xml:space="preserve">specificare il percorso del file </w:t>
      </w:r>
      <w:proofErr w:type="spellStart"/>
      <w: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rsidR="008F6DB5" w:rsidRDefault="001F1F13">
      <w:pPr>
        <w:pStyle w:val="Corpotesto"/>
        <w:numPr>
          <w:ilvl w:val="0"/>
          <w:numId w:val="5"/>
        </w:numPr>
      </w:pPr>
      <w:r>
        <w:t xml:space="preserve">specificare l’indirizzo del server, che è </w:t>
      </w:r>
      <w:proofErr w:type="spellStart"/>
      <w: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0C1C14" w:rsidP="0083196C">
      <w:pPr>
        <w:pStyle w:val="Corpotesto"/>
        <w:jc w:val="center"/>
      </w:pPr>
      <w:r>
        <w:rPr>
          <w:noProof/>
        </w:rPr>
        <w:drawing>
          <wp:inline distT="0" distB="0" distL="0" distR="0">
            <wp:extent cx="6480810" cy="37109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971CE2" w:rsidRDefault="00971CE2">
      <w:pPr>
        <w:pStyle w:val="Corpotesto"/>
      </w:pPr>
    </w:p>
    <w:p w:rsidR="008F6DB5" w:rsidRDefault="001F1F13">
      <w:pPr>
        <w:pStyle w:val="Corpotesto"/>
      </w:pPr>
      <w:r>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lastRenderedPageBreak/>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rsidR="008F6DB5" w:rsidRDefault="001F1F13">
      <w:pPr>
        <w:pStyle w:val="Corpotesto"/>
        <w:numPr>
          <w:ilvl w:val="0"/>
          <w:numId w:val="6"/>
        </w:numPr>
      </w:pPr>
      <w:r>
        <w:rPr>
          <w:i/>
          <w:iCs/>
        </w:rPr>
        <w:t xml:space="preserve">I </w:t>
      </w:r>
      <w:proofErr w:type="spellStart"/>
      <w:r>
        <w:rPr>
          <w:i/>
          <w:iCs/>
        </w:rPr>
        <w:t>tags</w:t>
      </w:r>
      <w:proofErr w:type="spellEnd"/>
      <w:r>
        <w:rPr>
          <w:i/>
          <w:iCs/>
        </w:rPr>
        <w:t xml:space="preserve"> sono uguali a</w:t>
      </w:r>
      <w:r>
        <w:t xml:space="preserve">, per selezionare le note di cui almeno uno dei </w:t>
      </w:r>
      <w:proofErr w:type="spellStart"/>
      <w:r>
        <w:t>tag</w:t>
      </w:r>
      <w:proofErr w:type="spellEnd"/>
      <w:r>
        <w:t xml:space="preserve">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rsidR="008F6DB5" w:rsidRDefault="008F6DB5">
      <w:pPr>
        <w:pStyle w:val="Corpotesto"/>
      </w:pPr>
    </w:p>
    <w:p w:rsidR="008F6DB5" w:rsidRDefault="001F1F13">
      <w:pPr>
        <w:pStyle w:val="Corpotesto"/>
      </w:pPr>
      <w:r>
        <w:t xml:space="preserve">La clausola SQL non deve includere la parole </w:t>
      </w:r>
      <w:proofErr w:type="spellStart"/>
      <w:r>
        <w:rPr>
          <w:i/>
          <w:iCs/>
        </w:rPr>
        <w:t>where</w:t>
      </w:r>
      <w:proofErr w:type="spellEnd"/>
      <w:r>
        <w:rPr>
          <w:i/>
          <w:iCs/>
        </w:rPr>
        <w:t>,</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sections.comments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proofErr w:type="spellStart"/>
      <w:r w:rsidRPr="005D7EF8">
        <w:rPr>
          <w:sz w:val="22"/>
          <w:szCs w:val="22"/>
          <w:lang w:val="en-US"/>
        </w:rPr>
        <w:t>notes.modification_date</w:t>
      </w:r>
      <w:proofErr w:type="spellEnd"/>
      <w:r w:rsidRPr="005D7EF8">
        <w:rPr>
          <w:sz w:val="22"/>
          <w:szCs w:val="22"/>
          <w:lang w:val="en-US"/>
        </w:rPr>
        <w:t xml:space="preserv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tasks.done</w:t>
      </w:r>
      <w:proofErr w:type="spellEnd"/>
      <w:r w:rsidRPr="005D7EF8">
        <w:rPr>
          <w:sz w:val="22"/>
          <w:szCs w:val="22"/>
          <w:lang w:val="en-US"/>
        </w:rPr>
        <w:t xml:space="preserve"> </w:t>
      </w:r>
      <w:proofErr w:type="spellStart"/>
      <w:r w:rsidRPr="005D7EF8">
        <w:rPr>
          <w:i/>
          <w:iCs/>
          <w:sz w:val="22"/>
          <w:szCs w:val="22"/>
          <w:lang w:val="en-US"/>
        </w:rPr>
        <w:t>smallint</w:t>
      </w:r>
      <w:proofErr w:type="spellEnd"/>
    </w:p>
    <w:p w:rsidR="008F6DB5" w:rsidRPr="005D7EF8" w:rsidRDefault="001F1F13">
      <w:pPr>
        <w:pStyle w:val="Corpotesto"/>
        <w:ind w:firstLine="0"/>
        <w:rPr>
          <w:sz w:val="22"/>
          <w:szCs w:val="22"/>
          <w:lang w:val="en-US"/>
        </w:rPr>
      </w:pPr>
      <w:proofErr w:type="spellStart"/>
      <w:r w:rsidRPr="005D7EF8">
        <w:rPr>
          <w:sz w:val="22"/>
          <w:szCs w:val="22"/>
          <w:lang w:val="en-US"/>
        </w:rPr>
        <w:t>tasks.title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tasks.start_date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tasks.priority</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links.link_note</w:t>
      </w:r>
      <w:proofErr w:type="spellEnd"/>
      <w:r w:rsidRPr="005D7EF8">
        <w:rPr>
          <w:sz w:val="22"/>
          <w:szCs w:val="22"/>
          <w:lang w:val="en-US"/>
        </w:rPr>
        <w:t xml:space="preserv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r>
      <w:proofErr w:type="spellStart"/>
      <w:r w:rsidRPr="006458C4">
        <w:rPr>
          <w:lang w:val="en-US"/>
        </w:rPr>
        <w:t>notebooks.title</w:t>
      </w:r>
      <w:proofErr w:type="spell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r>
        <w:rPr>
          <w:i/>
          <w:iCs/>
        </w:rPr>
        <w:t>meetings</w:t>
      </w:r>
      <w:proofErr w:type="spellEnd"/>
      <w:r>
        <w:t xml:space="preserve">. Consultare la guida di </w:t>
      </w:r>
      <w:proofErr w:type="spellStart"/>
      <w:r>
        <w:t>Firebird</w:t>
      </w:r>
      <w:proofErr w:type="spellEnd"/>
      <w:r>
        <w:t xml:space="preserve"> per ulteriori indicazioni sull’uso della sintassi SQL.</w:t>
      </w:r>
    </w:p>
    <w:p w:rsidR="008F6DB5" w:rsidRDefault="001F1F13">
      <w:pPr>
        <w:pStyle w:val="Corpotesto"/>
      </w:pPr>
      <w:r>
        <w:t xml:space="preserve">Attivando l’opzione </w:t>
      </w:r>
      <w:r>
        <w:rPr>
          <w:i/>
          <w:iCs/>
        </w:rPr>
        <w:t>Solo nel quaderno corrente</w:t>
      </w:r>
      <w:r>
        <w:t>, la ricerca verrà limitata alle sole note del quaderno corrente.</w:t>
      </w:r>
    </w:p>
    <w:p w:rsidR="008F6DB5" w:rsidRDefault="001F1F13">
      <w:pPr>
        <w:pStyle w:val="Corpotesto"/>
      </w:pPr>
      <w:r>
        <w:lastRenderedPageBreak/>
        <w:t xml:space="preserve">Alla destra del campo di ricerca vi è la lista dei </w:t>
      </w:r>
      <w:proofErr w:type="spellStart"/>
      <w:r>
        <w:t>tag</w:t>
      </w:r>
      <w:proofErr w:type="spellEnd"/>
      <w:r>
        <w:t xml:space="preserve"> utilizzati nel database ordinati per nome. Facendo doppio clic o premendo </w:t>
      </w:r>
      <w:r>
        <w:rPr>
          <w:i/>
          <w:iCs/>
        </w:rPr>
        <w:t>Invio</w:t>
      </w:r>
      <w:r>
        <w:t xml:space="preserve"> sulla lista, il </w:t>
      </w:r>
      <w:proofErr w:type="spellStart"/>
      <w:r>
        <w:t>tag</w:t>
      </w:r>
      <w:proofErr w:type="spellEnd"/>
      <w:r>
        <w:t xml:space="preserve">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proofErr w:type="spellStart"/>
      <w:r w:rsidR="00BE5DB3" w:rsidRPr="00BE5DB3">
        <w:rPr>
          <w:i/>
          <w:iCs/>
        </w:rPr>
        <w:t>Markdown</w:t>
      </w:r>
      <w:proofErr w:type="spellEnd"/>
    </w:p>
    <w:p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49526E" w:rsidRDefault="001F1F13" w:rsidP="0049526E">
            <w:pPr>
              <w:pStyle w:val="Titolo2"/>
              <w:rPr>
                <w:i w:val="0"/>
                <w:color w:val="000000"/>
                <w:sz w:val="20"/>
                <w:szCs w:val="20"/>
              </w:rPr>
            </w:pPr>
            <w:r w:rsidRPr="0049526E">
              <w:rPr>
                <w:i w:val="0"/>
                <w:color w:val="000000"/>
                <w:sz w:val="20"/>
                <w:szCs w:val="20"/>
              </w:rPr>
              <w:t>Ogni ``` deve essere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2F6391" w:rsidRDefault="002F6391">
            <w:pPr>
              <w:pStyle w:val="Corpotesto"/>
              <w:ind w:firstLine="0"/>
              <w:rPr>
                <w:color w:val="000000"/>
                <w:sz w:val="20"/>
                <w:szCs w:val="20"/>
              </w:rPr>
            </w:pPr>
            <w:r>
              <w:rPr>
                <w:color w:val="000000"/>
                <w:sz w:val="20"/>
                <w:szCs w:val="20"/>
              </w:rPr>
              <w:t>1.[</w:t>
            </w:r>
            <w:proofErr w:type="spellStart"/>
            <w:r>
              <w:rPr>
                <w:color w:val="000000"/>
                <w:sz w:val="20"/>
                <w:szCs w:val="20"/>
              </w:rPr>
              <w:t>tab</w:t>
            </w:r>
            <w:proofErr w:type="spellEnd"/>
            <w:r>
              <w:rPr>
                <w:color w:val="000000"/>
                <w:sz w:val="20"/>
                <w:szCs w:val="20"/>
              </w:rPr>
              <w:t>][spazio]Elemento indentato.</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 </w:t>
            </w:r>
            <w:r w:rsidRPr="00BB6AFC">
              <w:rPr>
                <w:color w:val="000000"/>
                <w:sz w:val="20"/>
                <w:szCs w:val="20"/>
              </w:rPr>
              <w:t xml:space="preserve">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w:t>
                  </w:r>
                  <w:proofErr w:type="spellStart"/>
                  <w:r w:rsidRPr="00BB6AFC">
                    <w:rPr>
                      <w:color w:val="000000"/>
                      <w:sz w:val="20"/>
                      <w:szCs w:val="20"/>
                    </w:rPr>
                    <w:t>Sawyer</w:t>
                  </w:r>
                  <w:proofErr w:type="spellEnd"/>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 Si noti che questi marcatori verranno esportati come note 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w:t>
      </w:r>
      <w:r>
        <w:lastRenderedPageBreak/>
        <w:t xml:space="preserve">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proofErr w:type="spellStart"/>
      <w:r>
        <w:t>fbNotex</w:t>
      </w:r>
      <w:proofErr w:type="spellEnd"/>
      <w:r>
        <w:t xml:space="preserve"> integra al suo interno  una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A1F" w:rsidRDefault="007F3A1F">
      <w:r>
        <w:separator/>
      </w:r>
    </w:p>
  </w:endnote>
  <w:endnote w:type="continuationSeparator" w:id="0">
    <w:p w:rsidR="007F3A1F" w:rsidRDefault="007F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A1F" w:rsidRDefault="007F3A1F">
      <w:r>
        <w:separator/>
      </w:r>
    </w:p>
  </w:footnote>
  <w:footnote w:type="continuationSeparator" w:id="0">
    <w:p w:rsidR="007F3A1F" w:rsidRDefault="007F3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24A26"/>
    <w:rsid w:val="00037EA5"/>
    <w:rsid w:val="00043C09"/>
    <w:rsid w:val="000546F8"/>
    <w:rsid w:val="00062BA6"/>
    <w:rsid w:val="00092019"/>
    <w:rsid w:val="000C1C14"/>
    <w:rsid w:val="000D1673"/>
    <w:rsid w:val="000D66E1"/>
    <w:rsid w:val="000D6BB8"/>
    <w:rsid w:val="000D739E"/>
    <w:rsid w:val="000D7DF1"/>
    <w:rsid w:val="000F61AB"/>
    <w:rsid w:val="00100E09"/>
    <w:rsid w:val="001234F4"/>
    <w:rsid w:val="00167E0C"/>
    <w:rsid w:val="00171325"/>
    <w:rsid w:val="001736FB"/>
    <w:rsid w:val="001842EC"/>
    <w:rsid w:val="00194C7E"/>
    <w:rsid w:val="0019548E"/>
    <w:rsid w:val="001A1039"/>
    <w:rsid w:val="001B7FC3"/>
    <w:rsid w:val="001C2D7B"/>
    <w:rsid w:val="001F1F13"/>
    <w:rsid w:val="00202D10"/>
    <w:rsid w:val="002449A5"/>
    <w:rsid w:val="00247CE2"/>
    <w:rsid w:val="0026388C"/>
    <w:rsid w:val="0026392A"/>
    <w:rsid w:val="00266741"/>
    <w:rsid w:val="0027408D"/>
    <w:rsid w:val="00291334"/>
    <w:rsid w:val="00294142"/>
    <w:rsid w:val="002B7027"/>
    <w:rsid w:val="002C2198"/>
    <w:rsid w:val="002C7897"/>
    <w:rsid w:val="002D0A82"/>
    <w:rsid w:val="002F6391"/>
    <w:rsid w:val="00304A37"/>
    <w:rsid w:val="0032532A"/>
    <w:rsid w:val="00371B32"/>
    <w:rsid w:val="003938EE"/>
    <w:rsid w:val="00396A20"/>
    <w:rsid w:val="003B78A5"/>
    <w:rsid w:val="003E43AF"/>
    <w:rsid w:val="003F6478"/>
    <w:rsid w:val="00414B4D"/>
    <w:rsid w:val="004232A5"/>
    <w:rsid w:val="00425FBB"/>
    <w:rsid w:val="00433F48"/>
    <w:rsid w:val="004500FA"/>
    <w:rsid w:val="00453023"/>
    <w:rsid w:val="004678AE"/>
    <w:rsid w:val="00487E2C"/>
    <w:rsid w:val="00492C6F"/>
    <w:rsid w:val="0049526E"/>
    <w:rsid w:val="004B1613"/>
    <w:rsid w:val="004C14B5"/>
    <w:rsid w:val="004F729A"/>
    <w:rsid w:val="005043DA"/>
    <w:rsid w:val="0051216B"/>
    <w:rsid w:val="00520132"/>
    <w:rsid w:val="00543C21"/>
    <w:rsid w:val="00582F29"/>
    <w:rsid w:val="005A4BEB"/>
    <w:rsid w:val="005A6FE0"/>
    <w:rsid w:val="005C1356"/>
    <w:rsid w:val="005D4B2A"/>
    <w:rsid w:val="005D7EF8"/>
    <w:rsid w:val="005E5D45"/>
    <w:rsid w:val="006066D0"/>
    <w:rsid w:val="0061052E"/>
    <w:rsid w:val="00622331"/>
    <w:rsid w:val="006327EC"/>
    <w:rsid w:val="006458C4"/>
    <w:rsid w:val="0065463A"/>
    <w:rsid w:val="00677B83"/>
    <w:rsid w:val="006934DA"/>
    <w:rsid w:val="006A6D96"/>
    <w:rsid w:val="006E0A5E"/>
    <w:rsid w:val="00703039"/>
    <w:rsid w:val="0070664F"/>
    <w:rsid w:val="00716F4C"/>
    <w:rsid w:val="0072493D"/>
    <w:rsid w:val="00734558"/>
    <w:rsid w:val="007627C0"/>
    <w:rsid w:val="00765C6E"/>
    <w:rsid w:val="00772432"/>
    <w:rsid w:val="00775E7B"/>
    <w:rsid w:val="007A449C"/>
    <w:rsid w:val="007C55C5"/>
    <w:rsid w:val="007D205A"/>
    <w:rsid w:val="007D5EB3"/>
    <w:rsid w:val="007F3A1F"/>
    <w:rsid w:val="00804F95"/>
    <w:rsid w:val="0083107B"/>
    <w:rsid w:val="0083196C"/>
    <w:rsid w:val="008340C2"/>
    <w:rsid w:val="00845643"/>
    <w:rsid w:val="00845BDD"/>
    <w:rsid w:val="008529BE"/>
    <w:rsid w:val="00853E9F"/>
    <w:rsid w:val="00874C8D"/>
    <w:rsid w:val="00887992"/>
    <w:rsid w:val="00893687"/>
    <w:rsid w:val="0089430C"/>
    <w:rsid w:val="008B45FA"/>
    <w:rsid w:val="008B5FF4"/>
    <w:rsid w:val="008B6241"/>
    <w:rsid w:val="008C4350"/>
    <w:rsid w:val="008F15CE"/>
    <w:rsid w:val="008F6DB5"/>
    <w:rsid w:val="00912F86"/>
    <w:rsid w:val="009231B5"/>
    <w:rsid w:val="00925F6A"/>
    <w:rsid w:val="009357AB"/>
    <w:rsid w:val="00954C89"/>
    <w:rsid w:val="0096578E"/>
    <w:rsid w:val="00965D5F"/>
    <w:rsid w:val="009665F6"/>
    <w:rsid w:val="00971CE2"/>
    <w:rsid w:val="0098018E"/>
    <w:rsid w:val="00994C60"/>
    <w:rsid w:val="009A464C"/>
    <w:rsid w:val="009B5A8A"/>
    <w:rsid w:val="009F16F4"/>
    <w:rsid w:val="00A47028"/>
    <w:rsid w:val="00A5185B"/>
    <w:rsid w:val="00A66D9E"/>
    <w:rsid w:val="00AA251D"/>
    <w:rsid w:val="00AB6191"/>
    <w:rsid w:val="00AE53CF"/>
    <w:rsid w:val="00AF588F"/>
    <w:rsid w:val="00B34DA3"/>
    <w:rsid w:val="00B3564F"/>
    <w:rsid w:val="00B37B6F"/>
    <w:rsid w:val="00B83004"/>
    <w:rsid w:val="00BA23F0"/>
    <w:rsid w:val="00BA4E80"/>
    <w:rsid w:val="00BB0973"/>
    <w:rsid w:val="00BB419B"/>
    <w:rsid w:val="00BB6AFC"/>
    <w:rsid w:val="00BD1403"/>
    <w:rsid w:val="00BE5DB3"/>
    <w:rsid w:val="00BE723F"/>
    <w:rsid w:val="00BF22E3"/>
    <w:rsid w:val="00C356AB"/>
    <w:rsid w:val="00C46559"/>
    <w:rsid w:val="00C514C0"/>
    <w:rsid w:val="00C756DA"/>
    <w:rsid w:val="00C82C92"/>
    <w:rsid w:val="00C8345B"/>
    <w:rsid w:val="00C9328E"/>
    <w:rsid w:val="00CA05EB"/>
    <w:rsid w:val="00CA1592"/>
    <w:rsid w:val="00CB4985"/>
    <w:rsid w:val="00CC6927"/>
    <w:rsid w:val="00CF2CFA"/>
    <w:rsid w:val="00D018D4"/>
    <w:rsid w:val="00D35D32"/>
    <w:rsid w:val="00D965DC"/>
    <w:rsid w:val="00DA6076"/>
    <w:rsid w:val="00DB0026"/>
    <w:rsid w:val="00DE4BA7"/>
    <w:rsid w:val="00DF2AD5"/>
    <w:rsid w:val="00E2166B"/>
    <w:rsid w:val="00E2576F"/>
    <w:rsid w:val="00E32A1B"/>
    <w:rsid w:val="00E656E7"/>
    <w:rsid w:val="00E7780E"/>
    <w:rsid w:val="00E8407A"/>
    <w:rsid w:val="00EA30B1"/>
    <w:rsid w:val="00EA3940"/>
    <w:rsid w:val="00EC0D56"/>
    <w:rsid w:val="00EC30E2"/>
    <w:rsid w:val="00EE6D1F"/>
    <w:rsid w:val="00F0696A"/>
    <w:rsid w:val="00F1774F"/>
    <w:rsid w:val="00F22927"/>
    <w:rsid w:val="00F3393C"/>
    <w:rsid w:val="00F42BFF"/>
    <w:rsid w:val="00F764A9"/>
    <w:rsid w:val="00F775E4"/>
    <w:rsid w:val="00F81810"/>
    <w:rsid w:val="00F8739A"/>
    <w:rsid w:val="00FA016D"/>
    <w:rsid w:val="00FA2F76"/>
    <w:rsid w:val="00FA3238"/>
    <w:rsid w:val="00FD2F33"/>
    <w:rsid w:val="00FE6F67"/>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E90A1ED"/>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16</Pages>
  <Words>5154</Words>
  <Characters>29378</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53</cp:revision>
  <cp:lastPrinted>2020-04-11T12:07:00Z</cp:lastPrinted>
  <dcterms:created xsi:type="dcterms:W3CDTF">2020-04-11T12:07:00Z</dcterms:created>
  <dcterms:modified xsi:type="dcterms:W3CDTF">2020-06-20T08:37:00Z</dcterms:modified>
  <dc:language>it-IT</dc:language>
</cp:coreProperties>
</file>