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23D51D" w14:textId="77777777" w:rsidR="00EB31B3" w:rsidRDefault="00000000">
      <w:pPr>
        <w:rPr>
          <w:color w:val="4A4A4A"/>
          <w:sz w:val="84"/>
          <w:szCs w:val="84"/>
        </w:rPr>
      </w:pPr>
      <w:r>
        <w:rPr>
          <w:rFonts w:hint="eastAsia"/>
          <w:color w:val="4A4A4A"/>
          <w:sz w:val="84"/>
          <w:szCs w:val="84"/>
        </w:rPr>
        <w:t xml:space="preserve">     </w:t>
      </w:r>
    </w:p>
    <w:p w14:paraId="39B39ADE" w14:textId="77777777" w:rsidR="00EB31B3" w:rsidRDefault="009B068F">
      <w:pPr>
        <w:jc w:val="center"/>
        <w:rPr>
          <w:rFonts w:ascii="华文新魏" w:eastAsia="华文新魏"/>
          <w:sz w:val="48"/>
          <w:szCs w:val="48"/>
        </w:rPr>
      </w:pPr>
      <w:r w:rsidRPr="009B068F">
        <w:rPr>
          <w:noProof/>
          <w:sz w:val="48"/>
          <w:szCs w:val="48"/>
        </w:rPr>
        <w:pict w14:anchorId="4B2B0A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70.85pt;height:40.9pt;visibility:visible;mso-wrap-style:square">
            <v:imagedata r:id="rId4" o:title=""/>
            <o:lock v:ext="edit" rotation="t" cropping="t" verticies="t"/>
          </v:shape>
        </w:pict>
      </w:r>
    </w:p>
    <w:p w14:paraId="3A490E9D" w14:textId="77777777" w:rsidR="00EB31B3" w:rsidRDefault="00EB31B3">
      <w:pPr>
        <w:jc w:val="center"/>
        <w:rPr>
          <w:rFonts w:ascii="华文新魏" w:eastAsia="华文新魏"/>
          <w:sz w:val="48"/>
          <w:szCs w:val="48"/>
        </w:rPr>
      </w:pPr>
    </w:p>
    <w:p w14:paraId="1FC28051" w14:textId="77777777" w:rsidR="00EB31B3" w:rsidRDefault="00000000">
      <w:pPr>
        <w:jc w:val="center"/>
        <w:rPr>
          <w:rFonts w:ascii="宋体" w:hAnsi="宋体"/>
          <w:b/>
          <w:sz w:val="52"/>
          <w:szCs w:val="52"/>
        </w:rPr>
      </w:pPr>
      <w:r>
        <w:rPr>
          <w:rFonts w:hint="eastAsia"/>
          <w:b/>
          <w:sz w:val="52"/>
          <w:szCs w:val="52"/>
        </w:rPr>
        <w:t>专业硕士学位研究生</w:t>
      </w:r>
    </w:p>
    <w:p w14:paraId="2F0F60F9" w14:textId="67C4F6EB" w:rsidR="00EB31B3" w:rsidRPr="00E65AEA" w:rsidRDefault="00000000" w:rsidP="00E65AEA">
      <w:pPr>
        <w:jc w:val="center"/>
        <w:rPr>
          <w:rFonts w:ascii="宋体" w:hAnsi="宋体" w:hint="eastAsia"/>
          <w:b/>
          <w:sz w:val="52"/>
          <w:szCs w:val="52"/>
        </w:rPr>
      </w:pPr>
      <w:r>
        <w:rPr>
          <w:rFonts w:hint="eastAsia"/>
          <w:b/>
          <w:sz w:val="52"/>
          <w:szCs w:val="52"/>
        </w:rPr>
        <w:t>学位论文开题报告</w:t>
      </w:r>
    </w:p>
    <w:p w14:paraId="7C080785" w14:textId="77777777" w:rsidR="00EB31B3" w:rsidRDefault="00000000">
      <w:pPr>
        <w:spacing w:line="860" w:lineRule="exact"/>
        <w:ind w:firstLineChars="400" w:firstLine="1240"/>
        <w:jc w:val="center"/>
        <w:rPr>
          <w:b/>
          <w:sz w:val="36"/>
          <w:szCs w:val="36"/>
        </w:rPr>
      </w:pPr>
      <w:r>
        <w:rPr>
          <w:rFonts w:cs="仿宋_GB2312"/>
          <w:b/>
          <w:sz w:val="31"/>
        </w:rPr>
        <w:t>论文题目：基于物联网与协同控制的智能水肥一体化管控系统设计与实现</w:t>
      </w:r>
      <w:r>
        <w:rPr>
          <w:rFonts w:cs="仿宋_GB2312"/>
          <w:b/>
          <w:sz w:val="31"/>
        </w:rPr>
        <w:t>——</w:t>
      </w:r>
      <w:r>
        <w:rPr>
          <w:rFonts w:cs="仿宋_GB2312"/>
          <w:b/>
          <w:sz w:val="31"/>
        </w:rPr>
        <w:t>以红壤丘陵区为例</w:t>
      </w:r>
    </w:p>
    <w:p w14:paraId="5B157C11" w14:textId="77777777" w:rsidR="00EB31B3" w:rsidRDefault="00000000">
      <w:pPr>
        <w:tabs>
          <w:tab w:val="left" w:pos="2370"/>
        </w:tabs>
        <w:spacing w:line="860" w:lineRule="exact"/>
        <w:rPr>
          <w:b/>
          <w:sz w:val="36"/>
          <w:szCs w:val="36"/>
          <w:u w:val="single"/>
        </w:rPr>
      </w:pPr>
      <w:r>
        <w:rPr>
          <w:rFonts w:hint="eastAsia"/>
          <w:b/>
          <w:sz w:val="36"/>
          <w:szCs w:val="36"/>
        </w:rPr>
        <w:t xml:space="preserve">          </w:t>
      </w:r>
      <w:r>
        <w:rPr>
          <w:rFonts w:hint="eastAsia"/>
          <w:b/>
          <w:sz w:val="36"/>
          <w:szCs w:val="36"/>
        </w:rPr>
        <w:t>研究生姓名：</w:t>
      </w:r>
      <w:r>
        <w:rPr>
          <w:rFonts w:hint="eastAsia"/>
          <w:b/>
          <w:sz w:val="36"/>
          <w:szCs w:val="36"/>
          <w:u w:val="single"/>
        </w:rPr>
        <w:t xml:space="preserve">     </w:t>
      </w:r>
      <w:r w:rsidR="00CA6625">
        <w:rPr>
          <w:rFonts w:hint="eastAsia"/>
          <w:b/>
          <w:sz w:val="36"/>
          <w:szCs w:val="36"/>
          <w:u w:val="single"/>
        </w:rPr>
        <w:t>郭众鑫</w:t>
      </w:r>
      <w:r>
        <w:rPr>
          <w:rFonts w:hint="eastAsia"/>
          <w:b/>
          <w:sz w:val="36"/>
          <w:szCs w:val="36"/>
          <w:u w:val="single"/>
        </w:rPr>
        <w:t xml:space="preserve">     </w:t>
      </w:r>
      <w:r w:rsidR="00CA6625">
        <w:rPr>
          <w:rFonts w:hint="eastAsia"/>
          <w:b/>
          <w:sz w:val="36"/>
          <w:szCs w:val="36"/>
          <w:u w:val="single"/>
        </w:rPr>
        <w:t xml:space="preserve">  </w:t>
      </w:r>
    </w:p>
    <w:p w14:paraId="624570AA" w14:textId="77777777" w:rsidR="00EB31B3" w:rsidRDefault="00000000">
      <w:pPr>
        <w:spacing w:line="860" w:lineRule="exact"/>
        <w:rPr>
          <w:b/>
          <w:sz w:val="36"/>
          <w:szCs w:val="36"/>
          <w:u w:val="single"/>
        </w:rPr>
      </w:pPr>
      <w:r>
        <w:rPr>
          <w:rFonts w:hint="eastAsia"/>
          <w:b/>
          <w:sz w:val="36"/>
          <w:szCs w:val="36"/>
        </w:rPr>
        <w:t xml:space="preserve">          </w:t>
      </w:r>
      <w:r>
        <w:rPr>
          <w:rFonts w:hint="eastAsia"/>
          <w:b/>
          <w:spacing w:val="30"/>
          <w:kern w:val="0"/>
          <w:sz w:val="36"/>
          <w:szCs w:val="36"/>
          <w:fitText w:val="2166" w:id="355804416"/>
        </w:rPr>
        <w:t>学</w:t>
      </w:r>
      <w:r>
        <w:rPr>
          <w:rFonts w:hint="eastAsia"/>
          <w:b/>
          <w:spacing w:val="30"/>
          <w:kern w:val="0"/>
          <w:sz w:val="36"/>
          <w:szCs w:val="36"/>
          <w:fitText w:val="2166" w:id="355804416"/>
        </w:rPr>
        <w:t xml:space="preserve">    </w:t>
      </w:r>
      <w:r>
        <w:rPr>
          <w:rFonts w:hint="eastAsia"/>
          <w:b/>
          <w:spacing w:val="30"/>
          <w:kern w:val="0"/>
          <w:sz w:val="36"/>
          <w:szCs w:val="36"/>
          <w:fitText w:val="2166" w:id="355804416"/>
        </w:rPr>
        <w:t>号</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2506301006</w:t>
      </w:r>
      <w:r>
        <w:rPr>
          <w:rFonts w:hint="eastAsia"/>
          <w:b/>
          <w:sz w:val="36"/>
          <w:szCs w:val="36"/>
          <w:u w:val="single"/>
        </w:rPr>
        <w:t xml:space="preserve">  </w:t>
      </w:r>
      <w:r w:rsidR="00CA6625">
        <w:rPr>
          <w:rFonts w:hint="eastAsia"/>
          <w:b/>
          <w:sz w:val="36"/>
          <w:szCs w:val="36"/>
          <w:u w:val="single"/>
        </w:rPr>
        <w:t xml:space="preserve">  </w:t>
      </w:r>
    </w:p>
    <w:p w14:paraId="1D001775" w14:textId="77777777" w:rsidR="00EB31B3" w:rsidRDefault="00000000">
      <w:pPr>
        <w:spacing w:line="860" w:lineRule="exact"/>
        <w:rPr>
          <w:b/>
          <w:sz w:val="36"/>
          <w:szCs w:val="36"/>
          <w:u w:val="single"/>
        </w:rPr>
      </w:pPr>
      <w:r>
        <w:rPr>
          <w:rFonts w:hint="eastAsia"/>
          <w:b/>
          <w:sz w:val="36"/>
          <w:szCs w:val="36"/>
        </w:rPr>
        <w:t xml:space="preserve">          </w:t>
      </w:r>
      <w:r>
        <w:rPr>
          <w:rFonts w:hint="eastAsia"/>
          <w:b/>
          <w:spacing w:val="45"/>
          <w:kern w:val="0"/>
          <w:sz w:val="36"/>
          <w:szCs w:val="36"/>
          <w:fitText w:val="2166" w:id="355804416"/>
        </w:rPr>
        <w:t>校内导师</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罗志扬</w:t>
      </w:r>
      <w:r>
        <w:rPr>
          <w:rFonts w:hint="eastAsia"/>
          <w:b/>
          <w:sz w:val="36"/>
          <w:szCs w:val="36"/>
          <w:u w:val="single"/>
        </w:rPr>
        <w:t xml:space="preserve">     </w:t>
      </w:r>
      <w:r w:rsidR="00CA6625">
        <w:rPr>
          <w:rFonts w:hint="eastAsia"/>
          <w:b/>
          <w:sz w:val="36"/>
          <w:szCs w:val="36"/>
          <w:u w:val="single"/>
        </w:rPr>
        <w:t xml:space="preserve"> </w:t>
      </w:r>
      <w:r>
        <w:rPr>
          <w:rFonts w:hint="eastAsia"/>
          <w:b/>
          <w:sz w:val="36"/>
          <w:szCs w:val="36"/>
          <w:u w:val="single"/>
        </w:rPr>
        <w:t xml:space="preserve"> </w:t>
      </w:r>
    </w:p>
    <w:p w14:paraId="279093FC" w14:textId="77777777" w:rsidR="00EB31B3" w:rsidRDefault="00000000">
      <w:pPr>
        <w:spacing w:line="860" w:lineRule="exact"/>
        <w:ind w:firstLineChars="400" w:firstLine="1800"/>
        <w:rPr>
          <w:b/>
          <w:sz w:val="36"/>
          <w:szCs w:val="36"/>
        </w:rPr>
      </w:pPr>
      <w:r>
        <w:rPr>
          <w:rFonts w:hint="eastAsia"/>
          <w:b/>
          <w:spacing w:val="45"/>
          <w:kern w:val="0"/>
          <w:sz w:val="36"/>
          <w:szCs w:val="36"/>
          <w:fitText w:val="2166" w:id="355804416"/>
        </w:rPr>
        <w:t>校外导师</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 xml:space="preserve"> </w:t>
      </w:r>
      <w:r>
        <w:rPr>
          <w:rFonts w:hint="eastAsia"/>
          <w:b/>
          <w:sz w:val="36"/>
          <w:szCs w:val="36"/>
          <w:u w:val="single"/>
        </w:rPr>
        <w:t xml:space="preserve"> </w:t>
      </w:r>
    </w:p>
    <w:p w14:paraId="7089F207" w14:textId="77777777" w:rsidR="00EB31B3" w:rsidRDefault="00000000">
      <w:pPr>
        <w:spacing w:line="860" w:lineRule="exact"/>
        <w:rPr>
          <w:b/>
          <w:sz w:val="36"/>
          <w:szCs w:val="36"/>
          <w:u w:val="single"/>
        </w:rPr>
      </w:pPr>
      <w:r>
        <w:rPr>
          <w:rFonts w:hint="eastAsia"/>
          <w:b/>
          <w:sz w:val="36"/>
          <w:szCs w:val="36"/>
        </w:rPr>
        <w:t xml:space="preserve">          </w:t>
      </w:r>
      <w:r>
        <w:rPr>
          <w:rFonts w:hint="eastAsia"/>
          <w:b/>
          <w:spacing w:val="45"/>
          <w:kern w:val="0"/>
          <w:sz w:val="36"/>
          <w:szCs w:val="36"/>
          <w:fitText w:val="2166" w:id="355804416"/>
        </w:rPr>
        <w:t>研究方向</w:t>
      </w:r>
      <w:r>
        <w:rPr>
          <w:rFonts w:hint="eastAsia"/>
          <w:b/>
          <w:spacing w:val="3"/>
          <w:kern w:val="0"/>
          <w:sz w:val="36"/>
          <w:szCs w:val="36"/>
          <w:fitText w:val="2166" w:id="355804416"/>
        </w:rPr>
        <w:t>：</w:t>
      </w:r>
      <w:r>
        <w:rPr>
          <w:rFonts w:hint="eastAsia"/>
          <w:b/>
          <w:sz w:val="36"/>
          <w:szCs w:val="36"/>
          <w:u w:val="single"/>
        </w:rPr>
        <w:t xml:space="preserve">                  </w:t>
      </w:r>
    </w:p>
    <w:p w14:paraId="7716DB52" w14:textId="77777777" w:rsidR="00EB31B3" w:rsidRDefault="00000000">
      <w:pPr>
        <w:spacing w:line="860" w:lineRule="exact"/>
        <w:ind w:firstLineChars="400" w:firstLine="1800"/>
        <w:rPr>
          <w:b/>
          <w:sz w:val="36"/>
          <w:szCs w:val="36"/>
          <w:u w:val="single"/>
        </w:rPr>
      </w:pPr>
      <w:r>
        <w:rPr>
          <w:rFonts w:hint="eastAsia"/>
          <w:b/>
          <w:spacing w:val="45"/>
          <w:kern w:val="0"/>
          <w:sz w:val="36"/>
          <w:szCs w:val="36"/>
          <w:fitText w:val="2166" w:id="355804416"/>
        </w:rPr>
        <w:t>入学年月</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2025</w:t>
      </w:r>
      <w:r w:rsidR="00CA6625">
        <w:rPr>
          <w:rFonts w:hint="eastAsia"/>
          <w:b/>
          <w:sz w:val="36"/>
          <w:szCs w:val="36"/>
          <w:u w:val="single"/>
        </w:rPr>
        <w:t>年</w:t>
      </w:r>
      <w:r w:rsidR="00CA6625">
        <w:rPr>
          <w:rFonts w:hint="eastAsia"/>
          <w:b/>
          <w:sz w:val="36"/>
          <w:szCs w:val="36"/>
          <w:u w:val="single"/>
        </w:rPr>
        <w:t>9</w:t>
      </w:r>
      <w:r w:rsidR="00CA6625">
        <w:rPr>
          <w:rFonts w:hint="eastAsia"/>
          <w:b/>
          <w:sz w:val="36"/>
          <w:szCs w:val="36"/>
          <w:u w:val="single"/>
        </w:rPr>
        <w:t>月</w:t>
      </w:r>
      <w:r>
        <w:rPr>
          <w:rFonts w:hint="eastAsia"/>
          <w:b/>
          <w:sz w:val="36"/>
          <w:szCs w:val="36"/>
          <w:u w:val="single"/>
        </w:rPr>
        <w:t xml:space="preserve">   </w:t>
      </w:r>
    </w:p>
    <w:p w14:paraId="42E8BE78" w14:textId="77777777" w:rsidR="00EB31B3" w:rsidRDefault="00000000">
      <w:pPr>
        <w:spacing w:line="860" w:lineRule="exact"/>
        <w:ind w:firstLineChars="500" w:firstLine="1800"/>
        <w:rPr>
          <w:b/>
          <w:sz w:val="36"/>
          <w:szCs w:val="36"/>
        </w:rPr>
      </w:pPr>
      <w:r>
        <w:rPr>
          <w:rFonts w:hint="eastAsia"/>
          <w:b/>
          <w:sz w:val="36"/>
          <w:szCs w:val="36"/>
        </w:rPr>
        <w:t xml:space="preserve">                   </w:t>
      </w:r>
    </w:p>
    <w:p w14:paraId="75DFC7CC" w14:textId="77777777" w:rsidR="00EB31B3" w:rsidRDefault="00000000">
      <w:pPr>
        <w:jc w:val="center"/>
        <w:rPr>
          <w:b/>
          <w:sz w:val="28"/>
        </w:rPr>
      </w:pPr>
      <w:r>
        <w:rPr>
          <w:rFonts w:cs="仿宋_GB2312"/>
          <w:sz w:val="28"/>
        </w:rPr>
        <w:t>填表日期</w:t>
      </w:r>
      <w:r>
        <w:rPr>
          <w:rFonts w:cs="仿宋_GB2312"/>
          <w:sz w:val="28"/>
        </w:rPr>
        <w:t xml:space="preserve">       2026</w:t>
      </w:r>
      <w:r>
        <w:rPr>
          <w:rFonts w:cs="仿宋_GB2312"/>
          <w:sz w:val="28"/>
        </w:rPr>
        <w:t>年</w:t>
      </w:r>
      <w:r>
        <w:rPr>
          <w:rFonts w:cs="仿宋_GB2312"/>
          <w:sz w:val="28"/>
        </w:rPr>
        <w:t xml:space="preserve">  9 </w:t>
      </w:r>
      <w:r>
        <w:rPr>
          <w:rFonts w:cs="仿宋_GB2312"/>
          <w:sz w:val="28"/>
        </w:rPr>
        <w:t>月</w:t>
      </w:r>
      <w:r>
        <w:rPr>
          <w:rFonts w:cs="仿宋_GB2312"/>
          <w:sz w:val="28"/>
        </w:rPr>
        <w:t xml:space="preserve">    </w:t>
      </w:r>
      <w:r>
        <w:rPr>
          <w:rFonts w:cs="仿宋_GB2312"/>
          <w:sz w:val="28"/>
        </w:rPr>
        <w:t>日</w:t>
      </w:r>
    </w:p>
    <w:p w14:paraId="2500E4E2" w14:textId="77777777" w:rsidR="00EB31B3" w:rsidRPr="00CA6625" w:rsidRDefault="00EB31B3">
      <w:pPr>
        <w:spacing w:line="480" w:lineRule="auto"/>
        <w:jc w:val="center"/>
        <w:rPr>
          <w:rFonts w:eastAsia="华文新魏"/>
          <w:sz w:val="44"/>
          <w:szCs w:val="44"/>
        </w:rPr>
      </w:pPr>
    </w:p>
    <w:p w14:paraId="2E596AAD" w14:textId="77777777" w:rsidR="00EB31B3" w:rsidRDefault="00EB31B3">
      <w:pPr>
        <w:spacing w:line="480" w:lineRule="auto"/>
        <w:jc w:val="center"/>
        <w:rPr>
          <w:rFonts w:eastAsia="华文新魏"/>
          <w:sz w:val="44"/>
          <w:szCs w:val="44"/>
        </w:rPr>
      </w:pPr>
    </w:p>
    <w:p w14:paraId="375E27A5" w14:textId="77777777" w:rsidR="00EB31B3" w:rsidRDefault="00000000">
      <w:pPr>
        <w:spacing w:line="480" w:lineRule="auto"/>
        <w:jc w:val="center"/>
        <w:rPr>
          <w:rFonts w:eastAsia="华文新魏"/>
          <w:sz w:val="44"/>
          <w:szCs w:val="44"/>
        </w:rPr>
      </w:pPr>
      <w:r>
        <w:rPr>
          <w:rFonts w:hint="eastAsia"/>
          <w:sz w:val="44"/>
          <w:szCs w:val="44"/>
        </w:rPr>
        <w:t>填</w:t>
      </w:r>
      <w:r>
        <w:rPr>
          <w:rFonts w:hint="eastAsia"/>
          <w:sz w:val="44"/>
          <w:szCs w:val="44"/>
        </w:rPr>
        <w:t xml:space="preserve">   </w:t>
      </w:r>
      <w:r>
        <w:rPr>
          <w:rFonts w:hint="eastAsia"/>
          <w:sz w:val="44"/>
          <w:szCs w:val="44"/>
        </w:rPr>
        <w:t>表</w:t>
      </w:r>
      <w:r>
        <w:rPr>
          <w:rFonts w:hint="eastAsia"/>
          <w:sz w:val="44"/>
          <w:szCs w:val="44"/>
        </w:rPr>
        <w:t xml:space="preserve">   </w:t>
      </w:r>
      <w:r>
        <w:rPr>
          <w:rFonts w:hint="eastAsia"/>
          <w:sz w:val="44"/>
          <w:szCs w:val="44"/>
        </w:rPr>
        <w:t>说</w:t>
      </w:r>
      <w:r>
        <w:rPr>
          <w:rFonts w:hint="eastAsia"/>
          <w:sz w:val="44"/>
          <w:szCs w:val="44"/>
        </w:rPr>
        <w:t xml:space="preserve">   </w:t>
      </w:r>
      <w:r>
        <w:rPr>
          <w:rFonts w:hint="eastAsia"/>
          <w:sz w:val="44"/>
          <w:szCs w:val="44"/>
        </w:rPr>
        <w:t>明</w:t>
      </w:r>
    </w:p>
    <w:p w14:paraId="3223B2A5" w14:textId="77777777" w:rsidR="00EB31B3" w:rsidRDefault="00000000">
      <w:pPr>
        <w:ind w:left="420" w:hangingChars="150" w:hanging="420"/>
        <w:rPr>
          <w:rFonts w:ascii="仿宋_GB2312" w:eastAsia="仿宋_GB2312" w:hAnsi="华文仿宋"/>
          <w:kern w:val="6"/>
          <w:sz w:val="28"/>
          <w:szCs w:val="28"/>
        </w:rPr>
      </w:pPr>
      <w:r>
        <w:rPr>
          <w:rFonts w:hint="eastAsia"/>
          <w:kern w:val="6"/>
          <w:sz w:val="28"/>
          <w:szCs w:val="28"/>
        </w:rPr>
        <w:t xml:space="preserve">1. </w:t>
      </w:r>
      <w:r>
        <w:rPr>
          <w:rFonts w:hint="eastAsia"/>
          <w:kern w:val="6"/>
          <w:sz w:val="28"/>
          <w:szCs w:val="28"/>
        </w:rPr>
        <w:t>专业硕士学位研究生的学位论文一般应</w:t>
      </w:r>
      <w:r>
        <w:rPr>
          <w:kern w:val="6"/>
          <w:sz w:val="28"/>
          <w:szCs w:val="28"/>
        </w:rPr>
        <w:t>是</w:t>
      </w:r>
      <w:r>
        <w:rPr>
          <w:rFonts w:hint="eastAsia"/>
          <w:kern w:val="6"/>
          <w:sz w:val="28"/>
          <w:szCs w:val="28"/>
        </w:rPr>
        <w:t>解决科学问题或工程实际应用问题的研究。</w:t>
      </w:r>
    </w:p>
    <w:p w14:paraId="1E892548" w14:textId="77777777" w:rsidR="00EB31B3" w:rsidRDefault="00000000">
      <w:pPr>
        <w:spacing w:line="480" w:lineRule="auto"/>
        <w:rPr>
          <w:rFonts w:ascii="仿宋_GB2312" w:eastAsia="仿宋_GB2312" w:hAnsi="华文仿宋"/>
          <w:sz w:val="28"/>
          <w:szCs w:val="28"/>
        </w:rPr>
      </w:pPr>
      <w:r>
        <w:rPr>
          <w:rFonts w:hint="eastAsia"/>
          <w:sz w:val="28"/>
          <w:szCs w:val="28"/>
        </w:rPr>
        <w:t xml:space="preserve">2. </w:t>
      </w:r>
      <w:r>
        <w:rPr>
          <w:rFonts w:hint="eastAsia"/>
          <w:sz w:val="28"/>
          <w:szCs w:val="28"/>
        </w:rPr>
        <w:t>本表应在导师指导下独立完成。</w:t>
      </w:r>
    </w:p>
    <w:p w14:paraId="0E67FD9F"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hint="eastAsia"/>
          <w:sz w:val="28"/>
          <w:szCs w:val="28"/>
        </w:rPr>
        <w:t xml:space="preserve">3. </w:t>
      </w:r>
      <w:r>
        <w:rPr>
          <w:rFonts w:hint="eastAsia"/>
          <w:sz w:val="28"/>
          <w:szCs w:val="28"/>
        </w:rPr>
        <w:t>开题报告作为学位论文撰写和学位申请的重要材料，应及时完成，不得随意更改。</w:t>
      </w:r>
    </w:p>
    <w:p w14:paraId="467974A8"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hint="eastAsia"/>
          <w:kern w:val="2"/>
          <w:sz w:val="28"/>
          <w:szCs w:val="28"/>
        </w:rPr>
        <w:t xml:space="preserve">4. </w:t>
      </w:r>
      <w:r>
        <w:rPr>
          <w:rFonts w:hint="eastAsia"/>
          <w:kern w:val="2"/>
          <w:sz w:val="28"/>
          <w:szCs w:val="28"/>
        </w:rPr>
        <w:t>本表一式三份，研究生本人一份，学院（中心）一份，研究生院一份。</w:t>
      </w:r>
    </w:p>
    <w:p w14:paraId="3C7D3E34" w14:textId="77777777" w:rsidR="00EB31B3" w:rsidRDefault="00000000">
      <w:pPr>
        <w:spacing w:line="480" w:lineRule="auto"/>
        <w:rPr>
          <w:rFonts w:ascii="仿宋_GB2312" w:eastAsia="仿宋_GB2312" w:hAnsi="华文仿宋"/>
          <w:sz w:val="28"/>
          <w:szCs w:val="28"/>
        </w:rPr>
      </w:pPr>
      <w:r>
        <w:rPr>
          <w:rFonts w:hint="eastAsia"/>
          <w:sz w:val="28"/>
          <w:szCs w:val="28"/>
        </w:rPr>
        <w:t>5</w:t>
      </w:r>
      <w:r>
        <w:rPr>
          <w:rFonts w:hint="eastAsia"/>
          <w:sz w:val="28"/>
          <w:szCs w:val="28"/>
        </w:rPr>
        <w:t>．本表用</w:t>
      </w:r>
      <w:r>
        <w:rPr>
          <w:rFonts w:hint="eastAsia"/>
          <w:sz w:val="28"/>
          <w:szCs w:val="28"/>
        </w:rPr>
        <w:t>A4</w:t>
      </w:r>
      <w:r>
        <w:rPr>
          <w:rFonts w:hint="eastAsia"/>
          <w:sz w:val="28"/>
          <w:szCs w:val="28"/>
        </w:rPr>
        <w:t>纸张</w:t>
      </w:r>
      <w:r>
        <w:rPr>
          <w:rFonts w:hint="eastAsia"/>
          <w:iCs/>
          <w:sz w:val="28"/>
          <w:szCs w:val="28"/>
        </w:rPr>
        <w:t>双面</w:t>
      </w:r>
      <w:r>
        <w:rPr>
          <w:rFonts w:hint="eastAsia"/>
          <w:sz w:val="28"/>
          <w:szCs w:val="28"/>
        </w:rPr>
        <w:t>填写或打印。</w:t>
      </w:r>
    </w:p>
    <w:p w14:paraId="2BC81D52" w14:textId="77777777" w:rsidR="00EB31B3" w:rsidRDefault="00000000">
      <w:pPr>
        <w:spacing w:line="480" w:lineRule="auto"/>
        <w:rPr>
          <w:rFonts w:ascii="仿宋_GB2312" w:eastAsia="仿宋_GB2312" w:hAnsi="华文仿宋"/>
          <w:sz w:val="28"/>
          <w:szCs w:val="28"/>
        </w:rPr>
      </w:pPr>
      <w:r>
        <w:rPr>
          <w:rFonts w:hint="eastAsia"/>
          <w:sz w:val="28"/>
          <w:szCs w:val="28"/>
        </w:rPr>
        <w:t xml:space="preserve">6. </w:t>
      </w:r>
      <w:r>
        <w:rPr>
          <w:rFonts w:hint="eastAsia"/>
          <w:sz w:val="28"/>
          <w:szCs w:val="28"/>
        </w:rPr>
        <w:t>本表应在规定的时间内上交。</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650604D7" w14:textId="77777777">
        <w:trPr>
          <w:trHeight w:val="13425"/>
        </w:trPr>
        <w:tc>
          <w:tcPr>
            <w:tcW w:w="8280" w:type="dxa"/>
          </w:tcPr>
          <w:p w14:paraId="371990C1" w14:textId="77777777" w:rsidR="00121BB8" w:rsidRDefault="00000000">
            <w:pPr>
              <w:pageBreakBefore/>
              <w:widowControl/>
              <w:spacing w:after="80" w:line="324" w:lineRule="auto"/>
              <w:jc w:val="left"/>
            </w:pPr>
            <w:r>
              <w:rPr>
                <w:rFonts w:cs="Arial Unicode MS"/>
              </w:rPr>
              <w:lastRenderedPageBreak/>
              <w:t>一、选题依据和意义</w:t>
            </w:r>
          </w:p>
          <w:p w14:paraId="6AD31E44" w14:textId="77777777" w:rsidR="00121BB8" w:rsidRDefault="00000000">
            <w:pPr>
              <w:widowControl/>
              <w:spacing w:before="60" w:after="20" w:line="324" w:lineRule="auto"/>
            </w:pPr>
            <w:r>
              <w:rPr>
                <w:rFonts w:cs="Arial Unicode MS"/>
              </w:rPr>
              <w:t xml:space="preserve">1. </w:t>
            </w:r>
            <w:r>
              <w:rPr>
                <w:rFonts w:cs="Arial Unicode MS"/>
              </w:rPr>
              <w:t>研究背景</w:t>
            </w:r>
          </w:p>
          <w:p w14:paraId="403D14F5" w14:textId="77777777" w:rsidR="00121BB8" w:rsidRDefault="00000000">
            <w:pPr>
              <w:widowControl/>
              <w:spacing w:line="324" w:lineRule="auto"/>
              <w:ind w:firstLine="420"/>
            </w:pPr>
            <w:r>
              <w:rPr>
                <w:rFonts w:cs="Arial Unicode MS"/>
              </w:rPr>
              <w:t>精准农业将感知、数据处理和控制执行连接起来，为水肥装备的自动化管理提供系统基础</w:t>
            </w:r>
            <w:r>
              <w:rPr>
                <w:rFonts w:cs="Arial Unicode MS"/>
                <w:sz w:val="18"/>
                <w:vertAlign w:val="superscript"/>
              </w:rPr>
              <w:t>[1-2]</w:t>
            </w:r>
            <w:r>
              <w:rPr>
                <w:rFonts w:cs="Arial Unicode MS"/>
              </w:rPr>
              <w:t>。物联网与农业自动化技术进一步将设备状态采集、远程管理和数据辅助决策纳入水肥作业流程</w:t>
            </w:r>
            <w:r>
              <w:rPr>
                <w:rFonts w:cs="Arial Unicode MS"/>
                <w:sz w:val="18"/>
                <w:vertAlign w:val="superscript"/>
              </w:rPr>
              <w:t>[3-5]</w:t>
            </w:r>
            <w:r>
              <w:rPr>
                <w:rFonts w:cs="Arial Unicode MS"/>
              </w:rPr>
              <w:t>。本课题面向红壤丘陵区分散生产单元，以智能水肥一体化管控系统为研究主体，重点研究混肥EC调节与接入任务管理。电导率（electrical conductivity，EC）是混合肥液调节的反馈量；EC模型控制、系统辨识与模糊PID、自适应PI为动态调节提供了方法依据</w:t>
            </w:r>
            <w:r>
              <w:rPr>
                <w:rFonts w:cs="Arial Unicode MS"/>
                <w:sz w:val="18"/>
                <w:vertAlign w:val="superscript"/>
              </w:rPr>
              <w:t>[6-8]</w:t>
            </w:r>
            <w:r>
              <w:rPr>
                <w:rFonts w:cs="Arial Unicode MS"/>
              </w:rPr>
              <w:t>。输配过程仿真和营养液配制研究也说明，控制设计应结合管路输配、混合动态及EC、pH监测需求</w:t>
            </w:r>
            <w:r>
              <w:rPr>
                <w:rFonts w:cs="Arial Unicode MS"/>
                <w:sz w:val="18"/>
                <w:vertAlign w:val="superscript"/>
              </w:rPr>
              <w:t>[9-10]</w:t>
            </w:r>
            <w:r>
              <w:rPr>
                <w:rFonts w:cs="Arial Unicode MS"/>
              </w:rPr>
              <w:t>。系统设计需要把测量、注肥动作和任务配置联系起来，使EC控制与设备作业过程保持一致。</w:t>
            </w:r>
          </w:p>
          <w:p w14:paraId="0259D765" w14:textId="77777777" w:rsidR="00121BB8" w:rsidRDefault="00000000">
            <w:pPr>
              <w:widowControl/>
              <w:spacing w:line="324" w:lineRule="auto"/>
              <w:ind w:firstLine="420"/>
            </w:pPr>
            <w:r>
              <w:rPr>
                <w:rFonts w:cs="Arial Unicode MS"/>
              </w:rPr>
              <w:t>设备—边缘—云连续体为现场响应与远端计算的分工提供了架构基础</w:t>
            </w:r>
            <w:r>
              <w:rPr>
                <w:rFonts w:cs="Arial Unicode MS"/>
                <w:sz w:val="18"/>
                <w:vertAlign w:val="superscript"/>
              </w:rPr>
              <w:t>[11-13]</w:t>
            </w:r>
            <w:r>
              <w:rPr>
                <w:rFonts w:cs="Arial Unicode MS"/>
              </w:rPr>
              <w:t>，边缘计算及多层工业控制研究讨论了控制任务靠近现场部署的方法</w:t>
            </w:r>
            <w:r>
              <w:rPr>
                <w:rFonts w:cs="Arial Unicode MS"/>
                <w:sz w:val="18"/>
                <w:vertAlign w:val="superscript"/>
              </w:rPr>
              <w:t>[14-15]</w:t>
            </w:r>
            <w:r>
              <w:rPr>
                <w:rFonts w:cs="Arial Unicode MS"/>
              </w:rPr>
              <w:t>。预测补偿和网络容错控制为通信不确定性处理提供了依据</w:t>
            </w:r>
            <w:r>
              <w:rPr>
                <w:rFonts w:cs="Arial Unicode MS"/>
                <w:sz w:val="18"/>
                <w:vertAlign w:val="superscript"/>
              </w:rPr>
              <w:t>[16-17]</w:t>
            </w:r>
            <w:r>
              <w:rPr>
                <w:rFonts w:cs="Arial Unicode MS"/>
              </w:rPr>
              <w:t>。水肥作业中的EC调节既依赖消息及时到达，也依赖现场观测可信；任务重新启动时，还需要确认配方、接入配置与控制状态。由此，本课题将异常期间的控制权分配与新任务的状态初始化纳入同一系统方案。</w:t>
            </w:r>
          </w:p>
          <w:p w14:paraId="4BA8EFBE" w14:textId="77777777" w:rsidR="00121BB8" w:rsidRDefault="00000000">
            <w:pPr>
              <w:keepNext/>
              <w:widowControl/>
              <w:spacing w:before="60" w:after="20" w:line="324" w:lineRule="auto"/>
            </w:pPr>
            <w:r>
              <w:rPr>
                <w:rFonts w:cs="Arial Unicode MS"/>
              </w:rPr>
              <w:t xml:space="preserve">2. </w:t>
            </w:r>
            <w:r>
              <w:rPr>
                <w:rFonts w:cs="Arial Unicode MS"/>
              </w:rPr>
              <w:t>选题定位</w:t>
            </w:r>
          </w:p>
          <w:p w14:paraId="2B0232C1" w14:textId="77777777" w:rsidR="00121BB8" w:rsidRDefault="00000000">
            <w:pPr>
              <w:widowControl/>
              <w:spacing w:line="324" w:lineRule="auto"/>
              <w:ind w:firstLine="420"/>
            </w:pPr>
            <w:r>
              <w:rPr>
                <w:rFonts w:cs="Arial Unicode MS"/>
              </w:rPr>
              <w:t>本课题拟设计基于物联网与协同控制的智能水肥一体化管控系统，围绕EC调节、接入任务、远程监视和作业追溯开展研究。系统由状态采集、注肥执行接口、边缘控制、云端服务、数据库和管理界面构成，采用MQTT 3.1.1组织发布订阅通信</w:t>
            </w:r>
            <w:r>
              <w:rPr>
                <w:rFonts w:cs="Arial Unicode MS"/>
                <w:sz w:val="18"/>
                <w:vertAlign w:val="superscript"/>
              </w:rPr>
              <w:t>[18]</w:t>
            </w:r>
            <w:r>
              <w:rPr>
                <w:rFonts w:cs="Arial Unicode MS"/>
              </w:rPr>
              <w:t>。控制层联合通信风险与观测风险，在M0云端预测、M1边缘控制和M2模型锚定降级之间分配控制权；任务层关联设备、接入点、配方与模型版本，管理启动检查、命令执行及反馈。移动式水肥一体机作为实体载体，其多接入点轮换作业用于检验任务交接与控制恢复机制。</w:t>
            </w:r>
          </w:p>
          <w:p w14:paraId="0E61E1B8" w14:textId="77777777" w:rsidR="00121BB8" w:rsidRDefault="00000000">
            <w:pPr>
              <w:widowControl/>
              <w:spacing w:line="324" w:lineRule="auto"/>
              <w:ind w:firstLine="420"/>
            </w:pPr>
            <w:r>
              <w:rPr>
                <w:rFonts w:cs="Arial Unicode MS"/>
              </w:rPr>
              <w:t>研究按“系统需求与总体设计—混肥建模与EC控制—接入任务管理—平台实现与验证”展开。算法对照评价正常和异常条件下的EC跟踪与动作平滑性，系统试验核对任务、命令和反馈的一致性；移动接入场景进一步检查重新接入后的状态初始化与EC恢复。</w:t>
            </w:r>
          </w:p>
          <w:p w14:paraId="5C1D0DE2" w14:textId="77777777" w:rsidR="00121BB8" w:rsidRDefault="00000000">
            <w:pPr>
              <w:widowControl/>
              <w:spacing w:before="60" w:after="20" w:line="324" w:lineRule="auto"/>
            </w:pPr>
            <w:r>
              <w:rPr>
                <w:rFonts w:cs="Arial Unicode MS"/>
              </w:rPr>
              <w:t xml:space="preserve">3. </w:t>
            </w:r>
            <w:r>
              <w:rPr>
                <w:rFonts w:cs="Arial Unicode MS"/>
              </w:rPr>
              <w:t>研究意义</w:t>
            </w:r>
          </w:p>
          <w:p w14:paraId="61AA8039" w14:textId="77777777" w:rsidR="00121BB8" w:rsidRDefault="00000000">
            <w:pPr>
              <w:widowControl/>
              <w:spacing w:line="324" w:lineRule="auto"/>
              <w:ind w:firstLine="420"/>
            </w:pPr>
            <w:r>
              <w:rPr>
                <w:rFonts w:cs="Arial Unicode MS"/>
              </w:rPr>
              <w:t>本课题将混肥EC控制与物联网作业管理连接起来，使控制模式、任务配置和执行反馈具有对应关系。研究拟以通信与观测双风险协调云边职责，以任务标识和状态初始化衔接设备启动与连续作业，并通过平台保存可追溯记录。面向红壤丘陵区分散地块，移动装备的轮换接入为上述机制提供应用场景，研究价值体现在EC调节、任务交接和系统运行的协同设计。</w:t>
            </w:r>
          </w:p>
        </w:tc>
      </w:tr>
    </w:tbl>
    <w:p w14:paraId="32F488CB" w14:textId="748BCA14" w:rsidR="00EB31B3" w:rsidRDefault="00EB31B3">
      <w:pPr>
        <w:keepNext w:val="0"/>
        <w:pageBreakBefore w:val="0"/>
        <w:spacing w:before="0" w:after="0" w:line="20" w:lineRule="exact"/>
        <w:rPr>
          <w:b/>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18B9763" w14:textId="77777777">
        <w:trPr>
          <w:trHeight w:val="13425"/>
        </w:trPr>
        <w:tc>
          <w:tcPr>
            <w:tcW w:w="8280" w:type="dxa"/>
          </w:tcPr>
          <w:p w14:paraId="6A30A1AB" w14:textId="77777777" w:rsidR="00121BB8" w:rsidRDefault="00000000">
            <w:pPr>
              <w:pageBreakBefore/>
              <w:widowControl/>
              <w:spacing w:after="80" w:line="324" w:lineRule="auto"/>
              <w:jc w:val="left"/>
            </w:pPr>
            <w:r>
              <w:rPr>
                <w:rFonts w:cs="Arial Unicode MS"/>
              </w:rPr>
              <w:lastRenderedPageBreak/>
              <w:t>二、国内外研究现状述评与趋势展望</w:t>
            </w:r>
          </w:p>
          <w:p w14:paraId="66B719BA" w14:textId="77777777" w:rsidR="00121BB8" w:rsidRDefault="00000000">
            <w:pPr>
              <w:widowControl/>
              <w:spacing w:before="60" w:after="20" w:line="324" w:lineRule="auto"/>
            </w:pPr>
            <w:r>
              <w:rPr>
                <w:rFonts w:cs="Arial Unicode MS"/>
              </w:rPr>
              <w:t xml:space="preserve">1. </w:t>
            </w:r>
            <w:r>
              <w:rPr>
                <w:rFonts w:cs="Arial Unicode MS"/>
              </w:rPr>
              <w:t>水肥装备与</w:t>
            </w:r>
            <w:r>
              <w:rPr>
                <w:rFonts w:cs="Arial Unicode MS"/>
              </w:rPr>
              <w:t>EC</w:t>
            </w:r>
            <w:r>
              <w:rPr>
                <w:rFonts w:cs="Arial Unicode MS"/>
              </w:rPr>
              <w:t>闭环控制</w:t>
            </w:r>
          </w:p>
          <w:p w14:paraId="1962D109" w14:textId="77777777" w:rsidR="00121BB8" w:rsidRDefault="00000000">
            <w:pPr>
              <w:widowControl/>
              <w:spacing w:line="324" w:lineRule="auto"/>
              <w:ind w:firstLine="420"/>
            </w:pPr>
            <w:r>
              <w:rPr>
                <w:rFonts w:cs="Arial Unicode MS"/>
              </w:rPr>
              <w:t>水肥装备研究已覆盖EC与pH监测、自动配制和远程管理。围绕混肥EC动态，基于EC模型的控制、系统辨识与模糊PID、自适应PI主要关注对象参数变化及设定值跟踪</w:t>
            </w:r>
            <w:r>
              <w:rPr>
                <w:rFonts w:cs="Arial Unicode MS"/>
                <w:sz w:val="18"/>
                <w:vertAlign w:val="superscript"/>
              </w:rPr>
              <w:t>[6‑8]</w:t>
            </w:r>
            <w:r>
              <w:rPr>
                <w:rFonts w:cs="Arial Unicode MS"/>
              </w:rPr>
              <w:t>；水肥过程仿真和营养液配制综述则从过程与系统层面梳理了控制需求</w:t>
            </w:r>
            <w:r>
              <w:rPr>
                <w:rFonts w:cs="Arial Unicode MS"/>
                <w:sz w:val="18"/>
                <w:vertAlign w:val="superscript"/>
              </w:rPr>
              <w:t>[9‑10]</w:t>
            </w:r>
            <w:r>
              <w:rPr>
                <w:rFonts w:cs="Arial Unicode MS"/>
              </w:rPr>
              <w:t>。自主水肥管理系统和物联网微服务框架，将水源管理、数据服务与水肥执行相连接</w:t>
            </w:r>
            <w:r>
              <w:rPr>
                <w:rFonts w:cs="Arial Unicode MS"/>
                <w:sz w:val="18"/>
                <w:vertAlign w:val="superscript"/>
              </w:rPr>
              <w:t>[19‑20]</w:t>
            </w:r>
            <w:r>
              <w:rPr>
                <w:rFonts w:cs="Arial Unicode MS"/>
              </w:rPr>
              <w:t>。物联网水肥管理与LoRaWAN灌溉系统研究进一步说明了农业现场感知、无线通信和决策执行的集成路径</w:t>
            </w:r>
            <w:r>
              <w:rPr>
                <w:rFonts w:cs="Arial Unicode MS"/>
                <w:sz w:val="18"/>
                <w:vertAlign w:val="superscript"/>
              </w:rPr>
              <w:t>[21‑22]</w:t>
            </w:r>
            <w:r>
              <w:rPr>
                <w:rFonts w:cs="Arial Unicode MS"/>
              </w:rPr>
              <w:t>。温室智能水肥研究涉及产量、品质及水分和养分利用效率评价</w:t>
            </w:r>
            <w:r>
              <w:rPr>
                <w:rFonts w:cs="Arial Unicode MS"/>
                <w:sz w:val="18"/>
                <w:vertAlign w:val="superscript"/>
              </w:rPr>
              <w:t>[23]</w:t>
            </w:r>
            <w:r>
              <w:rPr>
                <w:rFonts w:cs="Arial Unicode MS"/>
              </w:rPr>
              <w:t>，远程EC调节研究则关注执行电机的抗扰控制</w:t>
            </w:r>
            <w:r>
              <w:rPr>
                <w:rFonts w:cs="Arial Unicode MS"/>
                <w:sz w:val="18"/>
                <w:vertAlign w:val="superscript"/>
              </w:rPr>
              <w:t>[24]</w:t>
            </w:r>
            <w:r>
              <w:rPr>
                <w:rFonts w:cs="Arial Unicode MS"/>
              </w:rPr>
              <w:t>。这些工作分别提供了农艺评价、设备控制与系统集成依据；本课题进一步聚焦通信与观测异常并发时的控制权转移及反馈管理。</w:t>
            </w:r>
          </w:p>
          <w:p w14:paraId="7EF9FF49" w14:textId="77777777" w:rsidR="00121BB8" w:rsidRDefault="00000000">
            <w:pPr>
              <w:widowControl/>
              <w:spacing w:before="60" w:after="20" w:line="324" w:lineRule="auto"/>
            </w:pPr>
            <w:r>
              <w:rPr>
                <w:rFonts w:cs="Arial Unicode MS"/>
              </w:rPr>
              <w:t xml:space="preserve">2. </w:t>
            </w:r>
            <w:r>
              <w:rPr>
                <w:rFonts w:cs="Arial Unicode MS"/>
              </w:rPr>
              <w:t>网络化控制与边云协同</w:t>
            </w:r>
          </w:p>
          <w:p w14:paraId="57C39C7D" w14:textId="77777777" w:rsidR="00121BB8" w:rsidRDefault="00000000">
            <w:pPr>
              <w:widowControl/>
              <w:spacing w:line="324" w:lineRule="auto"/>
              <w:ind w:firstLine="420"/>
            </w:pPr>
            <w:r>
              <w:rPr>
                <w:rFonts w:cs="Arial Unicode MS"/>
              </w:rPr>
              <w:t>边缘计算为现场快速响应与云端模型服务之间的分层协作提供技术基础，多层工业控制研究讨论了云边计算资源与控制任务的配置</w:t>
            </w:r>
            <w:r>
              <w:rPr>
                <w:rFonts w:cs="Arial Unicode MS"/>
                <w:sz w:val="18"/>
                <w:vertAlign w:val="superscript"/>
              </w:rPr>
              <w:t>[14‑15]</w:t>
            </w:r>
            <w:r>
              <w:rPr>
                <w:rFonts w:cs="Arial Unicode MS"/>
              </w:rPr>
              <w:t>。预测补偿和网络容错控制可缓解时延、丢包等因素的影响</w:t>
            </w:r>
            <w:r>
              <w:rPr>
                <w:rFonts w:cs="Arial Unicode MS"/>
                <w:sz w:val="18"/>
                <w:vertAlign w:val="superscript"/>
              </w:rPr>
              <w:t>[16‑17]</w:t>
            </w:r>
            <w:r>
              <w:rPr>
                <w:rFonts w:cs="Arial Unicode MS"/>
              </w:rPr>
              <w:t>，但水肥一体机还需要将消息时间语义、状态同步和执行器约束纳入同一控制链。PID控制的过程模型、整定与实现方法为本地闭环提供基础</w:t>
            </w:r>
            <w:r>
              <w:rPr>
                <w:rFonts w:cs="Arial Unicode MS"/>
                <w:sz w:val="18"/>
                <w:vertAlign w:val="superscript"/>
              </w:rPr>
              <w:t>[25]</w:t>
            </w:r>
            <w:r>
              <w:rPr>
                <w:rFonts w:cs="Arial Unicode MS"/>
              </w:rPr>
              <w:t>；模型预测控制则提供了预测与约束处理的方法框架</w:t>
            </w:r>
            <w:r>
              <w:rPr>
                <w:rFonts w:cs="Arial Unicode MS"/>
                <w:sz w:val="18"/>
                <w:vertAlign w:val="superscript"/>
              </w:rPr>
              <w:t>[26]</w:t>
            </w:r>
            <w:r>
              <w:rPr>
                <w:rFonts w:cs="Arial Unicode MS"/>
              </w:rPr>
              <w:t>。在本课题中，云端承担时间戳预测补偿、模型管理和任务编排，边缘端承担本地PI闭环与监督执行，研究重点是依据通信和观测风险动态分配两端职责。</w:t>
            </w:r>
          </w:p>
          <w:p w14:paraId="065742C0" w14:textId="77777777" w:rsidR="00121BB8" w:rsidRDefault="00000000">
            <w:pPr>
              <w:widowControl/>
              <w:spacing w:line="324" w:lineRule="auto"/>
              <w:ind w:firstLine="420"/>
            </w:pPr>
            <w:r>
              <w:rPr>
                <w:rFonts w:cs="Arial Unicode MS"/>
              </w:rPr>
              <w:t>网络恢复后，云边积分状态差异和待执行的陈旧命令仍可能造成输出突变。抗积分饱和与无扰切换研究为控制器状态衔接提供了参考方法</w:t>
            </w:r>
            <w:r>
              <w:rPr>
                <w:rFonts w:cs="Arial Unicode MS"/>
                <w:sz w:val="18"/>
                <w:vertAlign w:val="superscript"/>
              </w:rPr>
              <w:t>[27]</w:t>
            </w:r>
            <w:r>
              <w:rPr>
                <w:rFonts w:cs="Arial Unicode MS"/>
              </w:rPr>
              <w:t>。本课题拟将积分状态同步与消息清理结合，并设置滞回、最小驻留时间和连续恢复确认，评价这些机制对切换平滑性和控制恢复过程的影响。</w:t>
            </w:r>
          </w:p>
          <w:p w14:paraId="5CA88355" w14:textId="77777777" w:rsidR="00121BB8" w:rsidRDefault="00000000">
            <w:pPr>
              <w:widowControl/>
              <w:spacing w:before="60" w:after="20" w:line="324" w:lineRule="auto"/>
            </w:pPr>
            <w:r>
              <w:rPr>
                <w:rFonts w:cs="Arial Unicode MS"/>
              </w:rPr>
              <w:t xml:space="preserve">3. </w:t>
            </w:r>
            <w:r>
              <w:rPr>
                <w:rFonts w:cs="Arial Unicode MS"/>
              </w:rPr>
              <w:t>传感异常与可信监督</w:t>
            </w:r>
          </w:p>
          <w:p w14:paraId="47C34DF0" w14:textId="77777777" w:rsidR="00121BB8" w:rsidRDefault="00000000">
            <w:pPr>
              <w:widowControl/>
              <w:spacing w:line="324" w:lineRule="auto"/>
              <w:ind w:firstLine="420"/>
            </w:pPr>
            <w:r>
              <w:rPr>
                <w:rFonts w:cs="Arial Unicode MS"/>
              </w:rPr>
              <w:t>模型诊断、农业物联网传感故障诊断和温室传感异常检测研究，为EC观测可信度评估提供了方法参考</w:t>
            </w:r>
            <w:r>
              <w:rPr>
                <w:rFonts w:cs="Arial Unicode MS"/>
                <w:sz w:val="18"/>
                <w:vertAlign w:val="superscript"/>
              </w:rPr>
              <w:t>[28‑30]</w:t>
            </w:r>
            <w:r>
              <w:rPr>
                <w:rFonts w:cs="Arial Unicode MS"/>
              </w:rPr>
              <w:t>。模型残差与功能冗余能够辅助判断异常，但残差也可能受到对象参数变化和模型失配影响</w:t>
            </w:r>
            <w:r>
              <w:rPr>
                <w:rFonts w:cs="Arial Unicode MS"/>
                <w:sz w:val="18"/>
                <w:vertAlign w:val="superscript"/>
              </w:rPr>
              <w:t>[31‑32]</w:t>
            </w:r>
            <w:r>
              <w:rPr>
                <w:rFonts w:cs="Arial Unicode MS"/>
              </w:rPr>
              <w:t>。多传感器融合及传感器健康状态转换研究，则为反馈通道选择和故障恢复提供了控制层依据</w:t>
            </w:r>
            <w:r>
              <w:rPr>
                <w:rFonts w:cs="Arial Unicode MS"/>
                <w:sz w:val="18"/>
                <w:vertAlign w:val="superscript"/>
              </w:rPr>
              <w:t>[33‑34]</w:t>
            </w:r>
            <w:r>
              <w:rPr>
                <w:rFonts w:cs="Arial Unicode MS"/>
              </w:rPr>
              <w:t>。营养液多传感监测研究进一步体现了多源信息在水肥过程监测中的应用</w:t>
            </w:r>
            <w:r>
              <w:rPr>
                <w:rFonts w:cs="Arial Unicode MS"/>
                <w:sz w:val="18"/>
                <w:vertAlign w:val="superscript"/>
              </w:rPr>
              <w:t>[35]</w:t>
            </w:r>
            <w:r>
              <w:rPr>
                <w:rFonts w:cs="Arial Unicode MS"/>
              </w:rPr>
              <w:t>。本课题拟以双EC通道差与模型残差构建观测风险，作为控制权切换的依据；对于双通道共同漂移，单靠通道差难以识别，将单列工况并分析参考测量、校准或异构过程信息的辅助作用。</w:t>
            </w:r>
          </w:p>
          <w:p w14:paraId="2A91C5E8" w14:textId="77777777" w:rsidR="00121BB8" w:rsidRDefault="00000000">
            <w:pPr>
              <w:widowControl/>
              <w:spacing w:before="60" w:after="20" w:line="324" w:lineRule="auto"/>
            </w:pPr>
            <w:r>
              <w:rPr>
                <w:rFonts w:cs="Arial Unicode MS"/>
              </w:rPr>
              <w:t xml:space="preserve">4. </w:t>
            </w:r>
            <w:r>
              <w:rPr>
                <w:rFonts w:cs="Arial Unicode MS"/>
              </w:rPr>
              <w:t>研究述评与趋势</w:t>
            </w:r>
          </w:p>
          <w:p w14:paraId="35622754" w14:textId="77777777" w:rsidR="00121BB8" w:rsidRDefault="00000000">
            <w:pPr>
              <w:widowControl/>
              <w:spacing w:line="324" w:lineRule="auto"/>
              <w:ind w:firstLine="420"/>
            </w:pPr>
            <w:r>
              <w:rPr>
                <w:rFonts w:cs="Arial Unicode MS"/>
              </w:rPr>
              <w:t>农业数字孪生部署研究将模型服务与云—雾—边基础设施联系起来，为现场系统与多层计算的协作提供参考</w:t>
            </w:r>
            <w:r>
              <w:rPr>
                <w:rFonts w:cs="Arial Unicode MS"/>
                <w:sz w:val="18"/>
                <w:vertAlign w:val="superscript"/>
              </w:rPr>
              <w:t>[36]</w:t>
            </w:r>
            <w:r>
              <w:rPr>
                <w:rFonts w:cs="Arial Unicode MS"/>
              </w:rPr>
              <w:t>。移动式果园灌溉施肥机研究已集成混肥、检测、自动控制及牵引装置，并开展灌溉施肥性能试验</w:t>
            </w:r>
            <w:r>
              <w:rPr>
                <w:rFonts w:cs="Arial Unicode MS"/>
                <w:sz w:val="18"/>
                <w:vertAlign w:val="superscript"/>
              </w:rPr>
              <w:t>[37]</w:t>
            </w:r>
            <w:r>
              <w:rPr>
                <w:rFonts w:cs="Arial Unicode MS"/>
              </w:rPr>
              <w:t>。本课题围绕EC连续调节和接入任务管理，研究通信与观测风险下的控制权分配，以及任务、命令与控制状态的衔接。移动式装备用于拓展多接入点应用：转场后重新核对配置、建立新任务和可信控制状态，再恢复EC调节。图1为文献中的牵引式移动装备示例。</w:t>
            </w:r>
          </w:p>
          <w:p>
            <w:pPr>
              <w:keepNext/>
              <w:keepLines/>
              <w:widowControl/>
              <w:spacing w:line="276" w:lineRule="auto" w:before="80" w:after="100"/>
              <w:ind w:firstLine="0" w:left="0" w:right="0"/>
              <w:snapToGrid w:val="0"/>
              <w:jc w:val="center"/>
            </w:pPr>
            <w:r>
              <w:drawing>
                <wp:inline xmlns:a="http://schemas.openxmlformats.org/drawingml/2006/main" xmlns:pic="http://schemas.openxmlformats.org/drawingml/2006/picture">
                  <wp:extent cx="3600000" cy="2697143"/>
                  <wp:docPr id="1" name="Picture 1" descr="移动式果园灌溉施肥机文献示例"/>
                  <wp:cNvGraphicFramePr>
                    <a:graphicFrameLocks noChangeAspect="1"/>
                  </wp:cNvGraphicFramePr>
                  <a:graphic>
                    <a:graphicData uri="http://schemas.openxmlformats.org/drawingml/2006/picture">
                      <pic:pic>
                        <pic:nvPicPr>
                          <pic:cNvPr id="0" name="mobile_machine_reference.png"/>
                          <pic:cNvPicPr/>
                        </pic:nvPicPr>
                        <pic:blipFill>
                          <a:blip r:embed="rId8"/>
                          <a:stretch>
                            <a:fillRect/>
                          </a:stretch>
                        </pic:blipFill>
                        <pic:spPr>
                          <a:xfrm>
                            <a:off x="0" y="0"/>
                            <a:ext cx="3600000" cy="2697143"/>
                          </a:xfrm>
                          <a:prstGeom prst="rect"/>
                        </pic:spPr>
                      </pic:pic>
                    </a:graphicData>
                  </a:graphic>
                </wp:inline>
              </w:drawing>
            </w:r>
          </w:p>
          <w:p>
            <w:pPr>
              <w:keepLines/>
              <w:widowControl/>
              <w:spacing w:line="276" w:lineRule="auto" w:before="80" w:after="100"/>
              <w:ind w:firstLine="0" w:left="0" w:right="0"/>
              <w:snapToGrid w:val="0"/>
              <w:jc w:val="center"/>
            </w:pPr>
            <w:r>
              <w:rPr>
                <w:rFonts w:ascii="Times New Roman" w:hAnsi="Times New Roman" w:eastAsia="宋体"/>
                <w:sz w:val="20"/>
              </w:rPr>
              <w:t>图1  移动式果园灌溉施肥机示例（引自文献[37]图5）</w:t>
            </w:r>
          </w:p>
          <w:p>
            <w:pPr>
              <w:keepLines/>
              <w:widowControl/>
              <w:spacing w:line="276" w:lineRule="auto" w:before="80" w:after="100"/>
              <w:ind w:firstLine="0" w:left="0" w:right="0"/>
              <w:snapToGrid w:val="0"/>
              <w:jc w:val="center"/>
            </w:pPr>
            <w:r>
              <w:rPr>
                <w:rFonts w:ascii="Times New Roman" w:hAnsi="Times New Roman" w:eastAsia="宋体"/>
                <w:sz w:val="18"/>
              </w:rPr>
              <w:t>来源：左志宇等，2023。图示为文献装备，不代表本课题样机。</w:t>
            </w:r>
          </w:p>
        </w:tc>
      </w:tr>
    </w:tbl>
    <w:p w14:paraId="333B6A96" w14:textId="77777777" w:rsidR="00EB31B3" w:rsidRDefault="00EB31B3">
      <w:pPr>
        <w:keepNext w:val="0"/>
        <w:pageBreakBefore w:val="0"/>
        <w:spacing w:before="0" w:after="0" w:line="20" w:lineRule="exac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00"/>
      </w:tblGrid>
      <w:tr w:rsidR="00EB31B3" w14:paraId="00903997" w14:textId="77777777">
        <w:trPr>
          <w:trHeight w:val="13425"/>
        </w:trPr>
        <w:tc>
          <w:tcPr>
            <w:tcW w:w="8100" w:type="dxa"/>
          </w:tcPr>
          <w:p w14:paraId="0974CA1F" w14:textId="77777777" w:rsidR="00121BB8" w:rsidRDefault="00000000">
            <w:pPr>
              <w:pageBreakBefore/>
              <w:widowControl/>
              <w:spacing w:after="80" w:line="324" w:lineRule="auto"/>
              <w:jc w:val="left"/>
            </w:pPr>
            <w:r>
              <w:rPr>
                <w:rFonts w:cs="Arial Unicode MS"/>
              </w:rPr>
              <w:lastRenderedPageBreak/>
              <w:t>三、研究目标、主要研究内容与拟解决的关键问题</w:t>
            </w:r>
          </w:p>
          <w:p w14:paraId="607AC1A1" w14:textId="77777777" w:rsidR="00121BB8" w:rsidRDefault="00000000">
            <w:pPr>
              <w:widowControl/>
              <w:spacing w:before="60" w:after="20" w:line="324" w:lineRule="auto"/>
            </w:pPr>
            <w:r>
              <w:rPr>
                <w:rFonts w:cs="Arial Unicode MS"/>
              </w:rPr>
              <w:t xml:space="preserve">1. </w:t>
            </w:r>
            <w:r>
              <w:rPr>
                <w:rFonts w:cs="Arial Unicode MS"/>
              </w:rPr>
              <w:t>总体目标</w:t>
            </w:r>
          </w:p>
          <w:p w14:paraId="60632A6F" w14:textId="77777777" w:rsidR="00121BB8" w:rsidRDefault="00000000">
            <w:pPr>
              <w:widowControl/>
              <w:spacing w:line="324" w:lineRule="auto"/>
              <w:ind w:firstLine="420"/>
            </w:pPr>
            <w:r>
              <w:rPr>
                <w:rFonts w:cs="Arial Unicode MS"/>
              </w:rPr>
              <w:t>面向红壤丘陵区水肥作业需求，设计并实现基于物联网与协同控制的智能水肥一体化管控系统，形成混肥EC调节、接入任务管理、远程监视和作业追溯的功能链。重点研究通信与观测异常下的EC协同控制，以及任务启动和命令执行的一致性。通过配对仿真、MQTT软件在环和样机对照评价控制性能与系统功能，并以移动装备的不同接入点切换检验应用适配性。</w:t>
            </w:r>
          </w:p>
          <w:p w14:paraId="575FC235" w14:textId="77777777" w:rsidR="00121BB8" w:rsidRDefault="00000000">
            <w:pPr>
              <w:widowControl/>
              <w:snapToGrid w:val="0"/>
              <w:spacing w:after="80" w:line="324" w:lineRule="auto"/>
              <w:ind w:firstLine="420"/>
            </w:pPr>
            <w:r>
              <w:rPr/>
              <w:t>系统由感知执行、边缘控制、MQTT通信、云端服务、数据库和管理界面构成。边缘节点采集EC与设备状态，执行风险监督和本地控制；云端提供预测、配方模型管理及任务服务。接入任务关联设备、接入点、目标EC和参数版本，观测、命令及反馈均归入对应任务。移动作业沿用这一架构，通过新的接入配置和任务初始化完成地块间交接。总体架构如图2所示。</w:t>
            </w:r>
          </w:p>
          <w:p>
            <w:pPr>
              <w:keepNext/>
              <w:keepLines/>
              <w:widowControl/>
              <w:spacing w:line="276" w:lineRule="auto" w:before="80" w:after="100"/>
              <w:ind w:firstLine="0" w:left="0" w:right="0"/>
              <w:snapToGrid w:val="0"/>
              <w:jc w:val="center"/>
            </w:pPr>
            <w:r>
              <w:drawing>
                <wp:inline xmlns:a="http://schemas.openxmlformats.org/drawingml/2006/main" xmlns:pic="http://schemas.openxmlformats.org/drawingml/2006/picture">
                  <wp:extent cx="4392000" cy="2469701"/>
                  <wp:docPr id="2" name="Picture 2" descr="拟设计系统总体架构"/>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4392000" cy="2469701"/>
                          </a:xfrm>
                          <a:prstGeom prst="rect"/>
                        </pic:spPr>
                      </pic:pic>
                    </a:graphicData>
                  </a:graphic>
                </wp:inline>
              </w:drawing>
            </w:r>
          </w:p>
          <w:p>
            <w:pPr>
              <w:keepLines/>
              <w:widowControl/>
              <w:spacing w:line="276" w:lineRule="auto" w:before="80" w:after="100"/>
              <w:ind w:firstLine="0" w:left="0" w:right="0"/>
              <w:snapToGrid w:val="0"/>
              <w:jc w:val="center"/>
            </w:pPr>
            <w:r>
              <w:rPr>
                <w:rFonts w:ascii="Times New Roman" w:hAnsi="Times New Roman" w:eastAsia="宋体"/>
                <w:sz w:val="20"/>
              </w:rPr>
              <w:t>图2  智能水肥一体化管控系统总体架构（自绘）</w:t>
            </w:r>
          </w:p>
          <w:p w14:paraId="0FAA5BF3" w14:textId="77777777" w:rsidR="00121BB8" w:rsidRDefault="00000000">
            <w:pPr>
              <w:keepNext/>
              <w:pageBreakBefore/>
              <w:widowControl/>
              <w:spacing w:before="60" w:after="20" w:line="324" w:lineRule="auto"/>
            </w:pPr>
            <w:r>
              <w:rPr>
                <w:rFonts w:cs="Arial Unicode MS"/>
              </w:rPr>
              <w:t xml:space="preserve">2. </w:t>
            </w:r>
            <w:r>
              <w:rPr>
                <w:rFonts w:cs="Arial Unicode MS"/>
              </w:rPr>
              <w:t>主要研究内容及交付物</w:t>
            </w:r>
          </w:p>
          <w:p w14:paraId="159633F3" w14:textId="77777777" w:rsidR="00121BB8" w:rsidRDefault="00000000">
            <w:pPr>
              <w:widowControl/>
              <w:spacing w:line="324" w:lineRule="auto"/>
            </w:pPr>
            <w:r>
              <w:rPr>
                <w:rFonts w:ascii="Times New Roman" w:hAnsi="Times New Roman" w:eastAsia="宋体"/>
                <w:sz w:val="24"/>
              </w:rPr>
              <w:t>（1）系统需求分析与总体设计。围绕EC设定与调节、数据采集、设备接入、任务启动、异常告警和历史追溯，确定功能模块与接口。划分云端、边缘和设备端职责，设计设备—接入点—任务的数据关系、命令反馈流程及状态管理规则，形成系统架构和功能验收清单。</w:t>
            </w:r>
          </w:p>
          <w:p w14:paraId="3E53AD5F" w14:textId="77777777" w:rsidR="00121BB8" w:rsidRDefault="00000000">
            <w:pPr>
              <w:widowControl/>
              <w:spacing w:line="324" w:lineRule="auto"/>
            </w:pPr>
            <w:r>
              <w:rPr>
                <w:rFonts w:ascii="Times New Roman" w:hAnsi="Times New Roman" w:eastAsia="宋体"/>
                <w:sz w:val="24"/>
              </w:rPr>
              <w:t>（2）混肥对象建模与EC协同控制。完成EC、流量和注肥输出标定，采集入口水EC、出口EC、温度、流量压力及注肥动作，以不同完整试验分别进行模型辨识和验证。建立一阶惯性纯滞后模型与公共离散PI，联合通信风险和观测风险设计M0、M1、M2监督，以及状态同步、滞回和恢复确认机制。</w:t>
            </w:r>
          </w:p>
          <w:p w14:paraId="2B2EE2EA" w14:textId="77777777" w:rsidR="00121BB8" w:rsidRDefault="00000000">
            <w:pPr>
              <w:widowControl/>
              <w:spacing w:line="324" w:lineRule="auto"/>
            </w:pPr>
            <w:r>
              <w:rPr>
                <w:rFonts w:cs="Arial Unicode MS"/>
              </w:rPr>
              <w:t>（3）接入任务管理与控制状态衔接。设计接入点配置、配方与模型版本核对、任务建立、启动检查和执行反馈。新任务清理旧命令、PI状态和降级锚点，建立本次作业的可信状态；同一任务切换控制模式时实施积分反算和云边同步。移动装备转场后沿用新任务流程，检验跨接入点状态隔离与启动恢复。</w:t>
            </w:r>
          </w:p>
          <w:p w14:paraId="40C3F6D6" w14:textId="77777777" w:rsidR="00121BB8" w:rsidRDefault="00000000">
            <w:pPr>
              <w:widowControl/>
              <w:spacing w:line="324" w:lineRule="auto"/>
            </w:pPr>
            <w:r>
              <w:rPr>
                <w:rFonts w:cs="Arial Unicode MS"/>
              </w:rPr>
              <w:t>（4）物联网管控平台实现。采用Python开发模型、控制与评价模块，围绕样机控制器适配采集和执行接口，以MQTT 3.1.1与QoS 1连接云边进程。实现实时监视、接入配置、任务启停、异常告警与历史查询；数据库关联观测、风险、模式、命令、反馈及参数版本，支持作业过程追溯。</w:t>
            </w:r>
          </w:p>
          <w:p w14:paraId="38E142B0" w14:textId="77777777" w:rsidR="00121BB8" w:rsidRDefault="00000000">
            <w:pPr>
              <w:widowControl/>
              <w:spacing w:line="324" w:lineRule="auto"/>
            </w:pPr>
            <w:r>
              <w:rPr>
                <w:rFonts w:cs="Arial Unicode MS"/>
              </w:rPr>
              <w:t>（5）控制性能与系统功能验证。以配对仿真检验EC控制、基线差异及关键机制，以软件在环检验消息和任务一致性，以样机试验评价EC启动、跟踪和短时通信中断恢复。移动接入作为专项场景，比较不同接入点切换后的配置检查、旧命令拒绝和EC恢复过程。</w:t>
            </w:r>
          </w:p>
          <w:p w14:paraId="34C836B3" w14:textId="77777777" w:rsidR="00121BB8" w:rsidRDefault="00000000">
            <w:pPr>
              <w:keepNext/>
              <w:widowControl/>
              <w:spacing w:before="60" w:after="20" w:line="324" w:lineRule="auto"/>
            </w:pPr>
            <w:r>
              <w:rPr>
                <w:rFonts w:cs="Arial Unicode MS"/>
              </w:rPr>
              <w:t xml:space="preserve">3. </w:t>
            </w:r>
            <w:r>
              <w:rPr>
                <w:rFonts w:cs="Arial Unicode MS"/>
              </w:rPr>
              <w:t>拟解决的关键问题</w:t>
            </w:r>
          </w:p>
          <w:p w14:paraId="7FE745EB" w14:textId="77777777" w:rsidR="00121BB8" w:rsidRDefault="00000000">
            <w:pPr>
              <w:widowControl/>
              <w:spacing w:line="324" w:lineRule="auto"/>
            </w:pPr>
            <w:r>
              <w:rPr>
                <w:rFonts w:cs="Arial Unicode MS"/>
              </w:rPr>
              <w:t>（1）如何依据混肥动态与观测可信度，在通信和传感异常下协调云边控制，并保持EC调节的连续性。</w:t>
            </w:r>
          </w:p>
          <w:p w14:paraId="667240DB" w14:textId="77777777" w:rsidR="00121BB8" w:rsidRDefault="00000000">
            <w:pPr>
              <w:widowControl/>
              <w:spacing w:line="324" w:lineRule="auto"/>
            </w:pPr>
            <w:r>
              <w:rPr>
                <w:rFonts w:cs="Arial Unicode MS"/>
              </w:rPr>
              <w:t>（2）如何区分同一任务内的控制模式切换与新任务间的状态重建，使接入配置、控制状态和执行命令保持一致。</w:t>
            </w:r>
          </w:p>
          <w:p w14:paraId="482EEE65" w14:textId="77777777" w:rsidR="00121BB8" w:rsidRDefault="00000000">
            <w:pPr>
              <w:widowControl/>
              <w:spacing w:line="324" w:lineRule="auto"/>
            </w:pPr>
            <w:r>
              <w:rPr>
                <w:rFonts w:cs="Arial Unicode MS"/>
              </w:rPr>
              <w:t>（3）如何在共同对象模型、底层PI和执行约束下，评价EC跟踪、异常恢复与执行器动作之间的关系。</w:t>
            </w:r>
          </w:p>
          <w:p w14:paraId="4B7C748E" w14:textId="77777777" w:rsidR="00121BB8" w:rsidRDefault="00000000">
            <w:pPr>
              <w:widowControl/>
              <w:spacing w:line="324" w:lineRule="auto"/>
            </w:pPr>
            <w:r>
              <w:rPr>
                <w:rFonts w:cs="Arial Unicode MS"/>
              </w:rPr>
              <w:t>（4）如何通过设备—接入点—任务关联实现作业追溯，并适配移动装备的重新接入。</w:t>
            </w:r>
          </w:p>
        </w:tc>
      </w:tr>
    </w:tbl>
    <w:p w14:paraId="37FE0CB4" w14:textId="77777777" w:rsidR="00EB31B3" w:rsidRDefault="00EB31B3">
      <w:pPr>
        <w:keepNext w:val="0"/>
        <w:pageBreakBefore w:val="0"/>
        <w:spacing w:before="0" w:after="0" w:line="20" w:lineRule="exac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00"/>
      </w:tblGrid>
      <w:tr w:rsidR="00EB31B3" w14:paraId="432A4C72" w14:textId="77777777">
        <w:trPr>
          <w:trHeight w:val="13725"/>
        </w:trPr>
        <w:tc>
          <w:tcPr>
            <w:tcW w:w="8100" w:type="dxa"/>
          </w:tcPr>
          <w:p w14:paraId="283A2DBC" w14:textId="77777777" w:rsidR="00121BB8" w:rsidRDefault="00000000">
            <w:pPr>
              <w:keepNext/>
              <w:widowControl/>
              <w:spacing w:after="80" w:line="324" w:lineRule="auto"/>
              <w:jc w:val="left"/>
            </w:pPr>
            <w:r>
              <w:rPr>
                <w:rFonts w:cs="Arial Unicode MS"/>
              </w:rPr>
              <w:lastRenderedPageBreak/>
              <w:t>四、研究思路与方法</w:t>
            </w:r>
          </w:p>
          <w:p w14:paraId="5AF94A28" w14:textId="77777777" w:rsidR="00121BB8" w:rsidRDefault="00000000">
            <w:pPr>
              <w:keepNext/>
              <w:widowControl/>
              <w:spacing w:before="60" w:after="20" w:line="324" w:lineRule="auto"/>
            </w:pPr>
            <w:r>
              <w:rPr>
                <w:rFonts w:cs="Arial Unicode MS"/>
              </w:rPr>
              <w:t xml:space="preserve">1. </w:t>
            </w:r>
            <w:r>
              <w:rPr>
                <w:rFonts w:cs="Arial Unicode MS"/>
              </w:rPr>
              <w:t>总体技术路线</w:t>
            </w:r>
          </w:p>
          <w:p w14:paraId="289EB79A" w14:textId="77777777" w:rsidR="00121BB8" w:rsidRDefault="00000000">
            <w:pPr>
              <w:widowControl/>
              <w:spacing w:line="324" w:lineRule="auto"/>
              <w:ind w:firstLine="420"/>
            </w:pPr>
            <w:r>
              <w:rPr>
                <w:rFonts w:cs="Arial Unicode MS"/>
              </w:rPr>
              <w:t>技术路线围绕系统实现、EC调节和接入任务管理展开。首先确定系统需求、数据关系及感知执行接口，开展混肥动态测量与独立模型验证；随后设计双风险三模式EC控制、无扰切换和任务启动管理；再实现MQTT通信、数据库与管理界面，组织仿真、软件在环和样机验证。移动式装备的多接入点切换纳入应用验证，重点检查新任务初始化和EC恢复。</w:t>
            </w:r>
          </w:p>
          <w:p w14:paraId="6BF644F7" w14:textId="2A53F1EF" w:rsidR="00810B61" w:rsidRDefault="00000000">
            <w:pPr>
              <w:keepNext/>
              <w:spacing w:before="80" w:after="40" w:line="240" w:lineRule="auto"/>
              <w:ind w:firstLine="0" w:left="0" w:right="0"/>
              <w:jc w:val="center"/>
            </w:pPr>
            <w:r>
              <w:drawing>
                <wp:inline xmlns:a="http://schemas.openxmlformats.org/drawingml/2006/main" xmlns:pic="http://schemas.openxmlformats.org/drawingml/2006/picture">
                  <wp:extent cx="4752000" cy="4544517"/>
                  <wp:docPr id="4" name="Picture 4"/>
                  <wp:cNvGraphicFramePr>
                    <a:graphicFrameLocks noChangeAspect="1"/>
                  </wp:cNvGraphicFramePr>
                  <a:graphic>
                    <a:graphicData uri="http://schemas.openxmlformats.org/drawingml/2006/picture">
                      <pic:pic>
                        <pic:nvPicPr>
                          <pic:cNvPr id="0" name="technical_route_ec_task.png"/>
                          <pic:cNvPicPr/>
                        </pic:nvPicPr>
                        <pic:blipFill>
                          <a:blip r:embed="rId11"/>
                          <a:stretch>
                            <a:fillRect/>
                          </a:stretch>
                        </pic:blipFill>
                        <pic:spPr>
                          <a:xfrm>
                            <a:off x="0" y="0"/>
                            <a:ext cx="4752000" cy="4544517"/>
                          </a:xfrm>
                          <a:prstGeom prst="rect"/>
                        </pic:spPr>
                      </pic:pic>
                    </a:graphicData>
                  </a:graphic>
                </wp:inline>
              </w:drawing>
            </w:r>
          </w:p>
          <w:p w14:paraId="61C0B682" w14:textId="77777777" w:rsidR="00810B61" w:rsidRDefault="00000000">
            <w:pPr>
              <w:widowControl/>
              <w:spacing w:after="120"/>
              <w:jc w:val="center"/>
            </w:pPr>
            <w:r>
              <w:rPr/>
              <w:t>图3  智能水肥一体化管控系统研究技术路线图</w:t>
            </w:r>
          </w:p>
          <w:p w14:paraId="39267FF4" w14:textId="77777777" w:rsidR="00121BB8" w:rsidRDefault="00000000">
            <w:pPr>
              <w:widowControl/>
              <w:spacing w:before="60" w:after="20" w:line="324" w:lineRule="auto"/>
            </w:pPr>
            <w:r>
              <w:rPr>
                <w:rFonts w:cs="Arial Unicode MS"/>
              </w:rPr>
              <w:t>2. 混肥对象建模与EC调节</w:t>
            </w:r>
          </w:p>
          <w:p w14:paraId="15078E9B" w14:textId="77777777" w:rsidR="00121BB8" w:rsidRDefault="00000000">
            <w:pPr>
              <w:widowControl/>
              <w:spacing w:line="324" w:lineRule="auto"/>
              <w:ind w:firstLine="420"/>
            </w:pPr>
            <w:r>
              <w:rPr>
                <w:rFonts w:cs="Arial Unicode MS"/>
              </w:rPr>
              <w:t>对象建模先完成EC探头、流量及注肥输出标定，再开展阶跃、启动和设定值变化试验。同步记录入口水EC、母液种类与浓度、温度、出口EC、流量压力和控制动作，以独立的完整运行记录分别进行辨识和验证。模型以增益、时间常数和纯滞后描述混肥响应，验证残差用于观测风险校准。采样周期依据响应速度及接口能力确定，并与控制参数在正式评价前固定。</w:t>
            </w:r>
          </w:p>
          <w:p w14:paraId="5DF6976A" w14:textId="77777777" w:rsidR="00121BB8" w:rsidRDefault="00000000">
            <w:pPr>
              <w:widowControl/>
              <w:snapToGrid w:val="0"/>
              <w:spacing w:after="80" w:line="324" w:lineRule="auto"/>
              <w:ind w:firstLine="420"/>
            </w:pPr>
            <w:r>
              <w:rPr/>
              <w:t>三种模式共用并联离散PI、饱和、抗积分饱和和动作变化率限制。M0利用时间戳与名义模型补偿观测时延，M1以可信边缘观测闭环，M2以同一任务内最后可信观测校正模型递推。各对照方法使用相同对象工况、模型和底层参数，比较重点为风险监督及模式衔接对EC调节的作用。</w:t>
            </w:r>
          </w:p>
          <w:p w14:paraId="581BA5CF" w14:textId="77777777" w:rsidR="00121BB8" w:rsidRDefault="00000000">
            <w:pPr>
              <w:keepNext/>
              <w:widowControl/>
              <w:spacing w:before="60" w:after="20" w:line="324" w:lineRule="auto"/>
            </w:pPr>
            <w:r>
              <w:rPr>
                <w:rFonts w:cs="Arial Unicode MS"/>
              </w:rPr>
              <w:t xml:space="preserve">3. </w:t>
            </w:r>
            <w:r>
              <w:rPr>
                <w:rFonts w:cs="Arial Unicode MS"/>
              </w:rPr>
              <w:t>风险监督与控制权分配</w:t>
            </w:r>
          </w:p>
          <w:p w14:paraId="37B4CA0B" w14:textId="77777777" w:rsidR="00121BB8" w:rsidRDefault="00000000">
            <w:pPr>
              <w:widowControl/>
              <w:spacing w:line="324" w:lineRule="auto"/>
              <w:ind w:firstLine="420"/>
            </w:pPr>
            <w:r>
              <w:rPr>
                <w:rFonts w:cs="Arial Unicode MS"/>
              </w:rPr>
              <w:t>通信风险由命令年龄、已接收命令的时延</w:t>
            </w:r>
            <w:r>
              <w:rPr>
                <w:rFonts w:cs="Arial Unicode MS"/>
              </w:rPr>
              <w:t>EWMA</w:t>
            </w:r>
            <w:r>
              <w:rPr>
                <w:rFonts w:cs="Arial Unicode MS"/>
              </w:rPr>
              <w:t>和最近窗口的序号缺口构成，其中命令年龄用于表征持续通信中断。观测风险由双</w:t>
            </w:r>
            <w:r>
              <w:rPr>
                <w:rFonts w:cs="Arial Unicode MS"/>
              </w:rPr>
              <w:t>EC</w:t>
            </w:r>
            <w:r>
              <w:rPr>
                <w:rFonts w:cs="Arial Unicode MS"/>
              </w:rPr>
              <w:t>通道差和融合观测相对名义模型的残差构成，残差采用</w:t>
            </w:r>
            <w:r>
              <w:rPr>
                <w:rFonts w:cs="Arial Unicode MS"/>
              </w:rPr>
              <w:t>EWMA</w:t>
            </w:r>
            <w:r>
              <w:rPr>
                <w:rFonts w:cs="Arial Unicode MS"/>
              </w:rPr>
              <w:t>降低单点噪声影响。各风险分量归一化到</w:t>
            </w:r>
            <w:r>
              <w:rPr>
                <w:rFonts w:cs="Arial Unicode MS"/>
              </w:rPr>
              <w:t>0</w:t>
            </w:r>
            <w:r>
              <w:rPr>
                <w:rFonts w:cs="Arial Unicode MS"/>
              </w:rPr>
              <w:t>至</w:t>
            </w:r>
            <w:r>
              <w:rPr>
                <w:rFonts w:cs="Arial Unicode MS"/>
              </w:rPr>
              <w:t>1</w:t>
            </w:r>
            <w:r>
              <w:rPr>
                <w:rFonts w:cs="Arial Unicode MS"/>
              </w:rPr>
              <w:t>，归一化尺度与切换阈值仅使用开发场景确定，并在独立评价前固定。</w:t>
            </w:r>
          </w:p>
          <w:p w14:paraId="2DB7EBA7" w14:textId="77777777" w:rsidR="00121BB8" w:rsidRDefault="00000000">
            <w:pPr>
              <w:widowControl/>
              <w:spacing w:line="324" w:lineRule="auto"/>
              <w:ind w:firstLine="420"/>
            </w:pPr>
            <w:r>
              <w:rPr>
                <w:rFonts w:cs="Arial Unicode MS"/>
              </w:rPr>
              <w:t>通信风险超过阈值且观测可信时，由M0转入M1；观测风险升高时进入M2。滞回、最小驻留时间和连续恢复确认管理模式恢复，PI积分反算与云边同步衔接切换动作。任务启动则执行独立的初始化流程：停止注肥，清理旧命令、积分状态与模型锚点，核对接入配置与配方，通水并确认可信观测后从本地控制启动，再按同步条件进入M0。降级锚点由本次作业建立。</w:t>
            </w:r>
          </w:p>
          <w:p w14:paraId="03D82F7A" w14:textId="77777777" w:rsidR="00121BB8" w:rsidRDefault="00000000">
            <w:pPr>
              <w:widowControl/>
              <w:snapToGrid w:val="0"/>
              <w:spacing w:after="80" w:line="324" w:lineRule="auto"/>
              <w:ind w:firstLine="420"/>
            </w:pPr>
            <w:r>
              <w:rPr/>
              <w:t>接入任务管理覆盖配置核对、任务建立、启动、运行和结束。设备、接入点、配方、模型及参数版本在启动前绑定；命令与反馈携带任务标识，接收端拒绝跨任务、重复或陈旧命令，并记录执行状态。同一任务内保存模式切换与状态同步事件，新任务重新建立控制状态。移动装备更换接入点时，按这一流程组织任务交接。任务管理与EC控制的衔接如图4所示。</w:t>
            </w:r>
          </w:p>
          <w:p>
            <w:pPr>
              <w:keepNext/>
              <w:keepLines/>
              <w:widowControl/>
              <w:spacing w:line="276" w:lineRule="auto" w:before="80" w:after="100"/>
              <w:ind w:firstLine="0" w:left="0" w:right="0"/>
              <w:snapToGrid w:val="0"/>
              <w:jc w:val="center"/>
            </w:pPr>
            <w:r>
              <w:drawing>
                <wp:inline xmlns:a="http://schemas.openxmlformats.org/drawingml/2006/main" xmlns:pic="http://schemas.openxmlformats.org/drawingml/2006/picture">
                  <wp:extent cx="4752000" cy="4573438"/>
                  <wp:docPr id="3" name="Picture 3" descr="转场任务初始化与连续作业监督流程"/>
                  <wp:cNvGraphicFramePr>
                    <a:graphicFrameLocks noChangeAspect="1"/>
                  </wp:cNvGraphicFramePr>
                  <a:graphic>
                    <a:graphicData uri="http://schemas.openxmlformats.org/drawingml/2006/picture">
                      <pic:pic>
                        <pic:nvPicPr>
                          <pic:cNvPr id="0" name="task_control_flow.png"/>
                          <pic:cNvPicPr/>
                        </pic:nvPicPr>
                        <pic:blipFill>
                          <a:blip r:embed="rId10"/>
                          <a:stretch>
                            <a:fillRect/>
                          </a:stretch>
                        </pic:blipFill>
                        <pic:spPr>
                          <a:xfrm>
                            <a:off x="0" y="0"/>
                            <a:ext cx="4752000" cy="4573438"/>
                          </a:xfrm>
                          <a:prstGeom prst="rect"/>
                        </pic:spPr>
                      </pic:pic>
                    </a:graphicData>
                  </a:graphic>
                </wp:inline>
              </w:drawing>
            </w:r>
          </w:p>
          <w:p>
            <w:pPr>
              <w:keepLines/>
              <w:widowControl/>
              <w:spacing w:line="276" w:lineRule="auto" w:before="80" w:after="100"/>
              <w:ind w:firstLine="0" w:left="0" w:right="0"/>
              <w:snapToGrid w:val="0"/>
              <w:jc w:val="center"/>
            </w:pPr>
            <w:r>
              <w:rPr>
                <w:rFonts w:ascii="Times New Roman" w:hAnsi="Times New Roman" w:eastAsia="宋体"/>
                <w:sz w:val="20"/>
              </w:rPr>
              <w:t>图4  接入任务管理与EC协同控制流程（自绘）</w:t>
            </w:r>
          </w:p>
          <w:p w14:paraId="17A20B94" w14:textId="77777777" w:rsidR="00121BB8" w:rsidRDefault="00000000">
            <w:pPr>
              <w:widowControl/>
              <w:spacing w:before="60" w:after="20" w:line="324" w:lineRule="auto"/>
            </w:pPr>
            <w:r>
              <w:rPr>
                <w:rFonts w:cs="Arial Unicode MS"/>
              </w:rPr>
              <w:t xml:space="preserve">4. </w:t>
            </w:r>
            <w:r>
              <w:rPr>
                <w:rFonts w:cs="Arial Unicode MS"/>
              </w:rPr>
              <w:t>系统软件实现</w:t>
            </w:r>
          </w:p>
          <w:p w14:paraId="3EA2DF58" w14:textId="77777777" w:rsidR="00121BB8" w:rsidRDefault="00000000">
            <w:pPr>
              <w:widowControl/>
              <w:spacing w:line="324" w:lineRule="auto"/>
              <w:ind w:firstLine="420"/>
            </w:pPr>
            <w:r>
              <w:rPr>
                <w:rFonts w:cs="Arial Unicode MS"/>
              </w:rPr>
              <w:t>系统按设备适配、边缘监督、云端服务、数据管理和界面进程组织。仿真对象端与样机适配端使用相同消息结构；设备端发布EC和流量压力等状态，云端执行时间戳预测，边缘端负责启动检查、双风险计算和控制执行。MQTT消息携带设备标识、接入点标识、任务标识、序号与源时间戳，接收端执行幂等、陈旧拒绝和跨任务隔离。样机控制器的原有压力液位联锁与人工停止通道保持独立，控制服务经接口适配下发动作。</w:t>
            </w:r>
          </w:p>
          <w:p w14:paraId="095EFDC0" w14:textId="77777777" w:rsidR="00121BB8" w:rsidRDefault="00000000">
            <w:pPr>
              <w:widowControl/>
              <w:spacing w:line="324" w:lineRule="auto"/>
              <w:ind w:firstLine="420"/>
            </w:pPr>
            <w:r>
              <w:rPr>
                <w:rFonts w:cs="Arial Unicode MS"/>
              </w:rPr>
              <w:t>平台界面按实时监视、接入配置、任务管理、告警和历史查询组织。运行页展示EC设定值与反馈、流量压力、风险和控制模式；任务页管理配方、接入点、启停状态与执行反馈；历史页按任务关联数据、命令和事件。数据库与消息记录使用一致的任务及版本标识，使界面显示、控制执行和作业追溯相互对应。</w:t>
            </w:r>
          </w:p>
          <w:p w14:paraId="1C396CDE" w14:textId="77777777" w:rsidR="00121BB8" w:rsidRDefault="00000000">
            <w:pPr>
              <w:widowControl/>
              <w:spacing w:before="60" w:after="20" w:line="324" w:lineRule="auto"/>
            </w:pPr>
            <w:r>
              <w:rPr>
                <w:rFonts w:cs="Arial Unicode MS"/>
              </w:rPr>
              <w:t>5. 分层试验与评价指标</w:t>
            </w:r>
          </w:p>
          <w:p w14:paraId="62124A60" w14:textId="77777777" w:rsidR="00121BB8" w:rsidRDefault="00000000">
            <w:pPr>
              <w:widowControl/>
              <w:spacing w:line="324" w:lineRule="auto"/>
              <w:ind w:firstLine="420"/>
            </w:pPr>
            <w:r>
              <w:rPr>
                <w:rFonts w:cs="Arial Unicode MS"/>
              </w:rPr>
              <w:t>控制算法采用对象工况、网络状态、观测状态和随机种子配对设计，比较云端时间戳预测、固定阈值边缘回退与双风险协同控制。正常场景评价EC跟踪与动作代价，异常场景评价通信中断、观测偏差及恢复过程。分别消融观测风险与切换机制，检验反馈选择及状态同步的作用。模型、底层PI和风险参数在开发阶段确定，独立评价后不再调整。</w:t>
            </w:r>
          </w:p>
          <w:p w14:paraId="72BC3AE2" w14:textId="77777777" w:rsidR="00121BB8" w:rsidRDefault="00000000">
            <w:pPr>
              <w:widowControl/>
              <w:spacing w:line="324" w:lineRule="auto"/>
              <w:ind w:firstLine="420"/>
            </w:pPr>
            <w:r>
              <w:rPr>
                <w:rFonts w:cs="Arial Unicode MS"/>
              </w:rPr>
              <w:t>样机试验以EC调节为核心，先开展正常启动、设定值跟踪与稳态作业，再实施可控短时通信中断和重连。低、中、高三个供水压力水平用于表征对象工况，具体值在设备额定范围内经预试验确定；各方法采用共同配方、初始状态和执行约束。每种方法在同一工况下初步安排不少于3次独立启动—作业重复，按批次轮换方法顺序，统一通水、清洗、母液配制及初始EC确认流程。最终重复数依据预试验变异和主要终点精度确定。</w:t>
            </w:r>
          </w:p>
          <w:p>
            <w:pPr>
              <w:widowControl/>
              <w:spacing w:line="324" w:lineRule="auto"/>
              <w:ind w:firstLine="420"/>
              <w:jc w:val="left"/>
            </w:pPr>
            <w:r>
              <w:rPr>
                <w:rFonts w:cs="Arial Unicode MS"/>
              </w:rPr>
              <w:t>系统功能验证覆盖设备接入、任务启停、告警、历史查询及命令反馈关联，通过重复、乱序、延迟和跨任务消息注入核对处理结果。移动接入专项初步选择两个接入点配置，统一配方和目标EC，比较规范初始化与原有启动流程；记录从接入检查通过到EC持续进入允许带的时间，核对旧命令隔离和任务状态重建。接入点条件按样机接口及预试验确定。</w:t>
            </w:r>
          </w:p>
          <w:p w14:paraId="3A2BF387" w14:textId="77777777" w:rsidR="00121BB8" w:rsidRDefault="00000000">
            <w:pPr>
              <w:widowControl/>
              <w:snapToGrid w:val="0"/>
              <w:spacing w:after="80" w:line="324" w:lineRule="auto"/>
              <w:ind w:firstLine="420"/>
            </w:pPr>
            <w:r>
              <w:rPr/>
              <w:t>EC控制以超出允许带的累计时间Tout为主要指标，辅以IAE、最大误差、稳定时间、执行器总变差TV、切换次数和模式占用率。任务管理评价命令反馈对应、旧任务命令拒绝、状态重建及事件追溯；移动接入专项增加接入后EC恢复时间和启动成功率。EC允许带、持续达标判据、计时起点与功能通过条件在正式试验前固定，失败记录纳入汇总。以完整运行作为重复单位，配对报告差值、区间及尾部工况，分层解释仿真、软件在环和样机结果。</w:t>
            </w:r>
          </w:p>
        </w:tc>
      </w:tr>
      <w:tr w:rsidR="00EB31B3" w14:paraId="6F55017F" w14:textId="77777777">
        <w:trPr>
          <w:trHeight w:val="6555"/>
        </w:trPr>
        <w:tc>
          <w:tcPr>
            <w:tcW w:w="8100" w:type="dxa"/>
          </w:tcPr>
          <w:p w14:paraId="48C3996A" w14:textId="77777777" w:rsidR="00121BB8" w:rsidRDefault="00000000">
            <w:pPr>
              <w:widowControl/>
              <w:spacing w:after="80" w:line="324" w:lineRule="auto"/>
              <w:jc w:val="left"/>
            </w:pPr>
            <w:r>
              <w:rPr>
                <w:rFonts w:cs="Arial Unicode MS"/>
              </w:rPr>
              <w:lastRenderedPageBreak/>
              <w:t>五、研究特色和创新之处</w:t>
            </w:r>
          </w:p>
          <w:p w14:paraId="12E155D8" w14:textId="77777777" w:rsidR="00121BB8" w:rsidRDefault="00000000">
            <w:pPr>
              <w:widowControl/>
              <w:spacing w:line="324" w:lineRule="auto"/>
            </w:pPr>
            <w:r>
              <w:rPr>
                <w:rFonts w:cs="Arial Unicode MS"/>
              </w:rPr>
              <w:t>（1）通信与观测双风险驱动的EC协同控制。拟依据命令时效性和现场EC观测可信度，在云端预测、边缘控制与模型锚定降级之间分配控制权，并通过积分反算与状态同步衔接模式切换。以共同底层PI下的配对对照和机制消融，检验异常期间EC调节与动作平滑性。</w:t>
            </w:r>
          </w:p>
          <w:p w14:paraId="69A70D3E" w14:textId="77777777" w:rsidR="00121BB8" w:rsidRDefault="00000000">
            <w:pPr>
              <w:widowControl/>
              <w:spacing w:line="324" w:lineRule="auto"/>
            </w:pPr>
            <w:r>
              <w:rPr>
                <w:rFonts w:cs="Arial Unicode MS"/>
              </w:rPr>
              <w:t>（2）接入任务与控制状态的协同管理。拟将设备、接入点、配方及模型版本关联到具体任务，区分跨任务状态初始化与同一任务内的无扰切换，使启动检查、命令执行和控制恢复按统一任务关系运行。以跨任务命令拒绝、反馈一致性和启动对照验证这一衔接机制。</w:t>
            </w:r>
          </w:p>
          <w:p w14:paraId="48B3F231" w14:textId="77777777" w:rsidR="00121BB8" w:rsidRDefault="00000000">
            <w:pPr>
              <w:widowControl/>
              <w:spacing w:line="324" w:lineRule="auto"/>
            </w:pPr>
            <w:r>
              <w:rPr>
                <w:rFonts w:cs="Arial Unicode MS"/>
              </w:rPr>
              <w:t>（3）面向红壤丘陵区分散地块的移动接入应用特色。以移动式水肥一体机为载体，将不同接入点的配置切换、旧状态清理及EC恢复纳入平台流程。通过重新接入专项试验，检验系统在地块间轮换作业时的任务交接与控制恢复能力。</w:t>
            </w:r>
          </w:p>
          <w:p w14:paraId="3A5F2681" w14:textId="77777777" w:rsidR="00121BB8" w:rsidRDefault="00000000">
            <w:pPr>
              <w:widowControl/>
              <w:spacing w:line="324" w:lineRule="auto"/>
            </w:pPr>
            <w:r>
              <w:rPr>
                <w:rFonts w:cs="Arial Unicode MS"/>
              </w:rPr>
              <w:t>课题以EC协同控制和接入任务管理为研究重点，以物联网管控系统实现连接算法与作业功能，移动接入体现面向分散地块的应用特色。</w:t>
            </w:r>
          </w:p>
        </w:tc>
      </w:tr>
      <w:tr w:rsidR="00EB31B3" w14:paraId="6D664E6C" w14:textId="77777777">
        <w:trPr>
          <w:trHeight w:val="6855"/>
        </w:trPr>
        <w:tc>
          <w:tcPr>
            <w:tcW w:w="8100" w:type="dxa"/>
          </w:tcPr>
          <w:p w14:paraId="2B274ECA" w14:textId="77777777" w:rsidR="00121BB8" w:rsidRDefault="00000000">
            <w:pPr>
              <w:widowControl/>
              <w:spacing w:after="80" w:line="324" w:lineRule="auto"/>
              <w:jc w:val="left"/>
            </w:pPr>
            <w:r>
              <w:rPr>
                <w:rFonts w:cs="Arial Unicode MS"/>
              </w:rPr>
              <w:t>六、研究条件、可能遇到的困难及拟采取的解决方法</w:t>
            </w:r>
          </w:p>
          <w:p w14:paraId="1E065335" w14:textId="77777777" w:rsidR="00121BB8" w:rsidRDefault="00000000">
            <w:pPr>
              <w:widowControl/>
              <w:spacing w:before="60" w:after="20" w:line="324" w:lineRule="auto"/>
            </w:pPr>
            <w:r>
              <w:rPr>
                <w:rFonts w:cs="Arial Unicode MS"/>
              </w:rPr>
              <w:t xml:space="preserve">1. </w:t>
            </w:r>
            <w:r>
              <w:rPr>
                <w:rFonts w:cs="Arial Unicode MS"/>
              </w:rPr>
              <w:t>研究条件与实现基础</w:t>
            </w:r>
          </w:p>
          <w:p w14:paraId="73B2D817" w14:textId="77777777" w:rsidR="00121BB8" w:rsidRDefault="00000000">
            <w:pPr>
              <w:widowControl/>
              <w:spacing w:line="324" w:lineRule="auto"/>
              <w:ind w:firstLine="420"/>
            </w:pPr>
            <w:r>
              <w:rPr>
                <w:rFonts w:cs="Arial Unicode MS"/>
              </w:rPr>
              <w:t>本课题以水肥一体机及其感知执行接口作为实体试验载体，开展EC与注肥标定、混肥动态辨识、闭环对照和任务管理验证。本地计算环境承担对象仿真、异常注入、统计评价及MQTT软件在环；移动式样机用于进一步检验不同接入点下的配置管理、启动与控制恢复。</w:t>
            </w:r>
          </w:p>
          <w:p w14:paraId="2F18E145" w14:textId="77777777" w:rsidR="00121BB8" w:rsidRDefault="00000000">
            <w:pPr>
              <w:widowControl/>
              <w:spacing w:line="324" w:lineRule="auto"/>
              <w:ind w:firstLine="420"/>
            </w:pPr>
            <w:r>
              <w:rPr>
                <w:rFonts w:cs="Arial Unicode MS"/>
              </w:rPr>
              <w:t>软件实现拟以</w:t>
            </w:r>
            <w:r>
              <w:rPr>
                <w:rFonts w:cs="Arial Unicode MS"/>
              </w:rPr>
              <w:t>Python</w:t>
            </w:r>
            <w:r>
              <w:rPr>
                <w:rFonts w:cs="Arial Unicode MS"/>
              </w:rPr>
              <w:t>承担对象建模、控制算法、统计评价和</w:t>
            </w:r>
            <w:r>
              <w:rPr>
                <w:rFonts w:cs="Arial Unicode MS"/>
              </w:rPr>
              <w:t>MQTT</w:t>
            </w:r>
            <w:r>
              <w:rPr>
                <w:rFonts w:cs="Arial Unicode MS"/>
              </w:rPr>
              <w:t>进程编排，以数据库保存任务与事件，以前端组件呈现实时状态和历史记录。</w:t>
            </w:r>
            <w:r>
              <w:rPr>
                <w:rFonts w:cs="Arial Unicode MS"/>
              </w:rPr>
              <w:t>MATLAB</w:t>
            </w:r>
            <w:r>
              <w:rPr>
                <w:rFonts w:cs="Arial Unicode MS"/>
              </w:rPr>
              <w:t>用于必要的数值交叉检查或</w:t>
            </w:r>
            <w:r>
              <w:rPr>
                <w:rFonts w:cs="Arial Unicode MS"/>
              </w:rPr>
              <w:t>Simulink</w:t>
            </w:r>
            <w:r>
              <w:rPr>
                <w:rFonts w:cs="Arial Unicode MS"/>
              </w:rPr>
              <w:t>展示，</w:t>
            </w:r>
            <w:r>
              <w:rPr>
                <w:rFonts w:cs="Arial Unicode MS"/>
              </w:rPr>
              <w:t>Java</w:t>
            </w:r>
            <w:r>
              <w:rPr>
                <w:rFonts w:cs="Arial Unicode MS"/>
              </w:rPr>
              <w:t>作为可选的平台服务工具。各工具通过明确接口协同，不作为研究结论的前提。</w:t>
            </w:r>
          </w:p>
          <w:p w14:paraId="6886D1BB" w14:textId="77777777" w:rsidR="00121BB8" w:rsidRDefault="00000000">
            <w:pPr>
              <w:keepNext/>
              <w:pageBreakBefore/>
              <w:widowControl/>
              <w:spacing w:before="60" w:after="20" w:line="324" w:lineRule="auto"/>
            </w:pPr>
            <w:r>
              <w:rPr>
                <w:rFonts w:cs="Arial Unicode MS"/>
              </w:rPr>
              <w:t xml:space="preserve">2. </w:t>
            </w:r>
            <w:r>
              <w:rPr>
                <w:rFonts w:cs="Arial Unicode MS"/>
              </w:rPr>
              <w:t>可能困难及解决方法</w:t>
            </w:r>
          </w:p>
          <w:p w14:paraId="1728DF95" w14:textId="77777777" w:rsidR="00121BB8" w:rsidRDefault="00000000">
            <w:pPr>
              <w:widowControl/>
              <w:spacing w:line="324" w:lineRule="auto"/>
            </w:pPr>
            <w:r>
              <w:rPr>
                <w:rFonts w:cs="Arial Unicode MS"/>
              </w:rPr>
              <w:t>（1）混肥动态与模型配置随供水和管路工况变化。先开展额定范围内的响应试验，分离辨识与验证数据；用独立验证残差校准观测风险，在模型失配场景中检查误切换，并为接入配置绑定适用模型。</w:t>
            </w:r>
          </w:p>
          <w:p w14:paraId="16161925" w14:textId="77777777" w:rsidR="00121BB8" w:rsidRDefault="00000000">
            <w:pPr>
              <w:widowControl/>
              <w:spacing w:line="324" w:lineRule="auto"/>
            </w:pPr>
            <w:r>
              <w:rPr>
                <w:rFonts w:cs="Arial Unicode MS"/>
              </w:rPr>
              <w:t>（</w:t>
            </w:r>
            <w:r>
              <w:rPr>
                <w:rFonts w:cs="Arial Unicode MS"/>
              </w:rPr>
              <w:t>2</w:t>
            </w:r>
            <w:r>
              <w:rPr>
                <w:rFonts w:cs="Arial Unicode MS"/>
              </w:rPr>
              <w:t>）双传感器共同漂移难以由通道差识别。研究将其单列为压力场景，并预留参考</w:t>
            </w:r>
            <w:r>
              <w:rPr>
                <w:rFonts w:cs="Arial Unicode MS"/>
              </w:rPr>
              <w:t>EC</w:t>
            </w:r>
            <w:r>
              <w:rPr>
                <w:rFonts w:cs="Arial Unicode MS"/>
              </w:rPr>
              <w:t>、在线校准及流量和配比等异构观测接口，相关结果独立报告。</w:t>
            </w:r>
          </w:p>
          <w:p w14:paraId="68CF54E4" w14:textId="77777777" w:rsidR="00121BB8" w:rsidRDefault="00000000">
            <w:pPr>
              <w:widowControl/>
              <w:spacing w:line="324" w:lineRule="auto"/>
            </w:pPr>
            <w:r>
              <w:rPr>
                <w:rFonts w:cs="Arial Unicode MS"/>
              </w:rPr>
              <w:t>（3）转场初始化与模式切换需要不同的状态处理。新任务清除旧命令和旧锚点，重建传感与模型状态；同一任务内采用PI积分反算、云边状态同步和变化率限制衔接输出。分别用跨任务命令拒绝检查、启动恢复试验与切换TV评价其作用。</w:t>
            </w:r>
          </w:p>
          <w:p w14:paraId="74F88E5C" w14:textId="77777777" w:rsidR="00121BB8" w:rsidRDefault="00000000">
            <w:pPr>
              <w:widowControl/>
              <w:spacing w:line="324" w:lineRule="auto"/>
            </w:pPr>
            <w:r>
              <w:rPr>
                <w:rFonts w:cs="Arial Unicode MS"/>
              </w:rPr>
              <w:t>（</w:t>
            </w:r>
            <w:r>
              <w:rPr>
                <w:rFonts w:cs="Arial Unicode MS"/>
              </w:rPr>
              <w:t>4</w:t>
            </w:r>
            <w:r>
              <w:rPr>
                <w:rFonts w:cs="Arial Unicode MS"/>
              </w:rPr>
              <w:t>）</w:t>
            </w:r>
            <w:r>
              <w:rPr>
                <w:rFonts w:cs="Arial Unicode MS"/>
              </w:rPr>
              <w:t>MQTT QoS 1</w:t>
            </w:r>
            <w:r>
              <w:rPr>
                <w:rFonts w:cs="Arial Unicode MS"/>
              </w:rPr>
              <w:t>允许重复投递和消息乱序。消息携带任务标识、逻辑序号和源时间戳，接收端执行幂等、顺序检查和陈旧拒绝，并通过故障代理与重放检验。</w:t>
            </w:r>
          </w:p>
          <w:p w14:paraId="7E7A4FF6" w14:textId="77777777" w:rsidR="00121BB8" w:rsidRDefault="00000000">
            <w:pPr>
              <w:widowControl/>
              <w:spacing w:line="324" w:lineRule="auto"/>
            </w:pPr>
            <w:r>
              <w:rPr>
                <w:rFonts w:cs="Arial Unicode MS"/>
              </w:rPr>
              <w:t>（</w:t>
            </w:r>
            <w:r>
              <w:rPr>
                <w:rFonts w:cs="Arial Unicode MS"/>
              </w:rPr>
              <w:t>5</w:t>
            </w:r>
            <w:r>
              <w:rPr>
                <w:rFonts w:cs="Arial Unicode MS"/>
              </w:rPr>
              <w:t>）平均指标可能掩盖尾部恶化。实验保持场景级配对，报告中位数、</w:t>
            </w:r>
            <w:r>
              <w:rPr>
                <w:rFonts w:cs="Arial Unicode MS"/>
              </w:rPr>
              <w:t>P90</w:t>
            </w:r>
            <w:r>
              <w:rPr>
                <w:rFonts w:cs="Arial Unicode MS"/>
              </w:rPr>
              <w:t>、改善比例、恶化比例和最差工况；参数仅在开发场景选择，独立评价后不再调整。</w:t>
            </w:r>
          </w:p>
          <w:p w14:paraId="355A89D4" w14:textId="77777777" w:rsidR="00121BB8" w:rsidRDefault="00000000">
            <w:pPr>
              <w:widowControl/>
              <w:spacing w:line="324" w:lineRule="auto"/>
            </w:pPr>
            <w:r>
              <w:rPr>
                <w:rFonts w:cs="Arial Unicode MS"/>
              </w:rPr>
              <w:t>（6）样机初始状态和配方残留会影响重复试验。规定通水、清洗、母液配制及初始EC确认流程，记录温度、压力和流量；预试验确定测量周期、允许带和稳定判据后冻结。样机试验保留独立参考EC、压力液位联锁与人工停止通道，在线异常试验按预先规定的可控范围实施。</w:t>
            </w:r>
          </w:p>
        </w:tc>
      </w:tr>
    </w:tbl>
    <w:p w14:paraId="08DB7F39" w14:textId="77777777" w:rsidR="00EB31B3" w:rsidRDefault="00EB31B3">
      <w:pPr>
        <w:keepNext w:val="0"/>
        <w:pageBreakBefore w:val="0"/>
        <w:spacing w:before="0" w:after="0" w:line="20" w:lineRule="exact"/>
      </w:pP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977"/>
        <w:gridCol w:w="3138"/>
        <w:gridCol w:w="360"/>
      </w:tblGrid>
      <w:tr w:rsidR="00EB31B3" w14:paraId="596FACE3" w14:textId="77777777">
        <w:trPr>
          <w:gridAfter w:val="1"/>
          <w:wAfter w:w="360" w:type="dxa"/>
          <w:trHeight w:val="416"/>
        </w:trPr>
        <w:tc>
          <w:tcPr>
            <w:tcW w:w="8100" w:type="dxa"/>
            <w:gridSpan w:val="3"/>
            <w:tcBorders>
              <w:top w:val="single" w:sz="4" w:space="0" w:color="auto"/>
              <w:left w:val="single" w:sz="4" w:space="0" w:color="auto"/>
              <w:bottom w:val="single" w:sz="4" w:space="0" w:color="auto"/>
              <w:right w:val="single" w:sz="4" w:space="0" w:color="auto"/>
            </w:tcBorders>
          </w:tcPr>
          <w:p w14:paraId="67AC5617" w14:textId="77777777" w:rsidR="00EB31B3" w:rsidRDefault="00000000">
            <w:pPr>
              <w:rPr>
                <w:b/>
                <w:sz w:val="28"/>
                <w:szCs w:val="28"/>
              </w:rPr>
            </w:pPr>
            <w:r>
              <w:rPr>
                <w:rFonts w:hint="eastAsia"/>
                <w:b/>
                <w:sz w:val="28"/>
                <w:szCs w:val="28"/>
              </w:rPr>
              <w:t>七、研究进度及具体时间安排</w:t>
            </w:r>
          </w:p>
        </w:tc>
      </w:tr>
      <w:tr w:rsidR="00EB31B3" w14:paraId="1123C371" w14:textId="77777777">
        <w:trPr>
          <w:gridAfter w:val="1"/>
          <w:wAfter w:w="360" w:type="dxa"/>
          <w:cantSplit/>
          <w:trHeight w:val="480"/>
        </w:trPr>
        <w:tc>
          <w:tcPr>
            <w:tcW w:w="1985" w:type="dxa"/>
            <w:vAlign w:val="center"/>
          </w:tcPr>
          <w:p w14:paraId="2C4855F6" w14:textId="77777777" w:rsidR="00EB31B3" w:rsidRDefault="00000000">
            <w:pPr>
              <w:jc w:val="center"/>
            </w:pPr>
            <w:r>
              <w:rPr>
                <w:rFonts w:hint="eastAsia"/>
              </w:rPr>
              <w:t>起止日期</w:t>
            </w:r>
          </w:p>
        </w:tc>
        <w:tc>
          <w:tcPr>
            <w:tcW w:w="2977" w:type="dxa"/>
            <w:vAlign w:val="center"/>
          </w:tcPr>
          <w:p w14:paraId="6E167B82" w14:textId="77777777" w:rsidR="00EB31B3" w:rsidRDefault="00000000">
            <w:pPr>
              <w:jc w:val="center"/>
            </w:pPr>
            <w:r>
              <w:rPr>
                <w:rFonts w:hint="eastAsia"/>
              </w:rPr>
              <w:t>主要研究内容</w:t>
            </w:r>
          </w:p>
        </w:tc>
        <w:tc>
          <w:tcPr>
            <w:tcW w:w="3138" w:type="dxa"/>
            <w:vAlign w:val="center"/>
          </w:tcPr>
          <w:p w14:paraId="6F8D0C74" w14:textId="77777777" w:rsidR="00EB31B3" w:rsidRDefault="00000000">
            <w:pPr>
              <w:jc w:val="center"/>
            </w:pPr>
            <w:r>
              <w:rPr>
                <w:rFonts w:hint="eastAsia"/>
              </w:rPr>
              <w:t>预期结果</w:t>
            </w:r>
          </w:p>
        </w:tc>
      </w:tr>
      <w:tr w:rsidR="00EB31B3" w14:paraId="7D1DA1D5" w14:textId="77777777">
        <w:trPr>
          <w:gridAfter w:val="1"/>
          <w:wAfter w:w="360" w:type="dxa"/>
          <w:cantSplit/>
          <w:trHeight w:val="480"/>
        </w:trPr>
        <w:tc>
          <w:tcPr>
            <w:tcW w:w="1985" w:type="dxa"/>
            <w:vAlign w:val="center"/>
          </w:tcPr>
          <w:p w14:paraId="240D7EEC" w14:textId="77777777" w:rsidR="00121BB8" w:rsidRDefault="00000000">
            <w:pPr>
              <w:spacing w:line="276" w:lineRule="auto"/>
              <w:jc w:val="center"/>
            </w:pPr>
            <w:r>
              <w:rPr>
                <w:rFonts w:cs="Arial Unicode MS"/>
                <w:sz w:val="19"/>
              </w:rPr>
              <w:t>2026.09—2026.10</w:t>
            </w:r>
          </w:p>
        </w:tc>
        <w:tc>
          <w:tcPr>
            <w:tcW w:w="2977" w:type="dxa"/>
            <w:vAlign w:val="center"/>
          </w:tcPr>
          <w:p w14:paraId="34CAF868" w14:textId="77777777" w:rsidR="00121BB8" w:rsidRDefault="00000000">
            <w:pPr>
              <w:spacing w:line="276" w:lineRule="auto"/>
              <w:jc w:val="left"/>
            </w:pPr>
            <w:r>
              <w:rPr>
                <w:rFonts w:cs="Arial Unicode MS"/>
                <w:sz w:val="19"/>
              </w:rPr>
              <w:t>完成开题论证，冻结系统范围、控制对象、研究问题和分层验证协议。</w:t>
            </w:r>
          </w:p>
        </w:tc>
        <w:tc>
          <w:tcPr>
            <w:tcW w:w="3138" w:type="dxa"/>
            <w:vAlign w:val="center"/>
          </w:tcPr>
          <w:p w14:paraId="69A86AFF" w14:textId="77777777" w:rsidR="00121BB8" w:rsidRDefault="00000000">
            <w:pPr>
              <w:spacing w:line="276" w:lineRule="auto"/>
              <w:jc w:val="left"/>
            </w:pPr>
            <w:r>
              <w:rPr>
                <w:rFonts w:cs="Arial Unicode MS"/>
                <w:sz w:val="19"/>
              </w:rPr>
              <w:t>开题报告、需求规格和实验协议</w:t>
            </w:r>
          </w:p>
        </w:tc>
      </w:tr>
      <w:tr w:rsidR="00EB31B3" w14:paraId="64BDBAB4" w14:textId="77777777">
        <w:trPr>
          <w:gridAfter w:val="1"/>
          <w:wAfter w:w="360" w:type="dxa"/>
          <w:cantSplit/>
          <w:trHeight w:val="480"/>
        </w:trPr>
        <w:tc>
          <w:tcPr>
            <w:tcW w:w="1985" w:type="dxa"/>
            <w:vAlign w:val="center"/>
          </w:tcPr>
          <w:p w14:paraId="74D6697A" w14:textId="77777777" w:rsidR="00121BB8" w:rsidRDefault="00000000">
            <w:pPr>
              <w:spacing w:line="276" w:lineRule="auto"/>
              <w:jc w:val="center"/>
            </w:pPr>
            <w:r>
              <w:rPr>
                <w:rFonts w:cs="Arial Unicode MS"/>
                <w:sz w:val="19"/>
              </w:rPr>
              <w:t>2026.11—2027.01</w:t>
            </w:r>
          </w:p>
        </w:tc>
        <w:tc>
          <w:tcPr>
            <w:tcW w:w="2977" w:type="dxa"/>
            <w:vAlign w:val="center"/>
          </w:tcPr>
          <w:p w14:paraId="60996C52" w14:textId="77777777" w:rsidR="00121BB8" w:rsidRDefault="00000000">
            <w:pPr>
              <w:spacing w:line="276" w:lineRule="auto"/>
              <w:jc w:val="left"/>
            </w:pPr>
            <w:r>
              <w:rPr>
                <w:rFonts w:cs="Arial Unicode MS"/>
                <w:sz w:val="19"/>
              </w:rPr>
              <w:t>完成设备采集执行接口和EC注肥标定，开展混肥辨识与独立验证，建立任务及接入数据模型。</w:t>
            </w:r>
          </w:p>
        </w:tc>
        <w:tc>
          <w:tcPr>
            <w:tcW w:w="3138" w:type="dxa"/>
            <w:vAlign w:val="center"/>
          </w:tcPr>
          <w:p w14:paraId="78DD817E" w14:textId="77777777" w:rsidR="00121BB8" w:rsidRDefault="00000000">
            <w:pPr>
              <w:spacing w:line="276" w:lineRule="auto"/>
              <w:jc w:val="left"/>
            </w:pPr>
            <w:r>
              <w:rPr>
                <w:rFonts w:cs="Arial Unicode MS"/>
                <w:sz w:val="19"/>
              </w:rPr>
              <w:t>接口规格、混肥模型与任务模型</w:t>
            </w:r>
          </w:p>
        </w:tc>
      </w:tr>
      <w:tr w:rsidR="00EB31B3" w14:paraId="0983DAC5" w14:textId="77777777">
        <w:trPr>
          <w:gridAfter w:val="1"/>
          <w:wAfter w:w="360" w:type="dxa"/>
          <w:cantSplit/>
          <w:trHeight w:val="480"/>
        </w:trPr>
        <w:tc>
          <w:tcPr>
            <w:tcW w:w="1985" w:type="dxa"/>
            <w:vAlign w:val="center"/>
          </w:tcPr>
          <w:p w14:paraId="5DB075DD" w14:textId="77777777" w:rsidR="00121BB8" w:rsidRDefault="00000000">
            <w:pPr>
              <w:spacing w:line="276" w:lineRule="auto"/>
              <w:jc w:val="center"/>
            </w:pPr>
            <w:r>
              <w:rPr>
                <w:rFonts w:cs="Arial Unicode MS"/>
                <w:sz w:val="19"/>
              </w:rPr>
              <w:t>2027.02—2027.04</w:t>
            </w:r>
          </w:p>
        </w:tc>
        <w:tc>
          <w:tcPr>
            <w:tcW w:w="2977" w:type="dxa"/>
            <w:vAlign w:val="center"/>
          </w:tcPr>
          <w:p w14:paraId="55A67D65" w14:textId="77777777" w:rsidR="00121BB8" w:rsidRDefault="00000000">
            <w:pPr>
              <w:spacing w:line="276" w:lineRule="auto"/>
              <w:jc w:val="left"/>
            </w:pPr>
            <w:r>
              <w:rPr>
                <w:rFonts w:cs="Arial Unicode MS"/>
                <w:sz w:val="19"/>
              </w:rPr>
              <w:t>实现双风险三模式EC控制与无扰切换，设计任务启动检查、状态初始化及命令隔离。</w:t>
            </w:r>
          </w:p>
        </w:tc>
        <w:tc>
          <w:tcPr>
            <w:tcW w:w="3138" w:type="dxa"/>
            <w:vAlign w:val="center"/>
          </w:tcPr>
          <w:p w14:paraId="6F256AEC" w14:textId="77777777" w:rsidR="00121BB8" w:rsidRDefault="00000000">
            <w:pPr>
              <w:spacing w:line="276" w:lineRule="auto"/>
              <w:jc w:val="left"/>
            </w:pPr>
            <w:r>
              <w:rPr>
                <w:rFonts w:cs="Arial Unicode MS"/>
                <w:sz w:val="19"/>
              </w:rPr>
              <w:t>EC协同控制与任务管理方法</w:t>
            </w:r>
          </w:p>
        </w:tc>
      </w:tr>
      <w:tr w:rsidR="00EB31B3" w14:paraId="20BDA52D" w14:textId="77777777">
        <w:trPr>
          <w:gridAfter w:val="1"/>
          <w:wAfter w:w="360" w:type="dxa"/>
          <w:cantSplit/>
          <w:trHeight w:val="480"/>
        </w:trPr>
        <w:tc>
          <w:tcPr>
            <w:tcW w:w="1985" w:type="dxa"/>
            <w:vAlign w:val="center"/>
          </w:tcPr>
          <w:p w14:paraId="226C74C9" w14:textId="77777777" w:rsidR="00121BB8" w:rsidRDefault="00000000">
            <w:pPr>
              <w:spacing w:line="276" w:lineRule="auto"/>
              <w:jc w:val="center"/>
            </w:pPr>
            <w:r>
              <w:rPr>
                <w:rFonts w:cs="Arial Unicode MS"/>
                <w:sz w:val="19"/>
              </w:rPr>
              <w:lastRenderedPageBreak/>
              <w:t>2027.05—2027.07</w:t>
            </w:r>
          </w:p>
        </w:tc>
        <w:tc>
          <w:tcPr>
            <w:tcW w:w="2977" w:type="dxa"/>
            <w:vAlign w:val="center"/>
          </w:tcPr>
          <w:p w14:paraId="35C905DB" w14:textId="77777777" w:rsidR="00121BB8" w:rsidRDefault="00000000">
            <w:pPr>
              <w:spacing w:line="276" w:lineRule="auto"/>
              <w:jc w:val="left"/>
            </w:pPr>
            <w:r>
              <w:rPr>
                <w:rFonts w:cs="Arial Unicode MS"/>
                <w:sz w:val="19"/>
              </w:rPr>
              <w:t>开展正常与异常条件配对仿真、控制基线及机制消融，固定独立评价协议。</w:t>
            </w:r>
          </w:p>
        </w:tc>
        <w:tc>
          <w:tcPr>
            <w:tcW w:w="3138" w:type="dxa"/>
            <w:vAlign w:val="center"/>
          </w:tcPr>
          <w:p w14:paraId="7BF27D4B" w14:textId="77777777" w:rsidR="00121BB8" w:rsidRDefault="00000000">
            <w:pPr>
              <w:spacing w:line="276" w:lineRule="auto"/>
              <w:jc w:val="left"/>
            </w:pPr>
            <w:r>
              <w:rPr>
                <w:rFonts w:cs="Arial Unicode MS"/>
                <w:sz w:val="19"/>
              </w:rPr>
              <w:t>EC控制评价与机制分析</w:t>
            </w:r>
          </w:p>
        </w:tc>
      </w:tr>
      <w:tr w:rsidR="00EB31B3" w14:paraId="08532A51" w14:textId="77777777">
        <w:trPr>
          <w:gridAfter w:val="1"/>
          <w:wAfter w:w="360" w:type="dxa"/>
          <w:cantSplit/>
          <w:trHeight w:val="480"/>
        </w:trPr>
        <w:tc>
          <w:tcPr>
            <w:tcW w:w="1985" w:type="dxa"/>
            <w:vAlign w:val="center"/>
          </w:tcPr>
          <w:p w14:paraId="26767DA6" w14:textId="77777777" w:rsidR="00121BB8" w:rsidRDefault="00000000">
            <w:pPr>
              <w:spacing w:line="276" w:lineRule="auto"/>
              <w:jc w:val="center"/>
            </w:pPr>
            <w:r>
              <w:rPr>
                <w:rFonts w:cs="Arial Unicode MS"/>
                <w:sz w:val="19"/>
              </w:rPr>
              <w:t>2027.08—2027.10</w:t>
            </w:r>
          </w:p>
        </w:tc>
        <w:tc>
          <w:tcPr>
            <w:tcW w:w="2977" w:type="dxa"/>
            <w:vAlign w:val="center"/>
          </w:tcPr>
          <w:p w14:paraId="2ABF1C07" w14:textId="77777777" w:rsidR="00121BB8" w:rsidRDefault="00000000">
            <w:pPr>
              <w:spacing w:line="276" w:lineRule="auto"/>
              <w:jc w:val="left"/>
            </w:pPr>
            <w:r>
              <w:rPr>
                <w:rFonts w:cs="Arial Unicode MS"/>
                <w:sz w:val="19"/>
              </w:rPr>
              <w:t>实现MQTT消息链和任务服务，核对消息处理、命令反馈与控制状态一致性，适配样机接口。</w:t>
            </w:r>
          </w:p>
        </w:tc>
        <w:tc>
          <w:tcPr>
            <w:tcW w:w="3138" w:type="dxa"/>
            <w:vAlign w:val="center"/>
          </w:tcPr>
          <w:p w14:paraId="00A30067" w14:textId="77777777" w:rsidR="00121BB8" w:rsidRDefault="00000000">
            <w:pPr>
              <w:spacing w:line="276" w:lineRule="auto"/>
              <w:jc w:val="left"/>
            </w:pPr>
            <w:r>
              <w:rPr>
                <w:rFonts w:cs="Arial Unicode MS"/>
                <w:sz w:val="19"/>
              </w:rPr>
              <w:t>软件在环报告与设备适配模块</w:t>
            </w:r>
          </w:p>
        </w:tc>
      </w:tr>
      <w:tr w:rsidR="00EB31B3" w14:paraId="55CB2656" w14:textId="77777777">
        <w:trPr>
          <w:gridAfter w:val="1"/>
          <w:wAfter w:w="360" w:type="dxa"/>
          <w:cantSplit/>
          <w:trHeight w:val="480"/>
        </w:trPr>
        <w:tc>
          <w:tcPr>
            <w:tcW w:w="1985" w:type="dxa"/>
            <w:vAlign w:val="center"/>
          </w:tcPr>
          <w:p w14:paraId="798B100F" w14:textId="77777777" w:rsidR="00121BB8" w:rsidRDefault="00000000">
            <w:pPr>
              <w:spacing w:line="276" w:lineRule="auto"/>
              <w:jc w:val="center"/>
            </w:pPr>
            <w:r>
              <w:rPr>
                <w:rFonts w:cs="Arial Unicode MS"/>
                <w:sz w:val="19"/>
              </w:rPr>
              <w:t>2027.11—2028.01</w:t>
            </w:r>
          </w:p>
        </w:tc>
        <w:tc>
          <w:tcPr>
            <w:tcW w:w="2977" w:type="dxa"/>
            <w:vAlign w:val="center"/>
          </w:tcPr>
          <w:p w14:paraId="66F4025A" w14:textId="77777777" w:rsidR="00121BB8" w:rsidRDefault="00000000">
            <w:pPr>
              <w:spacing w:line="276" w:lineRule="auto"/>
              <w:jc w:val="left"/>
            </w:pPr>
            <w:r>
              <w:rPr>
                <w:rFonts w:cs="Arial Unicode MS"/>
                <w:sz w:val="19"/>
              </w:rPr>
              <w:t>完成实时监视、任务启停、告警及历史查询界面，开展功能验收与样机预试验。</w:t>
            </w:r>
          </w:p>
        </w:tc>
        <w:tc>
          <w:tcPr>
            <w:tcW w:w="3138" w:type="dxa"/>
            <w:vAlign w:val="center"/>
          </w:tcPr>
          <w:p w14:paraId="3A0B1255" w14:textId="77777777" w:rsidR="00121BB8" w:rsidRDefault="00000000">
            <w:pPr>
              <w:spacing w:line="276" w:lineRule="auto"/>
              <w:jc w:val="left"/>
            </w:pPr>
            <w:r>
              <w:rPr>
                <w:rFonts w:cs="Arial Unicode MS"/>
                <w:sz w:val="19"/>
              </w:rPr>
              <w:t>管控系统与对照试验协议</w:t>
            </w:r>
          </w:p>
        </w:tc>
      </w:tr>
      <w:tr w:rsidR="00EB31B3" w14:paraId="097325AB" w14:textId="77777777">
        <w:trPr>
          <w:gridAfter w:val="1"/>
          <w:wAfter w:w="360" w:type="dxa"/>
          <w:cantSplit/>
          <w:trHeight w:val="480"/>
        </w:trPr>
        <w:tc>
          <w:tcPr>
            <w:tcW w:w="1985" w:type="dxa"/>
            <w:vAlign w:val="center"/>
          </w:tcPr>
          <w:p w14:paraId="6D8A9AD0" w14:textId="77777777" w:rsidR="00121BB8" w:rsidRDefault="00000000">
            <w:pPr>
              <w:spacing w:line="276" w:lineRule="auto"/>
              <w:jc w:val="center"/>
            </w:pPr>
            <w:r>
              <w:rPr>
                <w:rFonts w:cs="Arial Unicode MS"/>
                <w:sz w:val="19"/>
              </w:rPr>
              <w:t>2028.02—2028.03</w:t>
            </w:r>
          </w:p>
        </w:tc>
        <w:tc>
          <w:tcPr>
            <w:tcW w:w="2977" w:type="dxa"/>
            <w:vAlign w:val="center"/>
          </w:tcPr>
          <w:p w14:paraId="79621B24" w14:textId="77777777" w:rsidR="00121BB8" w:rsidRDefault="00000000">
            <w:pPr>
              <w:spacing w:line="276" w:lineRule="auto"/>
              <w:jc w:val="left"/>
            </w:pPr>
            <w:r>
              <w:rPr>
                <w:rFonts w:cs="Arial Unicode MS"/>
                <w:sz w:val="19"/>
              </w:rPr>
              <w:t>开展样机EC跟踪和通信中断恢复对照，完成接入任务核对与移动接入专项验证。</w:t>
            </w:r>
          </w:p>
        </w:tc>
        <w:tc>
          <w:tcPr>
            <w:tcW w:w="3138" w:type="dxa"/>
            <w:vAlign w:val="center"/>
          </w:tcPr>
          <w:p w14:paraId="43B81E67" w14:textId="77777777" w:rsidR="00121BB8" w:rsidRDefault="00000000">
            <w:pPr>
              <w:spacing w:line="276" w:lineRule="auto"/>
              <w:jc w:val="left"/>
            </w:pPr>
            <w:r>
              <w:rPr>
                <w:rFonts w:cs="Arial Unicode MS"/>
                <w:sz w:val="19"/>
              </w:rPr>
              <w:t>EC与系统功能数据及专项评价</w:t>
            </w:r>
          </w:p>
        </w:tc>
      </w:tr>
      <w:tr w:rsidR="00EB31B3" w14:paraId="1835C25A" w14:textId="77777777">
        <w:trPr>
          <w:gridAfter w:val="1"/>
          <w:wAfter w:w="360" w:type="dxa"/>
          <w:cantSplit/>
          <w:trHeight w:val="480"/>
        </w:trPr>
        <w:tc>
          <w:tcPr>
            <w:tcW w:w="1985" w:type="dxa"/>
            <w:vAlign w:val="center"/>
          </w:tcPr>
          <w:p w14:paraId="2178D934" w14:textId="77777777" w:rsidR="00121BB8" w:rsidRDefault="00000000">
            <w:pPr>
              <w:spacing w:line="276" w:lineRule="auto"/>
              <w:jc w:val="center"/>
            </w:pPr>
            <w:r>
              <w:rPr>
                <w:rFonts w:cs="Arial Unicode MS"/>
                <w:sz w:val="19"/>
              </w:rPr>
              <w:t>2028.04—2028.06</w:t>
            </w:r>
          </w:p>
        </w:tc>
        <w:tc>
          <w:tcPr>
            <w:tcW w:w="2977" w:type="dxa"/>
            <w:vAlign w:val="center"/>
          </w:tcPr>
          <w:p w14:paraId="34316FB1" w14:textId="77777777" w:rsidR="00121BB8" w:rsidRDefault="00000000">
            <w:pPr>
              <w:spacing w:line="276" w:lineRule="auto"/>
              <w:jc w:val="left"/>
            </w:pPr>
            <w:r>
              <w:rPr>
                <w:rFonts w:cs="Arial Unicode MS"/>
                <w:sz w:val="19"/>
              </w:rPr>
              <w:t>完成论文撰写、预审修改、答辩材料及代码数据归档。</w:t>
            </w:r>
          </w:p>
        </w:tc>
        <w:tc>
          <w:tcPr>
            <w:tcW w:w="3138" w:type="dxa"/>
            <w:vAlign w:val="center"/>
          </w:tcPr>
          <w:p w14:paraId="67969DEF" w14:textId="77777777" w:rsidR="00121BB8" w:rsidRDefault="00000000">
            <w:pPr>
              <w:spacing w:line="276" w:lineRule="auto"/>
              <w:jc w:val="left"/>
            </w:pPr>
            <w:r>
              <w:rPr>
                <w:rFonts w:cs="Arial Unicode MS"/>
                <w:sz w:val="19"/>
              </w:rPr>
              <w:t>论文定稿、答辩材料和研究归档</w:t>
            </w:r>
          </w:p>
        </w:tc>
      </w:tr>
      <w:tr w:rsidR="00EB31B3" w14:paraId="4CDA46CF" w14:textId="77777777">
        <w:trPr>
          <w:gridAfter w:val="1"/>
          <w:wAfter w:w="360" w:type="dxa"/>
          <w:trHeight w:val="480"/>
        </w:trPr>
        <w:tc>
          <w:tcPr>
            <w:tcW w:w="1985" w:type="dxa"/>
            <w:vAlign w:val="center"/>
          </w:tcPr>
          <w:p w14:paraId="616DB914" w14:textId="77777777" w:rsidR="00121BB8" w:rsidRDefault="00121BB8"/>
        </w:tc>
        <w:tc>
          <w:tcPr>
            <w:tcW w:w="2977" w:type="dxa"/>
            <w:vAlign w:val="center"/>
          </w:tcPr>
          <w:p w14:paraId="496231EC" w14:textId="77777777" w:rsidR="00121BB8" w:rsidRDefault="00121BB8"/>
        </w:tc>
        <w:tc>
          <w:tcPr>
            <w:tcW w:w="3138" w:type="dxa"/>
            <w:vAlign w:val="center"/>
          </w:tcPr>
          <w:p w14:paraId="5721F5A9" w14:textId="77777777" w:rsidR="00121BB8" w:rsidRDefault="00121BB8"/>
        </w:tc>
      </w:tr>
      <w:tr w:rsidR="00EB31B3" w14:paraId="2AA50296" w14:textId="77777777">
        <w:trPr>
          <w:gridAfter w:val="1"/>
          <w:wAfter w:w="360" w:type="dxa"/>
          <w:trHeight w:val="480"/>
        </w:trPr>
        <w:tc>
          <w:tcPr>
            <w:tcW w:w="1985" w:type="dxa"/>
            <w:vAlign w:val="center"/>
          </w:tcPr>
          <w:p w14:paraId="6CDB5B0C" w14:textId="77777777" w:rsidR="00121BB8" w:rsidRDefault="00121BB8"/>
        </w:tc>
        <w:tc>
          <w:tcPr>
            <w:tcW w:w="2977" w:type="dxa"/>
            <w:vAlign w:val="center"/>
          </w:tcPr>
          <w:p w14:paraId="3640D21F" w14:textId="77777777" w:rsidR="00121BB8" w:rsidRDefault="00121BB8"/>
        </w:tc>
        <w:tc>
          <w:tcPr>
            <w:tcW w:w="3138" w:type="dxa"/>
            <w:vAlign w:val="center"/>
          </w:tcPr>
          <w:p w14:paraId="6FC9C55A" w14:textId="77777777" w:rsidR="00121BB8" w:rsidRDefault="00121BB8"/>
        </w:tc>
      </w:tr>
      <w:tr w:rsidR="00EB31B3" w14:paraId="308D28D4" w14:textId="77777777">
        <w:trPr>
          <w:gridAfter w:val="1"/>
          <w:wAfter w:w="360" w:type="dxa"/>
          <w:trHeight w:val="480"/>
        </w:trPr>
        <w:tc>
          <w:tcPr>
            <w:tcW w:w="1985" w:type="dxa"/>
            <w:vAlign w:val="center"/>
          </w:tcPr>
          <w:p w14:paraId="1760F5C2" w14:textId="77777777" w:rsidR="00121BB8" w:rsidRDefault="00121BB8"/>
        </w:tc>
        <w:tc>
          <w:tcPr>
            <w:tcW w:w="2977" w:type="dxa"/>
            <w:vAlign w:val="center"/>
          </w:tcPr>
          <w:p w14:paraId="7DC0CEF7" w14:textId="77777777" w:rsidR="00121BB8" w:rsidRDefault="00121BB8"/>
        </w:tc>
        <w:tc>
          <w:tcPr>
            <w:tcW w:w="3138" w:type="dxa"/>
            <w:vAlign w:val="center"/>
          </w:tcPr>
          <w:p w14:paraId="68D0E279" w14:textId="77777777" w:rsidR="00121BB8" w:rsidRDefault="00121BB8"/>
        </w:tc>
      </w:tr>
      <w:tr w:rsidR="00EB31B3" w14:paraId="5A5DDDF8" w14:textId="77777777">
        <w:trPr>
          <w:gridAfter w:val="1"/>
          <w:wAfter w:w="360" w:type="dxa"/>
          <w:trHeight w:val="480"/>
        </w:trPr>
        <w:tc>
          <w:tcPr>
            <w:tcW w:w="1985" w:type="dxa"/>
            <w:vAlign w:val="center"/>
          </w:tcPr>
          <w:p w14:paraId="326423EF" w14:textId="77777777" w:rsidR="00121BB8" w:rsidRDefault="00121BB8"/>
        </w:tc>
        <w:tc>
          <w:tcPr>
            <w:tcW w:w="2977" w:type="dxa"/>
            <w:vAlign w:val="center"/>
          </w:tcPr>
          <w:p w14:paraId="46C35646" w14:textId="77777777" w:rsidR="00121BB8" w:rsidRDefault="00121BB8"/>
        </w:tc>
        <w:tc>
          <w:tcPr>
            <w:tcW w:w="3138" w:type="dxa"/>
            <w:vAlign w:val="center"/>
          </w:tcPr>
          <w:p w14:paraId="4ED19C16" w14:textId="77777777" w:rsidR="00121BB8" w:rsidRDefault="00121BB8"/>
        </w:tc>
      </w:tr>
      <w:tr w:rsidR="00EB31B3" w14:paraId="75419A5E" w14:textId="77777777">
        <w:trPr>
          <w:gridAfter w:val="1"/>
          <w:wAfter w:w="360" w:type="dxa"/>
          <w:trHeight w:val="480"/>
        </w:trPr>
        <w:tc>
          <w:tcPr>
            <w:tcW w:w="1985" w:type="dxa"/>
            <w:vAlign w:val="center"/>
          </w:tcPr>
          <w:p w14:paraId="5E195519" w14:textId="77777777" w:rsidR="00121BB8" w:rsidRDefault="00121BB8"/>
        </w:tc>
        <w:tc>
          <w:tcPr>
            <w:tcW w:w="2977" w:type="dxa"/>
            <w:vAlign w:val="center"/>
          </w:tcPr>
          <w:p w14:paraId="0CE29067" w14:textId="77777777" w:rsidR="00121BB8" w:rsidRDefault="00121BB8"/>
        </w:tc>
        <w:tc>
          <w:tcPr>
            <w:tcW w:w="3138" w:type="dxa"/>
            <w:vAlign w:val="center"/>
          </w:tcPr>
          <w:p w14:paraId="6ACA7D9B" w14:textId="77777777" w:rsidR="00121BB8" w:rsidRDefault="00121BB8"/>
        </w:tc>
      </w:tr>
      <w:tr w:rsidR="00EB31B3" w14:paraId="5C470F03" w14:textId="77777777">
        <w:trPr>
          <w:gridAfter w:val="1"/>
          <w:wAfter w:w="360" w:type="dxa"/>
          <w:trHeight w:val="6240"/>
        </w:trPr>
        <w:tc>
          <w:tcPr>
            <w:tcW w:w="8100" w:type="dxa"/>
            <w:gridSpan w:val="3"/>
            <w:shd w:fill="FFFFFF"/>
          </w:tcPr>
          <w:p w14:paraId="70CBFA1D" w14:textId="77777777" w:rsidR="00121BB8" w:rsidRDefault="00000000">
            <w:pPr>
              <w:keepNext/>
              <w:widowControl/>
              <w:spacing w:after="80" w:line="324" w:lineRule="auto"/>
            </w:pPr>
            <w:r>
              <w:rPr>
                <w:rFonts w:ascii="Times New Roman" w:hAnsi="Times New Roman" w:eastAsia="黑体"/>
                <w:b/>
                <w:sz w:val="24"/>
              </w:rPr>
              <w:t>八、主要参考文献</w:t>
            </w:r>
          </w:p>
          <w:p>
            <w:pPr>
              <w:keepLines/>
              <w:spacing w:before="0" w:after="30" w:line="240" w:lineRule="auto"/>
              <w:ind w:left="280" w:hanging="280"/>
              <w:jc w:val="left"/>
            </w:pPr>
            <w:r>
              <w:rPr>
                <w:rFonts w:ascii="Times New Roman" w:hAnsi="Times New Roman" w:eastAsia="宋体"/>
                <w:sz w:val="18"/>
              </w:rPr>
              <w:t>[1] ZHANG Q, ed. Precision Agriculture Technology for Crop Farming[M]. Boca Raton: CRC Press, 2016. DOI或官方链接：https://www.routledge.com/Precision-AgricultureTechnology-for-CropFarming/Zhang/p/book/9781032098272</w:t>
            </w:r>
          </w:p>
          <w:p>
            <w:pPr>
              <w:keepLines/>
              <w:spacing w:before="0" w:after="30" w:line="240" w:lineRule="auto"/>
              <w:ind w:left="280" w:hanging="280"/>
              <w:jc w:val="left"/>
            </w:pPr>
            <w:r>
              <w:rPr>
                <w:rFonts w:ascii="Times New Roman" w:hAnsi="Times New Roman" w:eastAsia="宋体"/>
                <w:sz w:val="18"/>
              </w:rPr>
              <w:t>[2] CASTRIGNANÒ A, BUTTAFUOCO G, KHOSLA R, et al., eds. Agricultural Internet of Things and Decision Support for Precision Smart Farming[M]. London: Academic Press, 2020. DOI或官方链接：https://shop.elsevier.com/books/agricultural-internet-of-things-and-decision-support-for-precision-smart-farming/castrignano/978-0-12-818373-1</w:t>
            </w:r>
          </w:p>
          <w:p>
            <w:pPr>
              <w:keepLines/>
              <w:spacing w:before="0" w:after="30" w:line="240" w:lineRule="auto"/>
              <w:ind w:left="280" w:hanging="280"/>
              <w:jc w:val="left"/>
            </w:pPr>
            <w:r>
              <w:rPr>
                <w:rFonts w:ascii="Times New Roman" w:hAnsi="Times New Roman" w:eastAsia="宋体"/>
                <w:sz w:val="18"/>
              </w:rPr>
              <w:t>[3] SRIVASTAVA S K, SRIVASTAVA D, CENGIZ K, et al., eds. Smart Agritech: Robotics, AI, and Internet of Things (IoT) in Agriculture[M]. Hoboken: Wiley, 2024. DOI或官方链接：https://doi.org/10.1002/9781394302994</w:t>
            </w:r>
          </w:p>
          <w:p>
            <w:pPr>
              <w:keepLines/>
              <w:spacing w:before="0" w:after="30" w:line="240" w:lineRule="auto"/>
              <w:ind w:left="280" w:hanging="280"/>
              <w:jc w:val="left"/>
            </w:pPr>
            <w:r>
              <w:rPr>
                <w:rFonts w:ascii="Times New Roman" w:hAnsi="Times New Roman" w:eastAsia="宋体"/>
                <w:sz w:val="18"/>
              </w:rPr>
              <w:t>[4] CHOUDHURY A, BISWAS A, SINGH T P, et al., eds. Smart Agriculture Automation Using Advanced Technologies[M]. Singapore: Springer, 2021. DOI或官方链接：https://doi.org/10.1007/978-981-16-6124-2</w:t>
            </w:r>
          </w:p>
          <w:p>
            <w:pPr>
              <w:keepLines/>
              <w:spacing w:before="0" w:after="30" w:line="240" w:lineRule="auto"/>
              <w:ind w:left="280" w:hanging="280"/>
              <w:jc w:val="left"/>
            </w:pPr>
            <w:r>
              <w:rPr>
                <w:rFonts w:ascii="Times New Roman" w:hAnsi="Times New Roman" w:eastAsia="宋体"/>
                <w:sz w:val="18"/>
              </w:rPr>
              <w:t>[5] RAJ P, GAYATHRI N, KATHRINE G J W, eds. Artificial Intelligence for Precision Agriculture[M]. Boca Raton: Auerbach Publications, 2025. DOI或官方链接：https://www.routledge.com/Artificial-Intelligence-for-Precision-Agriculture/Gayathri-Kathrine-Raj/p/book/9781032462349</w:t>
            </w:r>
          </w:p>
          <w:p>
            <w:pPr>
              <w:keepLines/>
              <w:spacing w:before="0" w:after="30" w:line="240" w:lineRule="auto"/>
              <w:ind w:left="280" w:hanging="280"/>
              <w:jc w:val="left"/>
            </w:pPr>
            <w:r>
              <w:rPr>
                <w:rFonts w:ascii="Times New Roman" w:hAnsi="Times New Roman" w:eastAsia="宋体"/>
                <w:sz w:val="18"/>
              </w:rPr>
              <w:t>[6] WU Y, LI L, LI S, et al. Optimal control algorithm of fertigation system in greenhouse based on EC model[J]. International Journal of Agricultural and Biological Engineering, 2019, 12(3): 118-125. DOI或官方链接：https://doi.org/10.25165/j.ijabe.20191203.4680</w:t>
            </w:r>
          </w:p>
          <w:p>
            <w:pPr>
              <w:keepLines/>
              <w:spacing w:before="0" w:after="30" w:line="240" w:lineRule="auto"/>
              <w:ind w:left="280" w:hanging="280"/>
              <w:jc w:val="left"/>
            </w:pPr>
            <w:r>
              <w:rPr>
                <w:rFonts w:ascii="Times New Roman" w:hAnsi="Times New Roman" w:eastAsia="宋体"/>
                <w:sz w:val="18"/>
              </w:rPr>
              <w:t>[7] XU Y, JIN Y, SUN Z, et al. PSO-Based System Identification and Fuzzy-PID Control for EC Real-Time Regulation in Fertilizer Mixing System[J]. Agronomy, 2025, 15(5): 1259. DOI或官方链接：https://doi.org/10.3390/agronomy15051259</w:t>
            </w:r>
          </w:p>
          <w:p>
            <w:pPr>
              <w:keepLines/>
              <w:spacing w:before="0" w:after="30" w:line="240" w:lineRule="auto"/>
              <w:ind w:left="280" w:hanging="280"/>
              <w:jc w:val="left"/>
            </w:pPr>
            <w:r>
              <w:rPr>
                <w:rFonts w:ascii="Times New Roman" w:hAnsi="Times New Roman" w:eastAsia="宋体"/>
                <w:sz w:val="18"/>
              </w:rPr>
              <w:t>[8] YUAN W, ZHANG Z, DAI J, et al. Change-aware online identification and adaptive PI control for robust electrical conductivity regulation in fertigation mixing systems[J]. Smart Agricultural Technology, 2026, 14: 102110. DOI或官方链接：https://doi.org/10.1016/j.atech.2026.102110</w:t>
            </w:r>
          </w:p>
          <w:p>
            <w:pPr>
              <w:keepLines/>
              <w:spacing w:before="0" w:after="30" w:line="240" w:lineRule="auto"/>
              <w:ind w:left="280" w:hanging="280"/>
              <w:jc w:val="left"/>
            </w:pPr>
            <w:r>
              <w:rPr>
                <w:rFonts w:ascii="Times New Roman" w:hAnsi="Times New Roman" w:eastAsia="宋体"/>
                <w:sz w:val="18"/>
              </w:rPr>
              <w:t>[9] GONZÁLEZ PEREA R, MORENO M A, ORTEGA J F, et al. Dynamic Simulation Tool of fertigation in drip irrigation subunits[J]. Computers and Electronics in Agriculture, 2020, 173: 105434. DOI或官方链接：https://doi.org/10.1016/j.compag.2020.105434</w:t>
            </w:r>
          </w:p>
          <w:p>
            <w:pPr>
              <w:keepLines/>
              <w:spacing w:before="0" w:after="30" w:line="240" w:lineRule="auto"/>
              <w:ind w:left="280" w:hanging="280"/>
              <w:jc w:val="left"/>
            </w:pPr>
            <w:r>
              <w:rPr>
                <w:rFonts w:ascii="Times New Roman" w:hAnsi="Times New Roman" w:eastAsia="宋体"/>
                <w:sz w:val="18"/>
              </w:rPr>
              <w:t>[10] SULAIMAN H, YUSOF A A, MOHAMED NOR M K. Automated Hydroponic Nutrient Dosing System: A Scoping Review of pH and Electrical Conductivity Dosing Frameworks[J]. AgriEngineering, 2025, 7(2): 43. DOI或官方链接：https://doi.org/10.3390/agriengineering7020043</w:t>
            </w:r>
          </w:p>
          <w:p>
            <w:pPr>
              <w:keepLines/>
              <w:spacing w:before="0" w:after="30" w:line="240" w:lineRule="auto"/>
              <w:ind w:left="280" w:hanging="280"/>
              <w:jc w:val="left"/>
            </w:pPr>
            <w:r>
              <w:rPr>
                <w:rFonts w:ascii="Times New Roman" w:hAnsi="Times New Roman" w:eastAsia="宋体"/>
                <w:sz w:val="18"/>
              </w:rPr>
              <w:t>[11] SAVAGLIO C, FORTINO G, ZHOU M, et al., eds. Device-Edge-Cloud Continuum: Paradigms, Architectures and Applications[M]. Cham: Springer, 2024. DOI或官方链接：https://doi.org/10.1007/978-3-031-42194-5</w:t>
            </w:r>
          </w:p>
          <w:p>
            <w:pPr>
              <w:keepLines/>
              <w:spacing w:before="0" w:after="30" w:line="240" w:lineRule="auto"/>
              <w:ind w:left="280" w:hanging="280"/>
              <w:jc w:val="left"/>
            </w:pPr>
            <w:r>
              <w:rPr>
                <w:rFonts w:ascii="Times New Roman" w:hAnsi="Times New Roman" w:eastAsia="宋体"/>
                <w:sz w:val="18"/>
              </w:rPr>
              <w:t>[12] KARAKONSTANTIS G, GILLAN C J, eds. Computing at the EDGE: New Challenges for Service Provision[M]. Cham: Springer, 2022. DOI或官方链接：https://doi.org/10.1007/978-3-030-74536-3</w:t>
            </w:r>
          </w:p>
          <w:p>
            <w:pPr>
              <w:keepLines/>
              <w:spacing w:before="0" w:after="30" w:line="240" w:lineRule="auto"/>
              <w:ind w:left="280" w:hanging="280"/>
              <w:jc w:val="left"/>
            </w:pPr>
            <w:r>
              <w:rPr>
                <w:rFonts w:ascii="Times New Roman" w:hAnsi="Times New Roman" w:eastAsia="宋体"/>
                <w:sz w:val="18"/>
              </w:rPr>
              <w:t>[13] SRIVATSA M, ABDELZAHER T, HE T, eds. Artificial Intelligence for Edge Computing[M]. Cham: Springer, 2023. DOI或官方链接：https://doi.org/10.1007/978-3-031-40787-1</w:t>
            </w:r>
          </w:p>
          <w:p>
            <w:pPr>
              <w:keepLines/>
              <w:spacing w:before="0" w:after="30" w:line="240" w:lineRule="auto"/>
              <w:ind w:left="280" w:hanging="280"/>
              <w:jc w:val="left"/>
            </w:pPr>
            <w:r>
              <w:rPr>
                <w:rFonts w:ascii="Times New Roman" w:hAnsi="Times New Roman" w:eastAsia="宋体"/>
                <w:sz w:val="18"/>
              </w:rPr>
              <w:t>[14] SHI W, CAO J, ZHANG Q, et al. Edge Computing: Vision and Challenges[J]. IEEE Internet of Things Journal, 2016, 3(5): 637-646. DOI或官方链接：https://doi.org/10.1109/JIOT.2016.2579198</w:t>
            </w:r>
          </w:p>
          <w:p>
            <w:pPr>
              <w:keepLines/>
              <w:spacing w:before="0" w:after="30" w:line="240" w:lineRule="auto"/>
              <w:ind w:left="280" w:hanging="280"/>
              <w:jc w:val="left"/>
            </w:pPr>
            <w:r>
              <w:rPr>
                <w:rFonts w:ascii="Times New Roman" w:hAnsi="Times New Roman" w:eastAsia="宋体"/>
                <w:sz w:val="18"/>
              </w:rPr>
              <w:t>[15] MA Y, LU C, SINOPOLI B, et al. Exploring Edge Computing for Multitier Industrial Control[J]. IEEE Transactions on Computer-Aided Design of Integrated Circuits and Systems, 2020, 39(11): 3506-3518. DOI或官方链接：https://doi.org/10.1109/TCAD.2020.3012648</w:t>
            </w:r>
          </w:p>
          <w:p>
            <w:pPr>
              <w:keepLines/>
              <w:spacing w:before="0" w:after="30" w:line="240" w:lineRule="auto"/>
              <w:ind w:left="280" w:hanging="280"/>
              <w:jc w:val="left"/>
            </w:pPr>
            <w:r>
              <w:rPr>
                <w:rFonts w:ascii="Times New Roman" w:hAnsi="Times New Roman" w:eastAsia="宋体"/>
                <w:sz w:val="18"/>
              </w:rPr>
              <w:t>[16] DENG Y, LÉCHAPPÉ V, MOULAY E, et al. Predictor-based control of time-delay systems: a survey[J]. International Journal of Systems Science, 2022, 53(12): 2496-2534. DOI或官方链接：https://doi.org/10.1080/00207721.2022.2056654</w:t>
            </w:r>
          </w:p>
          <w:p>
            <w:pPr>
              <w:keepLines/>
              <w:spacing w:before="0" w:after="30" w:line="240" w:lineRule="auto"/>
              <w:ind w:left="280" w:hanging="280"/>
              <w:jc w:val="left"/>
            </w:pPr>
            <w:r>
              <w:rPr>
                <w:rFonts w:ascii="Times New Roman" w:hAnsi="Times New Roman" w:eastAsia="宋体"/>
                <w:sz w:val="18"/>
              </w:rPr>
              <w:t>[17] ZAREI J, MASOUDI E, RAZAVI-FAR R, et al. Fault-tolerant control design for unreliable networked control systems via constrained model predictive control[J]. ISA Transactions, 2023, 134: 171-182. DOI或官方链接：https://doi.org/10.1016/j.isatra.2022.08.019</w:t>
            </w:r>
          </w:p>
          <w:p>
            <w:pPr>
              <w:keepLines/>
              <w:spacing w:before="0" w:after="30" w:line="240" w:lineRule="auto"/>
              <w:ind w:left="280" w:hanging="280"/>
              <w:jc w:val="left"/>
            </w:pPr>
            <w:r>
              <w:rPr>
                <w:rFonts w:ascii="Times New Roman" w:hAnsi="Times New Roman" w:eastAsia="宋体"/>
                <w:sz w:val="18"/>
              </w:rPr>
              <w:t>[18] OASIS. MQTT Version 3.1.1[S/OL]. OASIS Standard, 2014-10-29. DOI或官方链接：https://docs.oasis-open.org/mqtt/mqtt/v3.1.1/os/mqtt-v3.1.1-os.html</w:t>
            </w:r>
          </w:p>
          <w:p>
            <w:pPr>
              <w:keepLines/>
              <w:spacing w:before="0" w:after="30" w:line="240" w:lineRule="auto"/>
              <w:ind w:left="280" w:hanging="280"/>
              <w:jc w:val="left"/>
            </w:pPr>
            <w:r>
              <w:rPr>
                <w:rFonts w:ascii="Times New Roman" w:hAnsi="Times New Roman" w:eastAsia="宋体"/>
                <w:sz w:val="18"/>
              </w:rPr>
              <w:t>[19] IMBERNÓN-MULERO A, MAESTRE-VALERO J F, MARTÍNEZ-ALVAREZ V, et al. Evaluation of an autonomous smart system for optimal management of fertigation with variable sources of irrigation water[J]. Frontiers in Plant Science, 2023, 14: 1149956. DOI或官方链接：https://doi.org/10.3389/fpls.2023.1149956</w:t>
            </w:r>
          </w:p>
          <w:p>
            <w:pPr>
              <w:keepLines/>
              <w:spacing w:before="0" w:after="30" w:line="240" w:lineRule="auto"/>
              <w:ind w:left="280" w:hanging="280"/>
              <w:jc w:val="left"/>
            </w:pPr>
            <w:r>
              <w:rPr>
                <w:rFonts w:ascii="Times New Roman" w:hAnsi="Times New Roman" w:eastAsia="宋体"/>
                <w:sz w:val="18"/>
              </w:rPr>
              <w:t>[20] ADAMO T, CAIVANO D, COLIZZI L, et al. Optimization of irrigation and fertigation in smart agriculture: An IoT-based micro-services framework[J]. Smart Agricultural Technology, 2025, 11: 100885. DOI或官方链接：https://doi.org/10.1016/j.atech.2025.100885</w:t>
            </w:r>
          </w:p>
          <w:p>
            <w:pPr>
              <w:keepLines/>
              <w:spacing w:before="0" w:after="30" w:line="240" w:lineRule="auto"/>
              <w:ind w:left="280" w:hanging="280"/>
              <w:jc w:val="left"/>
            </w:pPr>
            <w:r>
              <w:rPr>
                <w:rFonts w:ascii="Times New Roman" w:hAnsi="Times New Roman" w:eastAsia="宋体"/>
                <w:sz w:val="18"/>
              </w:rPr>
              <w:t>[21] LIN N, WANG X, ZHANG Y, et al. Fertigation management for sustainable precision agriculture based on Internet of Things[J]. Journal of Cleaner Production, 2020, 277: 124119. DOI或官方链接：https://doi.org/10.1016/j.jclepro.2020.124119</w:t>
            </w:r>
          </w:p>
          <w:p>
            <w:pPr>
              <w:keepLines/>
              <w:spacing w:before="0" w:after="30" w:line="240" w:lineRule="auto"/>
              <w:ind w:left="280" w:hanging="280"/>
              <w:jc w:val="left"/>
            </w:pPr>
            <w:r>
              <w:rPr>
                <w:rFonts w:ascii="Times New Roman" w:hAnsi="Times New Roman" w:eastAsia="宋体"/>
                <w:sz w:val="18"/>
              </w:rPr>
              <w:t>[22] ZHANG H, HE L, DI GIOIA F, et al. LoRaWAN based internet of things (IoT) system for precision irrigation in plasticulture fresh-market tomato[J]. Smart Agricultural Technology, 2022, 2: 100053. DOI或官方链接：https://doi.org/10.1016/j.atech.2022.100053</w:t>
            </w:r>
          </w:p>
          <w:p>
            <w:pPr>
              <w:keepLines/>
              <w:spacing w:before="0" w:after="30" w:line="240" w:lineRule="auto"/>
              <w:ind w:left="280" w:hanging="280"/>
              <w:jc w:val="left"/>
            </w:pPr>
            <w:r>
              <w:rPr>
                <w:rFonts w:ascii="Times New Roman" w:hAnsi="Times New Roman" w:eastAsia="宋体"/>
                <w:sz w:val="18"/>
              </w:rPr>
              <w:t>[23] WANG Q, JIA Y, PANG Z, et al. Intelligent fertigation improves tomato yield and quality and water and nutrient use efficiency in solar greenhouse production[J]. Agricultural Water Management, 2024, 298: 108873. DOI或官方链接：https://doi.org/10.1016/j.agwat.2024.108873</w:t>
            </w:r>
          </w:p>
          <w:p>
            <w:pPr>
              <w:keepLines/>
              <w:spacing w:before="0" w:after="30" w:line="240" w:lineRule="auto"/>
              <w:ind w:left="280" w:hanging="280"/>
              <w:jc w:val="left"/>
            </w:pPr>
            <w:r>
              <w:rPr>
                <w:rFonts w:ascii="Times New Roman" w:hAnsi="Times New Roman" w:eastAsia="宋体"/>
                <w:sz w:val="18"/>
              </w:rPr>
              <w:t>[24] WANG H, ZHAO J, ZHANG L, et al. Application of Disturbance Observer-Based Fast Terminal Sliding Mode Control for Asynchronous Motors in Remote Electrical Conductivity Control of Fertigation Systems[J]. Agriculture, 2024, 14(2): 168. DOI或官方链接：https://doi.org/10.3390/agriculture14020168</w:t>
            </w:r>
          </w:p>
          <w:p>
            <w:pPr>
              <w:keepLines/>
              <w:spacing w:before="0" w:after="30" w:line="240" w:lineRule="auto"/>
              <w:ind w:left="280" w:hanging="280"/>
              <w:jc w:val="left"/>
            </w:pPr>
            <w:r>
              <w:rPr>
                <w:rFonts w:ascii="Times New Roman" w:hAnsi="Times New Roman" w:eastAsia="宋体"/>
                <w:sz w:val="18"/>
              </w:rPr>
              <w:t>[25] ÅSTRÖM K J, HÄGGLUND T. Advanced PID Control[M]. Hoboken: Wiley, 2026. DOI或官方链接：https://doi.org/10.1002/9781394442102</w:t>
            </w:r>
          </w:p>
          <w:p>
            <w:pPr>
              <w:keepLines/>
              <w:spacing w:before="0" w:after="30" w:line="240" w:lineRule="auto"/>
              <w:ind w:left="280" w:hanging="280"/>
              <w:jc w:val="left"/>
            </w:pPr>
            <w:r>
              <w:rPr>
                <w:rFonts w:ascii="Times New Roman" w:hAnsi="Times New Roman" w:eastAsia="宋体"/>
                <w:sz w:val="18"/>
              </w:rPr>
              <w:t>[26] RAWLINGS J B, MAYNE D Q, DIEHL M M. Model Predictive Control: Theory, Computation, and Design[M]. 2nd ed. Madison: Nob Hill Publishing, 2026. DOI或官方链接：https://sites.engineering.ucsb.edu/~jbraw/mpc/</w:t>
            </w:r>
          </w:p>
          <w:p>
            <w:pPr>
              <w:keepLines/>
              <w:spacing w:before="0" w:after="30" w:line="240" w:lineRule="auto"/>
              <w:ind w:left="280" w:hanging="280"/>
              <w:jc w:val="left"/>
            </w:pPr>
            <w:r>
              <w:rPr>
                <w:rFonts w:ascii="Times New Roman" w:hAnsi="Times New Roman" w:eastAsia="宋体"/>
                <w:sz w:val="18"/>
              </w:rPr>
              <w:t>[27] TRAN T C, JUNG J C. Development of Anti-windup PI Control and Bumpless Control Transfer Methodology for Feedwater Control System[J]. Annals of Nuclear Energy, 2019, 131: 233-241. DOI或官方链接：https://doi.org/10.1016/j.anucene.2019.03.030</w:t>
            </w:r>
          </w:p>
          <w:p>
            <w:pPr>
              <w:keepLines/>
              <w:spacing w:before="0" w:after="30" w:line="240" w:lineRule="auto"/>
              <w:ind w:left="280" w:hanging="280"/>
              <w:jc w:val="left"/>
            </w:pPr>
            <w:r>
              <w:rPr>
                <w:rFonts w:ascii="Times New Roman" w:hAnsi="Times New Roman" w:eastAsia="宋体"/>
                <w:sz w:val="18"/>
              </w:rPr>
              <w:t>[28] ISERMANN R. Fault-Diagnosis Applications: Model-Based Condition Monitoring, Actuators, Drives, Machinery, Plants, Sensors, and Fault-tolerant Systems[M]. Berlin: Springer, 2011. DOI或官方链接：https://doi.org/10.1007/978-3-642-12767-0</w:t>
            </w:r>
          </w:p>
          <w:p>
            <w:pPr>
              <w:keepLines/>
              <w:spacing w:before="0" w:after="30" w:line="240" w:lineRule="auto"/>
              <w:ind w:left="280" w:hanging="280"/>
              <w:jc w:val="left"/>
            </w:pPr>
            <w:r>
              <w:rPr>
                <w:rFonts w:ascii="Times New Roman" w:hAnsi="Times New Roman" w:eastAsia="宋体"/>
                <w:sz w:val="18"/>
              </w:rPr>
              <w:t>[29] ZOU X, LIU W, HUO Z, et al. Current Status and Prospects of Research on Sensor Fault Diagnosis of Agricultural Internet of Things[J]. Sensors, 2023, 23(5): 2528. DOI或官方链接：https://doi.org/10.3390/s23052528</w:t>
            </w:r>
          </w:p>
          <w:p>
            <w:pPr>
              <w:keepLines/>
              <w:spacing w:before="0" w:after="30" w:line="240" w:lineRule="auto"/>
              <w:ind w:left="280" w:hanging="280"/>
              <w:jc w:val="left"/>
            </w:pPr>
            <w:r>
              <w:rPr>
                <w:rFonts w:ascii="Times New Roman" w:hAnsi="Times New Roman" w:eastAsia="宋体"/>
                <w:sz w:val="18"/>
              </w:rPr>
              <w:t>[30] SHEKARIAN S M, AMINIAN M, FALLAH A M, et al. AI-powered sensor fault detection for cost-effective smart greenhouses[J]. Computers and Electronics in Agriculture, 2024, 224: 109198. DOI或官方链接：https://doi.org/10.1016/j.compag.2024.109198</w:t>
            </w:r>
          </w:p>
          <w:p>
            <w:pPr>
              <w:keepLines/>
              <w:spacing w:before="0" w:after="30" w:line="240" w:lineRule="auto"/>
              <w:ind w:left="280" w:hanging="280"/>
              <w:jc w:val="left"/>
            </w:pPr>
            <w:r>
              <w:rPr>
                <w:rFonts w:ascii="Times New Roman" w:hAnsi="Times New Roman" w:eastAsia="宋体"/>
                <w:sz w:val="18"/>
              </w:rPr>
              <w:t>[31] ISERMANN R. Model-based fault-detection and diagnosis: status and applications[J]. Annual Reviews in Control, 2005, 29(1): 71-85. DOI或官方链接：https://doi.org/10.1016/j.arcontrol.2004.12.002</w:t>
            </w:r>
          </w:p>
          <w:p>
            <w:pPr>
              <w:keepLines/>
              <w:spacing w:before="0" w:after="30" w:line="240" w:lineRule="auto"/>
              <w:ind w:left="280" w:hanging="280"/>
              <w:jc w:val="left"/>
            </w:pPr>
            <w:r>
              <w:rPr>
                <w:rFonts w:ascii="Times New Roman" w:hAnsi="Times New Roman" w:eastAsia="宋体"/>
                <w:sz w:val="18"/>
              </w:rPr>
              <w:t>[32] FENG J, TURKSOY K, SAMADI S, et al. Hybrid online sensor error detection and functional redundancy for systems with time-varying parameters[J]. Journal of Process Control, 2017, 60: 115-127. DOI或官方链接：https://doi.org/10.1016/j.jprocont.2017.04.004</w:t>
            </w:r>
          </w:p>
          <w:p>
            <w:pPr>
              <w:keepLines/>
              <w:spacing w:before="0" w:after="30" w:line="240" w:lineRule="auto"/>
              <w:ind w:left="280" w:hanging="280"/>
              <w:jc w:val="left"/>
            </w:pPr>
            <w:r>
              <w:rPr>
                <w:rFonts w:ascii="Times New Roman" w:hAnsi="Times New Roman" w:eastAsia="宋体"/>
                <w:sz w:val="18"/>
              </w:rPr>
              <w:t>[33] YETENDJE A, DE DONÁ J A, SERON M M. Multisensor fusion fault tolerant control[J]. Automatica, 2011, 47(7): 1461-1466. DOI或官方链接：https://doi.org/10.1016/j.automatica.2011.02.024</w:t>
            </w:r>
          </w:p>
          <w:p>
            <w:pPr>
              <w:keepLines/>
              <w:spacing w:before="0" w:after="30" w:line="240" w:lineRule="auto"/>
              <w:ind w:left="280" w:hanging="280"/>
              <w:jc w:val="left"/>
            </w:pPr>
            <w:r>
              <w:rPr>
                <w:rFonts w:ascii="Times New Roman" w:hAnsi="Times New Roman" w:eastAsia="宋体"/>
                <w:sz w:val="18"/>
              </w:rPr>
              <w:t>[34] SERON M M, DE DONÁ J A, OLARU S. Fault Tolerant Control Allowing Sensor Healthy-to-Faulty and Faulty-to-Healthy Transitions[J]. IEEE Transactions on Automatic Control, 2012, 57(7): 1657-1669. DOI或官方链接：https://doi.org/10.1109/TAC.2011.2178716</w:t>
            </w:r>
          </w:p>
          <w:p>
            <w:pPr>
              <w:keepLines/>
              <w:spacing w:before="0" w:after="30" w:line="240" w:lineRule="auto"/>
              <w:ind w:left="280" w:hanging="280"/>
              <w:jc w:val="left"/>
            </w:pPr>
            <w:r>
              <w:rPr>
                <w:rFonts w:ascii="Times New Roman" w:hAnsi="Times New Roman" w:eastAsia="宋体"/>
                <w:sz w:val="18"/>
              </w:rPr>
              <w:t>[35] DARDER M, VALERA A, NIETO E, et al. Multisensor device based on Case-Based Reasoning (CBR) for monitoring nutrient solutions in fertigation[J]. Sensors and Actuators B: Chemical, 2009, 135(2): 530-536. DOI或官方链接：https://doi.org/10.1016/j.snb.2008.09.034</w:t>
            </w:r>
          </w:p>
          <w:p>
            <w:pPr>
              <w:keepLines/>
              <w:spacing w:before="0" w:after="30" w:line="240" w:lineRule="auto"/>
              <w:ind w:left="280" w:hanging="280"/>
              <w:jc w:val="left"/>
            </w:pPr>
            <w:r>
              <w:rPr>
                <w:rFonts w:ascii="Times New Roman" w:hAnsi="Times New Roman" w:eastAsia="宋体"/>
                <w:sz w:val="18"/>
              </w:rPr>
              <w:t>[36] KALYANI Y, BERMEO N V, COLLIER R. Digital twin deployment for smart agriculture in Cloud-Fog-Edge infrastructure[J]. International Journal of Parallel, Emergent and Distributed Systems, 2023, 38(6): 461-476. DOI或官方链接：https://doi.org/10.1080/17445760.2023.2235653</w:t>
            </w:r>
          </w:p>
          <w:p>
            <w:pPr>
              <w:keepLines/>
              <w:spacing w:before="0" w:after="30" w:line="240" w:lineRule="auto"/>
              <w:ind w:left="280" w:hanging="280"/>
              <w:jc w:val="left"/>
            </w:pPr>
            <w:r>
              <w:rPr>
                <w:rFonts w:ascii="Times New Roman" w:hAnsi="Times New Roman" w:eastAsia="宋体"/>
                <w:sz w:val="18"/>
              </w:rPr>
              <w:t>[37]</w:t>
            </w:r>
            <w:r>
              <w:rPr>
                <w:rFonts w:ascii="Times New Roman" w:hAnsi="Times New Roman" w:eastAsia="宋体"/>
                <w:sz w:val="18"/>
              </w:rPr>
              <w:t xml:space="preserve"> 左志宇, 魏丰瑞, 毛罕平, 等. 多通道移动式果园灌溉施肥机设计与试验[J]. 农机化研究, 2023, 45(4): 95-100. DOI: https://doi.org/10.13427/j.cnki.njyi.2023.04.008</w:t>
            </w:r>
          </w:p>
        </w:tc>
      </w:tr>
      <w:tr w:rsidR="00EB31B3" w14:paraId="442F8922" w14:textId="77777777">
        <w:trPr>
          <w:trHeight w:val="13575"/>
        </w:trPr>
        <w:tc>
          <w:tcPr>
            <w:tcW w:w="8460" w:type="dxa"/>
            <w:gridSpan w:val="4"/>
          </w:tcPr>
          <w:p w14:paraId="2D17D642" w14:textId="77777777" w:rsidR="00121BB8" w:rsidRDefault="00000000">
            <w:pPr>
              <w:widowControl/>
              <w:spacing w:after="80" w:line="324" w:lineRule="auto"/>
            </w:pPr>
            <w:r>
              <w:rPr>
                <w:rFonts w:cs="Arial Unicode MS"/>
              </w:rPr>
              <w:t>九、论文详细提纲</w:t>
            </w:r>
          </w:p>
          <w:p w14:paraId="06837899" w14:textId="77777777" w:rsidR="00121BB8" w:rsidRDefault="00000000">
            <w:pPr>
              <w:widowControl/>
              <w:spacing w:line="324" w:lineRule="auto"/>
            </w:pPr>
            <w:r>
              <w:rPr>
                <w:rFonts w:cs="Arial Unicode MS"/>
              </w:rPr>
              <w:t>第1章 绪论：水肥管控需求、EC调节与协同控制进展、红壤丘陵区应用场景。</w:t>
            </w:r>
          </w:p>
          <w:p w14:paraId="7CB63828" w14:textId="77777777" w:rsidR="00121BB8" w:rsidRDefault="00000000">
            <w:pPr>
              <w:widowControl/>
              <w:spacing w:line="324" w:lineRule="auto"/>
            </w:pPr>
            <w:r>
              <w:rPr>
                <w:rFonts w:cs="Arial Unicode MS"/>
              </w:rPr>
              <w:t>第2章 智能水肥一体化管控系统总体设计：功能需求、设备接口、云边架构和任务数据关系。</w:t>
            </w:r>
          </w:p>
          <w:p w14:paraId="759547AC" w14:textId="77777777" w:rsidR="00121BB8" w:rsidRDefault="00000000">
            <w:pPr>
              <w:widowControl/>
              <w:spacing w:line="324" w:lineRule="auto"/>
            </w:pPr>
            <w:r>
              <w:rPr>
                <w:rFonts w:cs="Arial Unicode MS"/>
              </w:rPr>
              <w:t>第3章 混肥对象建模与EC控制基础：标定、辨识、独立验证及公共PI。</w:t>
            </w:r>
          </w:p>
          <w:p w14:paraId="7AEB75F6" w14:textId="77777777" w:rsidR="00121BB8" w:rsidRDefault="00000000">
            <w:pPr>
              <w:widowControl/>
              <w:spacing w:line="324" w:lineRule="auto"/>
            </w:pPr>
            <w:r>
              <w:rPr>
                <w:rFonts w:cs="Arial Unicode MS"/>
              </w:rPr>
              <w:t>第4章 风险感知EC协同控制方法：双风险监督、三模式分配、状态同步与无扰切换。</w:t>
            </w:r>
          </w:p>
          <w:p w14:paraId="36194E89" w14:textId="77777777" w:rsidR="00121BB8" w:rsidRDefault="00000000">
            <w:pPr>
              <w:widowControl/>
              <w:spacing w:line="324" w:lineRule="auto"/>
            </w:pPr>
            <w:r>
              <w:rPr>
                <w:rFonts w:cs="Arial Unicode MS"/>
              </w:rPr>
              <w:t>第5章 接入任务管理与平台实现：配置核对、任务启停、命令反馈、告警与追溯。</w:t>
            </w:r>
          </w:p>
          <w:p w14:paraId="03E6B477" w14:textId="77777777" w:rsidR="00121BB8" w:rsidRDefault="00000000">
            <w:pPr>
              <w:widowControl/>
              <w:spacing w:line="324" w:lineRule="auto"/>
            </w:pPr>
            <w:r>
              <w:rPr>
                <w:rFonts w:cs="Arial Unicode MS"/>
              </w:rPr>
              <w:t>第6章 控制性能与系统功能验证：配对仿真、软件在环、样机EC对照及移动接入专项。</w:t>
            </w:r>
          </w:p>
          <w:p w14:paraId="44A5F2C7" w14:textId="77777777" w:rsidR="00121BB8" w:rsidRDefault="00000000">
            <w:pPr>
              <w:widowControl/>
              <w:spacing w:line="324" w:lineRule="auto"/>
            </w:pPr>
            <w:r>
              <w:rPr>
                <w:rFonts w:cs="Arial Unicode MS"/>
              </w:rPr>
              <w:t>第7章 综合分析：EC调节与动作代价、任务一致性、接入恢复及模型适用条件。</w:t>
            </w:r>
          </w:p>
          <w:p w14:paraId="2D5F82F4" w14:textId="77777777" w:rsidR="00121BB8" w:rsidRDefault="00000000">
            <w:pPr>
              <w:widowControl/>
              <w:spacing w:line="324" w:lineRule="auto"/>
            </w:pPr>
            <w:r>
              <w:rPr>
                <w:rFonts w:cs="Arial Unicode MS"/>
              </w:rPr>
              <w:t>第8章 结论与展望：系统实现、EC协同控制、任务管理与应用扩展。</w:t>
            </w:r>
          </w:p>
        </w:tc>
      </w:tr>
    </w:tbl>
    <w:p w14:paraId="6EACA38F" w14:textId="77777777" w:rsidR="00EB31B3" w:rsidRDefault="00EB31B3">
      <w:pPr>
        <w:keepNext w:val="0"/>
        <w:pageBreakBefore w:val="0"/>
        <w:spacing w:before="0" w:after="0" w:line="20" w:lineRule="exact"/>
      </w:pP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0"/>
      </w:tblGrid>
      <w:tr w:rsidR="00EB31B3" w14:paraId="3F5AA611" w14:textId="77777777">
        <w:trPr>
          <w:trHeight w:val="2794"/>
          <w:cantSplit/>
        </w:trPr>
        <w:tc>
          <w:tcPr>
            <w:tcW w:w="8460" w:type="dxa"/>
          </w:tcPr>
          <w:p w14:paraId="700B865A" w14:textId="77777777" w:rsidR="00EB31B3" w:rsidRDefault="00000000">
            <w:pPr>
              <w:pageBreakBefore/>
              <w:rPr>
                <w:rFonts w:ascii="宋体" w:hAnsi="宋体"/>
                <w:b/>
                <w:bCs/>
                <w:sz w:val="28"/>
                <w:szCs w:val="28"/>
              </w:rPr>
            </w:pPr>
            <w:r>
              <w:rPr>
                <w:rFonts w:hint="eastAsia"/>
                <w:b/>
                <w:bCs/>
                <w:sz w:val="28"/>
                <w:szCs w:val="28"/>
              </w:rPr>
              <w:lastRenderedPageBreak/>
              <w:t>校内导师意见</w:t>
            </w:r>
          </w:p>
          <w:p w14:paraId="052E2FFF" w14:textId="77777777" w:rsidR="00EB31B3" w:rsidRDefault="00EB31B3">
            <w:pPr>
              <w:rPr>
                <w:rFonts w:ascii="宋体" w:hAnsi="宋体"/>
                <w:b/>
                <w:sz w:val="28"/>
                <w:szCs w:val="28"/>
              </w:rPr>
            </w:pPr>
          </w:p>
          <w:p w14:paraId="57F40282" w14:textId="77777777" w:rsidR="00EB31B3" w:rsidRDefault="00EB31B3">
            <w:pPr>
              <w:rPr>
                <w:rFonts w:ascii="宋体" w:hAnsi="宋体"/>
                <w:b/>
                <w:sz w:val="28"/>
                <w:szCs w:val="28"/>
              </w:rPr>
            </w:pPr>
          </w:p>
          <w:p w14:paraId="471109E5" w14:textId="77777777" w:rsidR="00EB31B3" w:rsidRDefault="00EB31B3">
            <w:pPr>
              <w:rPr>
                <w:rFonts w:ascii="宋体" w:hAnsi="宋体"/>
                <w:b/>
                <w:sz w:val="28"/>
                <w:szCs w:val="28"/>
              </w:rPr>
            </w:pPr>
          </w:p>
          <w:p w14:paraId="73B579C5" w14:textId="77777777" w:rsidR="00EB31B3" w:rsidRDefault="00EB31B3">
            <w:pPr>
              <w:rPr>
                <w:rFonts w:ascii="宋体" w:hAnsi="宋体"/>
                <w:b/>
                <w:sz w:val="28"/>
                <w:szCs w:val="28"/>
              </w:rPr>
            </w:pPr>
          </w:p>
          <w:p w14:paraId="140D63C5" w14:textId="77777777" w:rsidR="00EB31B3" w:rsidRDefault="00EB31B3">
            <w:pPr>
              <w:rPr>
                <w:rFonts w:ascii="宋体" w:hAnsi="宋体"/>
                <w:b/>
                <w:sz w:val="28"/>
                <w:szCs w:val="28"/>
              </w:rPr>
            </w:pPr>
          </w:p>
          <w:p w14:paraId="60B930F1" w14:textId="77777777" w:rsidR="00EB31B3" w:rsidRDefault="00EB31B3">
            <w:pPr>
              <w:rPr>
                <w:rFonts w:ascii="宋体" w:hAnsi="宋体"/>
                <w:b/>
                <w:sz w:val="28"/>
                <w:szCs w:val="28"/>
              </w:rPr>
            </w:pPr>
          </w:p>
          <w:p w14:paraId="3B97661E" w14:textId="77777777" w:rsidR="00EB31B3" w:rsidRDefault="00EB31B3">
            <w:pPr>
              <w:rPr>
                <w:rFonts w:ascii="宋体" w:hAnsi="宋体"/>
                <w:b/>
                <w:sz w:val="28"/>
                <w:szCs w:val="28"/>
              </w:rPr>
            </w:pPr>
          </w:p>
          <w:p w14:paraId="3A355B33" w14:textId="77777777" w:rsidR="00EB31B3" w:rsidRDefault="00EB31B3">
            <w:pPr>
              <w:rPr>
                <w:rFonts w:ascii="宋体" w:hAnsi="宋体"/>
                <w:b/>
                <w:sz w:val="28"/>
                <w:szCs w:val="28"/>
              </w:rPr>
            </w:pPr>
          </w:p>
          <w:p w14:paraId="2BF88640" w14:textId="77777777" w:rsidR="00EB31B3" w:rsidRDefault="00000000">
            <w:pPr>
              <w:ind w:firstLineChars="2047" w:firstLine="5732"/>
              <w:rPr>
                <w:rFonts w:ascii="宋体" w:hAnsi="宋体"/>
                <w:b/>
                <w:sz w:val="28"/>
                <w:szCs w:val="28"/>
              </w:rPr>
            </w:pPr>
            <w:r>
              <w:rPr>
                <w:rFonts w:hint="eastAsia"/>
                <w:b/>
                <w:sz w:val="28"/>
                <w:szCs w:val="28"/>
              </w:rPr>
              <w:t>导师签字：</w:t>
            </w:r>
          </w:p>
          <w:p w14:paraId="78430D1A" w14:textId="77777777" w:rsidR="00EB31B3" w:rsidRDefault="00000000">
            <w:pPr>
              <w:ind w:firstLineChars="2003" w:firstLine="5608"/>
              <w:rPr>
                <w:rFonts w:ascii="宋体" w:hAnsi="宋体"/>
                <w:b/>
                <w:bCs/>
                <w:sz w:val="28"/>
                <w:szCs w:val="28"/>
              </w:rPr>
            </w:pPr>
            <w:r>
              <w:rPr>
                <w:rFonts w:hint="eastAsia"/>
                <w:b/>
                <w:bCs/>
                <w:sz w:val="28"/>
                <w:szCs w:val="28"/>
              </w:rPr>
              <w:t>年</w:t>
            </w:r>
            <w:r>
              <w:rPr>
                <w:rFonts w:hint="eastAsia"/>
                <w:b/>
                <w:bCs/>
                <w:sz w:val="28"/>
                <w:szCs w:val="28"/>
              </w:rPr>
              <w:t xml:space="preserve">  </w:t>
            </w:r>
            <w:r>
              <w:rPr>
                <w:rFonts w:hint="eastAsia"/>
                <w:b/>
                <w:bCs/>
                <w:sz w:val="28"/>
                <w:szCs w:val="28"/>
              </w:rPr>
              <w:t>月</w:t>
            </w:r>
            <w:r>
              <w:rPr>
                <w:rFonts w:hint="eastAsia"/>
                <w:b/>
                <w:bCs/>
                <w:sz w:val="28"/>
                <w:szCs w:val="28"/>
              </w:rPr>
              <w:t xml:space="preserve">  </w:t>
            </w:r>
            <w:r>
              <w:rPr>
                <w:rFonts w:hint="eastAsia"/>
                <w:b/>
                <w:bCs/>
                <w:sz w:val="28"/>
                <w:szCs w:val="28"/>
              </w:rPr>
              <w:t>日</w:t>
            </w:r>
          </w:p>
        </w:tc>
      </w:tr>
      <w:tr w:rsidR="00EB31B3" w14:paraId="148AE5C1" w14:textId="77777777">
        <w:trPr>
          <w:trHeight w:val="1380"/>
          <w:cantSplit/>
        </w:trPr>
        <w:tc>
          <w:tcPr>
            <w:tcW w:w="8460" w:type="dxa"/>
          </w:tcPr>
          <w:p w14:paraId="13A1AB2D" w14:textId="77777777" w:rsidR="00EB31B3" w:rsidRDefault="00000000">
            <w:pPr>
              <w:rPr>
                <w:rFonts w:ascii="宋体" w:hAnsi="宋体"/>
                <w:b/>
                <w:bCs/>
                <w:sz w:val="28"/>
                <w:szCs w:val="28"/>
              </w:rPr>
            </w:pPr>
            <w:r>
              <w:rPr>
                <w:rFonts w:hint="eastAsia"/>
                <w:b/>
                <w:bCs/>
                <w:sz w:val="28"/>
                <w:szCs w:val="28"/>
              </w:rPr>
              <w:t>校外导师意见</w:t>
            </w:r>
          </w:p>
          <w:p w14:paraId="3C309E63" w14:textId="77777777" w:rsidR="00EB31B3" w:rsidRDefault="00EB31B3">
            <w:pPr>
              <w:rPr>
                <w:rFonts w:ascii="宋体" w:hAnsi="宋体"/>
                <w:b/>
                <w:bCs/>
                <w:sz w:val="28"/>
                <w:szCs w:val="28"/>
              </w:rPr>
            </w:pPr>
          </w:p>
          <w:p w14:paraId="303908EB" w14:textId="77777777" w:rsidR="00EB31B3" w:rsidRDefault="00EB31B3">
            <w:pPr>
              <w:rPr>
                <w:rFonts w:ascii="宋体" w:hAnsi="宋体"/>
                <w:b/>
                <w:bCs/>
                <w:sz w:val="28"/>
                <w:szCs w:val="28"/>
              </w:rPr>
            </w:pPr>
          </w:p>
          <w:p w14:paraId="1717E7C1" w14:textId="77777777" w:rsidR="00EB31B3" w:rsidRDefault="00EB31B3">
            <w:pPr>
              <w:rPr>
                <w:rFonts w:ascii="宋体" w:hAnsi="宋体"/>
                <w:b/>
                <w:bCs/>
                <w:sz w:val="28"/>
                <w:szCs w:val="28"/>
              </w:rPr>
            </w:pPr>
          </w:p>
          <w:p w14:paraId="0B229C6D" w14:textId="77777777" w:rsidR="00EB31B3" w:rsidRDefault="00EB31B3">
            <w:pPr>
              <w:rPr>
                <w:rFonts w:ascii="宋体" w:hAnsi="宋体"/>
                <w:b/>
                <w:bCs/>
                <w:sz w:val="28"/>
                <w:szCs w:val="28"/>
              </w:rPr>
            </w:pPr>
          </w:p>
          <w:p w14:paraId="49D7B5BF" w14:textId="77777777" w:rsidR="00EB31B3" w:rsidRDefault="00EB31B3">
            <w:pPr>
              <w:ind w:firstLineChars="2047" w:firstLine="5732"/>
              <w:rPr>
                <w:rFonts w:ascii="宋体" w:hAnsi="宋体"/>
                <w:b/>
                <w:sz w:val="28"/>
                <w:szCs w:val="28"/>
              </w:rPr>
            </w:pPr>
          </w:p>
          <w:p w14:paraId="73644A68" w14:textId="77777777" w:rsidR="00EB31B3" w:rsidRDefault="00000000">
            <w:pPr>
              <w:ind w:firstLineChars="2097" w:firstLine="5872"/>
              <w:rPr>
                <w:rFonts w:ascii="宋体" w:hAnsi="宋体"/>
                <w:b/>
                <w:sz w:val="28"/>
                <w:szCs w:val="28"/>
              </w:rPr>
            </w:pPr>
            <w:r>
              <w:rPr>
                <w:rFonts w:hint="eastAsia"/>
                <w:b/>
                <w:sz w:val="28"/>
                <w:szCs w:val="28"/>
              </w:rPr>
              <w:t>导师签字：</w:t>
            </w:r>
          </w:p>
          <w:p w14:paraId="698778CE" w14:textId="77777777" w:rsidR="00EB31B3" w:rsidRDefault="00000000">
            <w:pPr>
              <w:ind w:firstLineChars="2040" w:firstLine="5712"/>
              <w:rPr>
                <w:rFonts w:ascii="宋体" w:hAnsi="宋体"/>
                <w:b/>
                <w:bCs/>
                <w:sz w:val="28"/>
                <w:szCs w:val="28"/>
              </w:rPr>
            </w:pPr>
            <w:r>
              <w:rPr>
                <w:rFonts w:hint="eastAsia"/>
                <w:b/>
                <w:bCs/>
                <w:sz w:val="28"/>
                <w:szCs w:val="28"/>
              </w:rPr>
              <w:t>年</w:t>
            </w:r>
            <w:r>
              <w:rPr>
                <w:rFonts w:hint="eastAsia"/>
                <w:b/>
                <w:bCs/>
                <w:sz w:val="28"/>
                <w:szCs w:val="28"/>
              </w:rPr>
              <w:t xml:space="preserve">  </w:t>
            </w:r>
            <w:r>
              <w:rPr>
                <w:rFonts w:hint="eastAsia"/>
                <w:b/>
                <w:bCs/>
                <w:sz w:val="28"/>
                <w:szCs w:val="28"/>
              </w:rPr>
              <w:t>月</w:t>
            </w:r>
            <w:r>
              <w:rPr>
                <w:rFonts w:hint="eastAsia"/>
                <w:b/>
                <w:bCs/>
                <w:sz w:val="28"/>
                <w:szCs w:val="28"/>
              </w:rPr>
              <w:t xml:space="preserve">  </w:t>
            </w:r>
            <w:r>
              <w:rPr>
                <w:rFonts w:hint="eastAsia"/>
                <w:b/>
                <w:bCs/>
                <w:sz w:val="28"/>
                <w:szCs w:val="28"/>
              </w:rPr>
              <w:t>日</w:t>
            </w:r>
          </w:p>
          <w:p w14:paraId="0D326ECD" w14:textId="77777777" w:rsidR="00EB31B3" w:rsidRDefault="00EB31B3">
            <w:pPr>
              <w:rPr>
                <w:rFonts w:ascii="宋体" w:hAnsi="宋体"/>
                <w:b/>
                <w:bCs/>
                <w:sz w:val="28"/>
                <w:szCs w:val="28"/>
              </w:rPr>
            </w:pPr>
          </w:p>
          <w:p w14:paraId="62D15A87" w14:textId="77777777" w:rsidR="00EB31B3" w:rsidRDefault="00EB31B3">
            <w:pPr>
              <w:rPr>
                <w:rFonts w:ascii="宋体" w:hAnsi="宋体"/>
                <w:b/>
                <w:bCs/>
                <w:sz w:val="28"/>
                <w:szCs w:val="28"/>
              </w:rPr>
            </w:pPr>
          </w:p>
        </w:tc>
      </w:tr>
      <w:tr w:rsidR="00EB31B3" w14:paraId="5F8E6C22" w14:textId="77777777">
        <w:trPr>
          <w:trHeight w:val="5462"/>
          <w:cantSplit/>
        </w:trPr>
        <w:tc>
          <w:tcPr>
            <w:tcW w:w="8460" w:type="dxa"/>
          </w:tcPr>
          <w:p w14:paraId="2F9CE87E" w14:textId="77777777" w:rsidR="00EB31B3" w:rsidRDefault="00000000">
            <w:pPr>
              <w:pageBreakBefore/>
              <w:rPr>
                <w:rFonts w:ascii="宋体" w:hAnsi="宋体"/>
                <w:b/>
                <w:sz w:val="28"/>
                <w:szCs w:val="28"/>
              </w:rPr>
            </w:pPr>
            <w:r>
              <w:rPr>
                <w:rFonts w:hint="eastAsia"/>
                <w:b/>
                <w:bCs/>
                <w:sz w:val="28"/>
                <w:szCs w:val="28"/>
              </w:rPr>
              <w:lastRenderedPageBreak/>
              <w:t>开题专家组审查意见</w:t>
            </w:r>
          </w:p>
          <w:p w14:paraId="318FF946" w14:textId="77777777" w:rsidR="00EB31B3" w:rsidRDefault="00EB31B3">
            <w:pPr>
              <w:rPr>
                <w:rFonts w:ascii="宋体" w:hAnsi="宋体"/>
                <w:b/>
                <w:sz w:val="28"/>
                <w:szCs w:val="28"/>
              </w:rPr>
            </w:pPr>
          </w:p>
          <w:p w14:paraId="7B5AC18D" w14:textId="77777777" w:rsidR="00EB31B3" w:rsidRDefault="00EB31B3">
            <w:pPr>
              <w:rPr>
                <w:rFonts w:ascii="宋体" w:hAnsi="宋体"/>
                <w:b/>
                <w:sz w:val="28"/>
                <w:szCs w:val="28"/>
              </w:rPr>
            </w:pPr>
          </w:p>
          <w:p w14:paraId="63C0373B" w14:textId="77777777" w:rsidR="00EB31B3" w:rsidRDefault="00EB31B3">
            <w:pPr>
              <w:rPr>
                <w:rFonts w:ascii="宋体" w:hAnsi="宋体"/>
                <w:b/>
                <w:sz w:val="28"/>
                <w:szCs w:val="28"/>
              </w:rPr>
            </w:pPr>
          </w:p>
          <w:p w14:paraId="6013B9C2" w14:textId="77777777" w:rsidR="00EB31B3" w:rsidRDefault="00EB31B3">
            <w:pPr>
              <w:rPr>
                <w:rFonts w:ascii="宋体" w:hAnsi="宋体"/>
                <w:b/>
                <w:sz w:val="28"/>
                <w:szCs w:val="28"/>
              </w:rPr>
            </w:pPr>
          </w:p>
          <w:p w14:paraId="6FCA33D2" w14:textId="77777777" w:rsidR="00EB31B3" w:rsidRDefault="00EB31B3">
            <w:pPr>
              <w:rPr>
                <w:rFonts w:ascii="宋体" w:hAnsi="宋体"/>
                <w:b/>
                <w:sz w:val="28"/>
                <w:szCs w:val="28"/>
              </w:rPr>
            </w:pPr>
          </w:p>
          <w:p w14:paraId="3B32F228" w14:textId="77777777" w:rsidR="00EB31B3" w:rsidRDefault="00000000">
            <w:pPr>
              <w:rPr>
                <w:rFonts w:ascii="宋体" w:hAnsi="宋体"/>
                <w:b/>
                <w:sz w:val="28"/>
                <w:szCs w:val="28"/>
              </w:rPr>
            </w:pPr>
            <w:r>
              <w:rPr>
                <w:rFonts w:hint="eastAsia"/>
                <w:b/>
                <w:sz w:val="28"/>
                <w:szCs w:val="28"/>
              </w:rPr>
              <w:t>专家组组长签字（签章）：</w:t>
            </w:r>
          </w:p>
          <w:p w14:paraId="2C80AD8B" w14:textId="77777777" w:rsidR="00EB31B3" w:rsidRDefault="00000000">
            <w:pPr>
              <w:ind w:firstLineChars="2053" w:firstLine="5748"/>
              <w:rPr>
                <w:rFonts w:ascii="宋体" w:hAnsi="宋体"/>
                <w:b/>
                <w:bCs/>
                <w:sz w:val="28"/>
                <w:szCs w:val="28"/>
              </w:rPr>
            </w:pPr>
            <w:r>
              <w:rPr>
                <w:rFonts w:hint="eastAsia"/>
                <w:b/>
                <w:sz w:val="28"/>
                <w:szCs w:val="28"/>
              </w:rPr>
              <w:t>年</w:t>
            </w:r>
            <w:r>
              <w:rPr>
                <w:rFonts w:hint="eastAsia"/>
                <w:b/>
                <w:sz w:val="28"/>
                <w:szCs w:val="28"/>
              </w:rPr>
              <w:t xml:space="preserve">  </w:t>
            </w:r>
            <w:r>
              <w:rPr>
                <w:rFonts w:hint="eastAsia"/>
                <w:b/>
                <w:sz w:val="28"/>
                <w:szCs w:val="28"/>
              </w:rPr>
              <w:t>月</w:t>
            </w:r>
            <w:r>
              <w:rPr>
                <w:rFonts w:hint="eastAsia"/>
                <w:b/>
                <w:sz w:val="28"/>
                <w:szCs w:val="28"/>
              </w:rPr>
              <w:t xml:space="preserve">  </w:t>
            </w:r>
            <w:r>
              <w:rPr>
                <w:rFonts w:hint="eastAsia"/>
                <w:b/>
                <w:sz w:val="28"/>
                <w:szCs w:val="28"/>
              </w:rPr>
              <w:t>日</w:t>
            </w:r>
          </w:p>
        </w:tc>
      </w:tr>
      <w:tr w:rsidR="00EB31B3" w14:paraId="5A8C91C3" w14:textId="77777777">
        <w:trPr>
          <w:trHeight w:val="7752"/>
          <w:cantSplit/>
        </w:trPr>
        <w:tc>
          <w:tcPr>
            <w:tcW w:w="8460" w:type="dxa"/>
          </w:tcPr>
          <w:p w14:paraId="75D74EDB" w14:textId="77777777" w:rsidR="00EB31B3" w:rsidRDefault="00000000">
            <w:pPr>
              <w:rPr>
                <w:rFonts w:ascii="宋体" w:hAnsi="宋体"/>
                <w:b/>
                <w:bCs/>
                <w:sz w:val="28"/>
                <w:szCs w:val="28"/>
              </w:rPr>
            </w:pPr>
            <w:r>
              <w:rPr>
                <w:rFonts w:hint="eastAsia"/>
                <w:b/>
                <w:bCs/>
                <w:sz w:val="28"/>
                <w:szCs w:val="28"/>
              </w:rPr>
              <w:t>学院（中心）审查意见</w:t>
            </w:r>
          </w:p>
          <w:p w14:paraId="5FF92716" w14:textId="77777777" w:rsidR="00EB31B3" w:rsidRDefault="00EB31B3">
            <w:pPr>
              <w:rPr>
                <w:rFonts w:ascii="宋体" w:hAnsi="宋体"/>
                <w:b/>
                <w:sz w:val="28"/>
                <w:szCs w:val="28"/>
              </w:rPr>
            </w:pPr>
          </w:p>
          <w:p w14:paraId="745D56AC" w14:textId="77777777" w:rsidR="00EB31B3" w:rsidRDefault="00EB31B3">
            <w:pPr>
              <w:rPr>
                <w:rFonts w:ascii="宋体" w:hAnsi="宋体"/>
                <w:b/>
                <w:sz w:val="28"/>
                <w:szCs w:val="28"/>
              </w:rPr>
            </w:pPr>
          </w:p>
          <w:p w14:paraId="3BD302F7" w14:textId="77777777" w:rsidR="00EB31B3" w:rsidRDefault="00EB31B3">
            <w:pPr>
              <w:rPr>
                <w:rFonts w:ascii="宋体" w:hAnsi="宋体"/>
                <w:b/>
                <w:sz w:val="28"/>
                <w:szCs w:val="28"/>
              </w:rPr>
            </w:pPr>
          </w:p>
          <w:p w14:paraId="29258896" w14:textId="77777777" w:rsidR="00EB31B3" w:rsidRDefault="00EB31B3">
            <w:pPr>
              <w:rPr>
                <w:rFonts w:ascii="宋体" w:hAnsi="宋体"/>
                <w:b/>
                <w:sz w:val="28"/>
                <w:szCs w:val="28"/>
              </w:rPr>
            </w:pPr>
          </w:p>
          <w:p w14:paraId="1FF5A794" w14:textId="77777777" w:rsidR="00EB31B3" w:rsidRDefault="00000000">
            <w:pPr>
              <w:ind w:firstLine="1275"/>
              <w:jc w:val="center"/>
              <w:rPr>
                <w:rFonts w:ascii="宋体" w:hAnsi="宋体"/>
                <w:b/>
                <w:sz w:val="28"/>
                <w:szCs w:val="28"/>
              </w:rPr>
            </w:pPr>
            <w:r>
              <w:rPr>
                <w:rFonts w:hint="eastAsia"/>
                <w:b/>
                <w:sz w:val="28"/>
                <w:szCs w:val="28"/>
              </w:rPr>
              <w:t xml:space="preserve">                          </w:t>
            </w:r>
          </w:p>
          <w:p w14:paraId="2E2A9E60" w14:textId="77777777" w:rsidR="00EB31B3" w:rsidRDefault="00EB31B3">
            <w:pPr>
              <w:ind w:firstLine="1275"/>
              <w:jc w:val="center"/>
              <w:rPr>
                <w:rFonts w:ascii="宋体" w:hAnsi="宋体"/>
                <w:b/>
                <w:sz w:val="28"/>
                <w:szCs w:val="28"/>
              </w:rPr>
            </w:pPr>
          </w:p>
          <w:p w14:paraId="340A98E6" w14:textId="77777777" w:rsidR="00EB31B3" w:rsidRDefault="00EB31B3">
            <w:pPr>
              <w:ind w:firstLine="1275"/>
              <w:jc w:val="center"/>
              <w:rPr>
                <w:rFonts w:ascii="宋体" w:hAnsi="宋体"/>
                <w:b/>
                <w:sz w:val="28"/>
                <w:szCs w:val="28"/>
              </w:rPr>
            </w:pPr>
          </w:p>
          <w:p w14:paraId="15988919" w14:textId="77777777" w:rsidR="00EB31B3" w:rsidRDefault="00EB31B3">
            <w:pPr>
              <w:ind w:firstLine="1275"/>
              <w:jc w:val="center"/>
              <w:rPr>
                <w:rFonts w:ascii="宋体" w:hAnsi="宋体"/>
                <w:b/>
                <w:sz w:val="28"/>
                <w:szCs w:val="28"/>
              </w:rPr>
            </w:pPr>
          </w:p>
          <w:p w14:paraId="17D039E2" w14:textId="77777777" w:rsidR="00EB31B3" w:rsidRDefault="00000000">
            <w:pPr>
              <w:ind w:firstLine="1275"/>
              <w:jc w:val="center"/>
              <w:rPr>
                <w:rFonts w:ascii="宋体" w:hAnsi="宋体"/>
                <w:b/>
                <w:sz w:val="28"/>
                <w:szCs w:val="28"/>
              </w:rPr>
            </w:pPr>
            <w:r>
              <w:rPr>
                <w:rFonts w:hint="eastAsia"/>
                <w:b/>
                <w:sz w:val="28"/>
                <w:szCs w:val="28"/>
              </w:rPr>
              <w:t xml:space="preserve">              </w:t>
            </w:r>
            <w:r>
              <w:rPr>
                <w:rFonts w:hint="eastAsia"/>
                <w:b/>
                <w:sz w:val="28"/>
                <w:szCs w:val="28"/>
              </w:rPr>
              <w:t>公</w:t>
            </w:r>
            <w:r>
              <w:rPr>
                <w:rFonts w:hint="eastAsia"/>
                <w:b/>
                <w:sz w:val="28"/>
                <w:szCs w:val="28"/>
              </w:rPr>
              <w:t xml:space="preserve">    </w:t>
            </w:r>
            <w:r>
              <w:rPr>
                <w:rFonts w:hint="eastAsia"/>
                <w:b/>
                <w:sz w:val="28"/>
                <w:szCs w:val="28"/>
              </w:rPr>
              <w:t>章</w:t>
            </w:r>
          </w:p>
          <w:p w14:paraId="2A49569D" w14:textId="77777777" w:rsidR="00EB31B3" w:rsidRDefault="00000000">
            <w:pPr>
              <w:ind w:firstLineChars="2110" w:firstLine="5908"/>
              <w:rPr>
                <w:rFonts w:ascii="宋体" w:hAnsi="宋体"/>
                <w:b/>
                <w:sz w:val="28"/>
                <w:szCs w:val="28"/>
              </w:rPr>
            </w:pPr>
            <w:r>
              <w:rPr>
                <w:rFonts w:hint="eastAsia"/>
                <w:b/>
                <w:sz w:val="28"/>
                <w:szCs w:val="28"/>
              </w:rPr>
              <w:t>年</w:t>
            </w:r>
            <w:r>
              <w:rPr>
                <w:rFonts w:hint="eastAsia"/>
                <w:b/>
                <w:sz w:val="28"/>
                <w:szCs w:val="28"/>
              </w:rPr>
              <w:t xml:space="preserve">  </w:t>
            </w:r>
            <w:r>
              <w:rPr>
                <w:rFonts w:hint="eastAsia"/>
                <w:b/>
                <w:sz w:val="28"/>
                <w:szCs w:val="28"/>
              </w:rPr>
              <w:t>月</w:t>
            </w:r>
            <w:r>
              <w:rPr>
                <w:rFonts w:hint="eastAsia"/>
                <w:b/>
                <w:sz w:val="28"/>
                <w:szCs w:val="28"/>
              </w:rPr>
              <w:t xml:space="preserve">  </w:t>
            </w:r>
            <w:r>
              <w:rPr>
                <w:rFonts w:hint="eastAsia"/>
                <w:b/>
                <w:sz w:val="28"/>
                <w:szCs w:val="28"/>
              </w:rPr>
              <w:t>日</w:t>
            </w:r>
          </w:p>
        </w:tc>
      </w:tr>
    </w:tbl>
    <w:p w14:paraId="5DC0BFAD" w14:textId="77777777" w:rsidR="00B268B6" w:rsidRDefault="00B268B6"/>
    <w:sectPr w:rsidR="00B268B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ngti SC">
    <w:altName w:val="宋体"/>
    <w:panose1 w:val="02010600040101010101"/>
    <w:charset w:val="86"/>
    <w:family w:val="auto"/>
    <w:pitch w:val="variable"/>
    <w:sig w:usb0="00000287" w:usb1="080F0000" w:usb2="00000010" w:usb3="00000000" w:csb0="0004009F" w:csb1="00000000"/>
  </w:font>
  <w:font w:name="华文新魏">
    <w:altName w:val="STXinwei"/>
    <w:panose1 w:val="02010800040101010101"/>
    <w:charset w:val="86"/>
    <w:family w:val="auto"/>
    <w:pitch w:val="variable"/>
    <w:sig w:usb0="00000001" w:usb1="080F0000" w:usb2="00000010" w:usb3="00000000" w:csb0="00040000" w:csb1="00000000"/>
  </w:font>
  <w:font w:name="仿宋_GB2312">
    <w:altName w:val="微软雅黑"/>
    <w:panose1 w:val="020B0604020202020204"/>
    <w:charset w:val="86"/>
    <w:family w:val="modern"/>
    <w:pitch w:val="default"/>
    <w:sig w:usb0="00000001" w:usb1="080E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2I3YmY0ZTQ0NmQ1OWE3OTI2YWM2MzRlNDc5YTE5YTAifQ=="/>
  </w:docVars>
  <w:rsids>
    <w:rsidRoot w:val="001E39C2"/>
    <w:rsid w:val="00027F5A"/>
    <w:rsid w:val="00053712"/>
    <w:rsid w:val="0008114B"/>
    <w:rsid w:val="000923D3"/>
    <w:rsid w:val="00121BB8"/>
    <w:rsid w:val="00125021"/>
    <w:rsid w:val="00152333"/>
    <w:rsid w:val="00173938"/>
    <w:rsid w:val="001B58D6"/>
    <w:rsid w:val="001E39C2"/>
    <w:rsid w:val="00210D40"/>
    <w:rsid w:val="002468A4"/>
    <w:rsid w:val="002A6F21"/>
    <w:rsid w:val="002C046E"/>
    <w:rsid w:val="002E57F8"/>
    <w:rsid w:val="002F1AB0"/>
    <w:rsid w:val="00383B05"/>
    <w:rsid w:val="003C150E"/>
    <w:rsid w:val="004B6E01"/>
    <w:rsid w:val="004E45A7"/>
    <w:rsid w:val="0057056C"/>
    <w:rsid w:val="005A55A0"/>
    <w:rsid w:val="005A56A6"/>
    <w:rsid w:val="005C50CE"/>
    <w:rsid w:val="005C5286"/>
    <w:rsid w:val="00683A43"/>
    <w:rsid w:val="006E2DC4"/>
    <w:rsid w:val="00706011"/>
    <w:rsid w:val="00712094"/>
    <w:rsid w:val="007878D8"/>
    <w:rsid w:val="007A4C35"/>
    <w:rsid w:val="007D079D"/>
    <w:rsid w:val="008045DA"/>
    <w:rsid w:val="00810B61"/>
    <w:rsid w:val="00810F38"/>
    <w:rsid w:val="008A0CFA"/>
    <w:rsid w:val="00900DF8"/>
    <w:rsid w:val="00962980"/>
    <w:rsid w:val="009B068F"/>
    <w:rsid w:val="009D37F1"/>
    <w:rsid w:val="00A765D2"/>
    <w:rsid w:val="00AA5CCB"/>
    <w:rsid w:val="00AD0344"/>
    <w:rsid w:val="00B22BB9"/>
    <w:rsid w:val="00B268B6"/>
    <w:rsid w:val="00B644CD"/>
    <w:rsid w:val="00B70196"/>
    <w:rsid w:val="00B80854"/>
    <w:rsid w:val="00BB3BB7"/>
    <w:rsid w:val="00BF5EE5"/>
    <w:rsid w:val="00C76B68"/>
    <w:rsid w:val="00C91A3E"/>
    <w:rsid w:val="00C97EDC"/>
    <w:rsid w:val="00CA0F98"/>
    <w:rsid w:val="00CA6625"/>
    <w:rsid w:val="00D100AB"/>
    <w:rsid w:val="00D44DB2"/>
    <w:rsid w:val="00DB023B"/>
    <w:rsid w:val="00DC4066"/>
    <w:rsid w:val="00E44B87"/>
    <w:rsid w:val="00E65AEA"/>
    <w:rsid w:val="00EB31B3"/>
    <w:rsid w:val="00EB324E"/>
    <w:rsid w:val="00EE3F69"/>
    <w:rsid w:val="00F05D46"/>
    <w:rsid w:val="00F408E5"/>
    <w:rsid w:val="00FE3924"/>
    <w:rsid w:val="00FF6B6F"/>
    <w:rsid w:val="114C07AB"/>
    <w:rsid w:val="4ED41302"/>
    <w:rsid w:val="74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698AE"/>
  <w15:chartTrackingRefBased/>
  <w15:docId w15:val="{93AB3573-4D69-6743-97FF-313EA7BB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Songti SC"/>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kern w:val="6"/>
      <w:sz w:val="24"/>
      <w:szCs w:val="24"/>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styleId="a8">
    <w:name w:val="Normal (Web)"/>
    <w:basedOn w:val="a"/>
    <w:pPr>
      <w:widowControl/>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1068</Words>
  <Characters>6093</Characters>
  <Application>Microsoft Office Word</Application>
  <DocSecurity>0</DocSecurity>
  <Lines>50</Lines>
  <Paragraphs>14</Paragraphs>
  <ScaleCrop>false</ScaleCrop>
  <Company>we</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红壤区设施大棚水肥智能管控平台设计与灌溉模型预测控制研究</dc:title>
  <dc:subject>专业硕士学位论文开题报告</dc:subject>
  <dc:creator>微软用户</dc:creator>
  <cp:keywords>红壤；设施大棚；水肥智能管控平台；灌溉；模型预测控制</cp:keywords>
  <cp:lastModifiedBy>P ogacar</cp:lastModifiedBy>
  <cp:revision>6</cp:revision>
  <dcterms:created xsi:type="dcterms:W3CDTF">2026-08-25T01:50:00Z</dcterms:created>
  <dcterms:modified xsi:type="dcterms:W3CDTF">2026-09-20T08:56:00Z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430C46776BB74E029B2178330AE8C6AB</vt:lpwstr>
  </property>
  <property fmtid="{D5CDD505-2E9C-101B-9397-08002B2CF9AE}" pid="4" name="KSOTemplateDocerSaveRecord">
    <vt:lpwstr>eyJoZGlkIjoiMzk4N2JiMWFhNWRlYzNlNjZhNzU1NWNjODk5NDUwMmQiLCJ1c2VySWQiOiI0MjQ0NTIwOTYifQ==</vt:lpwstr>
  </property>
</Properties>
</file>