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168CA3" w14:textId="77777777" w:rsidR="00EB31B3" w:rsidRDefault="00000000">
      <w:pPr>
        <w:rPr>
          <w:color w:val="4A4A4A"/>
          <w:sz w:val="84"/>
          <w:szCs w:val="84"/>
        </w:rPr>
      </w:pPr>
      <w:r>
        <w:rPr>
          <w:rFonts w:hint="eastAsia" w:ascii="Times New Roman" w:hAnsi="Times New Roman" w:eastAsia="Songti SC"/>
          <w:color w:val="4A4A4A"/>
          <w:sz w:val="84"/>
          <w:szCs w:val="84"/>
        </w:rPr>
        <w:t xml:space="preserve">     </w:t>
      </w:r>
    </w:p>
    <w:p w14:paraId="2C1E4F57" w14:textId="77777777" w:rsidR="00EB31B3" w:rsidRDefault="004E45A7">
      <w:pPr>
        <w:jc w:val="center"/>
        <w:rPr>
          <w:rFonts w:ascii="华文新魏" w:eastAsia="华文新魏"/>
          <w:sz w:val="48"/>
          <w:szCs w:val="48"/>
        </w:rPr>
      </w:pPr>
      <w:r w:rsidRPr="004E45A7">
        <w:rPr>
          <w:rFonts w:ascii="Times New Roman" w:eastAsia="Songti SC" w:hAnsi="Times New Roman"/>
          <w:noProof/>
          <w:sz w:val="48"/>
          <w:szCs w:val="48"/>
        </w:rPr>
        <w:pict w14:anchorId="61C4CD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170.9pt;height:41.05pt;visibility:visible;mso-wrap-style:square">
            <v:imagedata r:id="rId4" o:title=""/>
            <o:lock v:ext="edit" rotation="t" cropping="t" verticies="t"/>
          </v:shape>
        </w:pict>
      </w:r>
    </w:p>
    <w:p w14:paraId="21D67554" w14:textId="77777777" w:rsidR="00EB31B3" w:rsidRDefault="00EB31B3">
      <w:pPr>
        <w:jc w:val="center"/>
        <w:rPr>
          <w:rFonts w:ascii="华文新魏" w:eastAsia="华文新魏"/>
          <w:sz w:val="48"/>
          <w:szCs w:val="48"/>
        </w:rPr>
      </w:pPr>
    </w:p>
    <w:p w14:paraId="3B5FDE40" w14:textId="77777777" w:rsidR="00EB31B3" w:rsidRDefault="00000000">
      <w:pPr>
        <w:jc w:val="center"/>
        <w:rPr>
          <w:rFonts w:ascii="宋体" w:hAnsi="宋体"/>
          <w:b/>
          <w:sz w:val="52"/>
          <w:szCs w:val="52"/>
        </w:rPr>
      </w:pPr>
      <w:r>
        <w:rPr>
          <w:rFonts w:ascii="Times New Roman" w:hAnsi="Times New Roman" w:hint="eastAsia" w:eastAsia="Songti SC"/>
          <w:b/>
          <w:sz w:val="52"/>
          <w:szCs w:val="52"/>
        </w:rPr>
        <w:t>专业硕士学位研究生</w:t>
      </w:r>
    </w:p>
    <w:p w14:paraId="67DE02B5" w14:textId="77777777" w:rsidR="00EB31B3" w:rsidRDefault="00000000">
      <w:pPr>
        <w:jc w:val="center"/>
        <w:rPr>
          <w:rFonts w:ascii="宋体" w:hAnsi="宋体"/>
          <w:b/>
          <w:sz w:val="52"/>
          <w:szCs w:val="52"/>
        </w:rPr>
      </w:pPr>
      <w:r>
        <w:rPr>
          <w:rFonts w:ascii="Times New Roman" w:hAnsi="Times New Roman" w:hint="eastAsia" w:eastAsia="Songti SC"/>
          <w:b/>
          <w:sz w:val="52"/>
          <w:szCs w:val="52"/>
        </w:rPr>
        <w:t>学位论文开题报告</w:t>
      </w:r>
    </w:p>
    <w:p w14:paraId="4B1AC234" w14:textId="77777777" w:rsidR="00EB31B3" w:rsidRDefault="00EB31B3">
      <w:pPr>
        <w:spacing w:line="860" w:lineRule="exact"/>
        <w:ind w:firstLineChars="345" w:firstLine="1247"/>
        <w:rPr>
          <w:b/>
          <w:sz w:val="36"/>
          <w:szCs w:val="36"/>
        </w:rPr>
      </w:pPr>
    </w:p>
    <w:p w14:paraId="5C9926AC" w14:textId="77777777" w:rsidR="00EB31B3" w:rsidRDefault="00000000">
      <w:pPr>
        <w:spacing w:line="860" w:lineRule="exact"/>
        <w:ind w:firstLineChars="400" w:firstLine="1200"/>
        <w:jc w:val="center"/>
        <w:rPr>
          <w:b/>
          <w:sz w:val="36"/>
          <w:szCs w:val="36"/>
        </w:rPr>
      </w:pPr>
      <w:r>
        <w:rPr>
          <w:rFonts w:ascii="Times New Roman" w:eastAsia="Songti SC" w:hAnsi="Times New Roman" w:cs="仿宋_GB2312"/>
          <w:b/>
          <w:sz w:val="30"/>
        </w:rPr>
        <w:t>论文题目：面向红壤区设施大棚的智慧管控平台设计与根区水分MPC适用性研究</w:t>
      </w:r>
    </w:p>
    <w:p w14:paraId="7A6D6FE5" w14:textId="77777777" w:rsidR="00EB31B3" w:rsidRDefault="00000000">
      <w:pPr>
        <w:tabs>
          <w:tab w:val="left" w:pos="2370"/>
        </w:tabs>
        <w:spacing w:line="860" w:lineRule="exact"/>
        <w:rPr>
          <w:b/>
          <w:sz w:val="36"/>
          <w:szCs w:val="36"/>
          <w:u w:val="single"/>
        </w:rPr>
      </w:pPr>
      <w:r>
        <w:rPr>
          <w:rFonts w:hint="eastAsia" w:ascii="Times New Roman" w:hAnsi="Times New Roman" w:eastAsia="Songti SC"/>
          <w:b/>
          <w:sz w:val="36"/>
          <w:szCs w:val="36"/>
        </w:rPr>
        <w:t xml:space="preserve">          </w:t>
      </w:r>
      <w:r>
        <w:rPr>
          <w:rFonts w:hint="eastAsia" w:ascii="Times New Roman" w:hAnsi="Times New Roman" w:eastAsia="Songti SC"/>
          <w:b/>
          <w:sz w:val="36"/>
          <w:szCs w:val="36"/>
        </w:rPr>
        <w:t>研究生姓名：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郭众鑫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</w:t>
      </w:r>
    </w:p>
    <w:p w14:paraId="536A951C" w14:textId="77777777" w:rsidR="00EB31B3" w:rsidRDefault="00000000">
      <w:pPr>
        <w:spacing w:line="860" w:lineRule="exact"/>
        <w:rPr>
          <w:b/>
          <w:sz w:val="36"/>
          <w:szCs w:val="36"/>
          <w:u w:val="single"/>
        </w:rPr>
      </w:pPr>
      <w:r>
        <w:rPr>
          <w:rFonts w:hint="eastAsia" w:ascii="Times New Roman" w:hAnsi="Times New Roman" w:eastAsia="Songti SC"/>
          <w:b/>
          <w:sz w:val="36"/>
          <w:szCs w:val="36"/>
        </w:rPr>
        <w:t xml:space="preserve">          </w:t>
      </w:r>
      <w:r>
        <w:rPr>
          <w:rFonts w:hint="eastAsia" w:ascii="Times New Roman" w:hAnsi="Times New Roman" w:eastAsia="Songti SC"/>
          <w:b/>
          <w:spacing w:val="30"/>
          <w:kern w:val="0"/>
          <w:sz w:val="36"/>
          <w:szCs w:val="36"/>
          <w:fitText w:val="2166" w:id="355804416"/>
        </w:rPr>
        <w:t>学</w:t>
      </w:r>
      <w:r>
        <w:rPr>
          <w:rFonts w:hint="eastAsia" w:ascii="Times New Roman" w:hAnsi="Times New Roman" w:eastAsia="Songti SC"/>
          <w:b/>
          <w:spacing w:val="30"/>
          <w:kern w:val="0"/>
          <w:sz w:val="36"/>
          <w:szCs w:val="36"/>
          <w:fitText w:val="2166" w:id="355804416"/>
        </w:rPr>
        <w:t xml:space="preserve">    </w:t>
      </w:r>
      <w:r>
        <w:rPr>
          <w:rFonts w:hint="eastAsia" w:ascii="Times New Roman" w:hAnsi="Times New Roman" w:eastAsia="Songti SC"/>
          <w:b/>
          <w:spacing w:val="30"/>
          <w:kern w:val="0"/>
          <w:sz w:val="36"/>
          <w:szCs w:val="36"/>
          <w:fitText w:val="2166" w:id="355804416"/>
        </w:rPr>
        <w:t>号</w:t>
      </w:r>
      <w:r>
        <w:rPr>
          <w:rFonts w:hint="eastAsia" w:ascii="Times New Roman" w:hAnsi="Times New Roman" w:eastAsia="Songti SC"/>
          <w:b/>
          <w:spacing w:val="3"/>
          <w:kern w:val="0"/>
          <w:sz w:val="36"/>
          <w:szCs w:val="36"/>
          <w:fitText w:val="2166" w:id="355804416"/>
        </w:rPr>
        <w:t>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2506301006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</w:t>
      </w:r>
    </w:p>
    <w:p w14:paraId="3AE722D2" w14:textId="77777777" w:rsidR="00EB31B3" w:rsidRDefault="00000000">
      <w:pPr>
        <w:spacing w:line="860" w:lineRule="exact"/>
        <w:rPr>
          <w:b/>
          <w:sz w:val="36"/>
          <w:szCs w:val="36"/>
          <w:u w:val="single"/>
        </w:rPr>
      </w:pPr>
      <w:r>
        <w:rPr>
          <w:rFonts w:hint="eastAsia" w:ascii="Times New Roman" w:hAnsi="Times New Roman" w:eastAsia="Songti SC"/>
          <w:b/>
          <w:sz w:val="36"/>
          <w:szCs w:val="36"/>
        </w:rPr>
        <w:t xml:space="preserve">          </w:t>
      </w:r>
      <w:r>
        <w:rPr>
          <w:rFonts w:hint="eastAsia" w:ascii="Times New Roman" w:hAnsi="Times New Roman" w:eastAsia="Songti SC"/>
          <w:b/>
          <w:spacing w:val="45"/>
          <w:kern w:val="0"/>
          <w:sz w:val="36"/>
          <w:szCs w:val="36"/>
          <w:fitText w:val="2166" w:id="355804416"/>
        </w:rPr>
        <w:t>校内导师</w:t>
      </w:r>
      <w:r>
        <w:rPr>
          <w:rFonts w:hint="eastAsia" w:ascii="Times New Roman" w:hAnsi="Times New Roman" w:eastAsia="Songti SC"/>
          <w:b/>
          <w:spacing w:val="3"/>
          <w:kern w:val="0"/>
          <w:sz w:val="36"/>
          <w:szCs w:val="36"/>
          <w:fitText w:val="2166" w:id="355804416"/>
        </w:rPr>
        <w:t>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罗志扬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</w:t>
      </w:r>
    </w:p>
    <w:p w14:paraId="502FAF59" w14:textId="77777777" w:rsidR="00EB31B3" w:rsidRDefault="00000000">
      <w:pPr>
        <w:spacing w:line="860" w:lineRule="exact"/>
        <w:ind w:firstLineChars="400" w:firstLine="1806"/>
        <w:rPr>
          <w:b/>
          <w:sz w:val="36"/>
          <w:szCs w:val="36"/>
        </w:rPr>
      </w:pPr>
      <w:r>
        <w:rPr>
          <w:rFonts w:hint="eastAsia" w:ascii="Times New Roman" w:hAnsi="Times New Roman" w:eastAsia="Songti SC"/>
          <w:b/>
          <w:spacing w:val="45"/>
          <w:kern w:val="0"/>
          <w:sz w:val="36"/>
          <w:szCs w:val="36"/>
          <w:fitText w:val="2166" w:id="355804416"/>
        </w:rPr>
        <w:t>校外导师</w:t>
      </w:r>
      <w:r>
        <w:rPr>
          <w:rFonts w:hint="eastAsia" w:ascii="Times New Roman" w:hAnsi="Times New Roman" w:eastAsia="Songti SC"/>
          <w:b/>
          <w:spacing w:val="3"/>
          <w:kern w:val="0"/>
          <w:sz w:val="36"/>
          <w:szCs w:val="36"/>
          <w:fitText w:val="2166" w:id="355804416"/>
        </w:rPr>
        <w:t>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       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</w:t>
      </w:r>
    </w:p>
    <w:p w14:paraId="5066DA19" w14:textId="77777777" w:rsidR="00EB31B3" w:rsidRDefault="00000000">
      <w:pPr>
        <w:spacing w:line="860" w:lineRule="exact"/>
        <w:rPr>
          <w:b/>
          <w:sz w:val="36"/>
          <w:szCs w:val="36"/>
          <w:u w:val="single"/>
        </w:rPr>
      </w:pPr>
      <w:r>
        <w:rPr>
          <w:rFonts w:hint="eastAsia" w:ascii="Times New Roman" w:hAnsi="Times New Roman" w:eastAsia="Songti SC"/>
          <w:b/>
          <w:sz w:val="36"/>
          <w:szCs w:val="36"/>
        </w:rPr>
        <w:t xml:space="preserve">          </w:t>
      </w:r>
      <w:r>
        <w:rPr>
          <w:rFonts w:hint="eastAsia" w:ascii="Times New Roman" w:hAnsi="Times New Roman" w:eastAsia="Songti SC"/>
          <w:b/>
          <w:spacing w:val="45"/>
          <w:kern w:val="0"/>
          <w:sz w:val="36"/>
          <w:szCs w:val="36"/>
          <w:fitText w:val="2166" w:id="355804416"/>
        </w:rPr>
        <w:t>研究方向</w:t>
      </w:r>
      <w:r>
        <w:rPr>
          <w:rFonts w:hint="eastAsia" w:ascii="Times New Roman" w:hAnsi="Times New Roman" w:eastAsia="Songti SC"/>
          <w:b/>
          <w:spacing w:val="3"/>
          <w:kern w:val="0"/>
          <w:sz w:val="36"/>
          <w:szCs w:val="36"/>
          <w:fitText w:val="2166" w:id="355804416"/>
        </w:rPr>
        <w:t>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             </w:t>
      </w:r>
    </w:p>
    <w:p w14:paraId="14C9D916" w14:textId="77777777" w:rsidR="00EB31B3" w:rsidRDefault="00000000">
      <w:pPr>
        <w:spacing w:line="860" w:lineRule="exact"/>
        <w:ind w:firstLineChars="400" w:firstLine="1806"/>
        <w:rPr>
          <w:b/>
          <w:sz w:val="36"/>
          <w:szCs w:val="36"/>
          <w:u w:val="single"/>
        </w:rPr>
      </w:pPr>
      <w:r>
        <w:rPr>
          <w:rFonts w:hint="eastAsia" w:ascii="Times New Roman" w:hAnsi="Times New Roman" w:eastAsia="Songti SC"/>
          <w:b/>
          <w:spacing w:val="45"/>
          <w:kern w:val="0"/>
          <w:sz w:val="36"/>
          <w:szCs w:val="36"/>
          <w:fitText w:val="2166" w:id="355804416"/>
        </w:rPr>
        <w:t>入学年月</w:t>
      </w:r>
      <w:r>
        <w:rPr>
          <w:rFonts w:hint="eastAsia" w:ascii="Times New Roman" w:hAnsi="Times New Roman" w:eastAsia="Songti SC"/>
          <w:b/>
          <w:spacing w:val="3"/>
          <w:kern w:val="0"/>
          <w:sz w:val="36"/>
          <w:szCs w:val="36"/>
          <w:fitText w:val="2166" w:id="355804416"/>
        </w:rPr>
        <w:t>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2025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年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9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月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</w:t>
      </w:r>
    </w:p>
    <w:p w14:paraId="1E99D8F7" w14:textId="77777777" w:rsidR="00EB31B3" w:rsidRDefault="00000000">
      <w:pPr>
        <w:spacing w:line="860" w:lineRule="exact"/>
        <w:ind w:firstLineChars="500" w:firstLine="1807"/>
        <w:rPr>
          <w:b/>
          <w:sz w:val="36"/>
          <w:szCs w:val="36"/>
        </w:rPr>
      </w:pPr>
      <w:r>
        <w:rPr>
          <w:rFonts w:hint="eastAsia" w:ascii="Times New Roman" w:hAnsi="Times New Roman" w:eastAsia="Songti SC"/>
          <w:b/>
          <w:sz w:val="36"/>
          <w:szCs w:val="36"/>
        </w:rPr>
        <w:t xml:space="preserve">                   </w:t>
      </w:r>
    </w:p>
    <w:p w14:paraId="0F254982" w14:textId="77777777" w:rsidR="00EB31B3" w:rsidRDefault="00000000">
      <w:pPr>
        <w:jc w:val="center"/>
        <w:rPr>
          <w:b/>
          <w:sz w:val="28"/>
        </w:rPr>
      </w:pPr>
      <w:r>
        <w:rPr>
          <w:rFonts w:ascii="Times New Roman" w:eastAsia="Songti SC" w:hAnsi="Times New Roman" w:cs="仿宋_GB2312"/>
          <w:sz w:val="28"/>
        </w:rPr>
        <w:lastRenderedPageBreak/>
        <w:t>填表日期       2026年  9 月    日</w:t>
      </w:r>
    </w:p>
    <w:p w14:paraId="2481C889" w14:textId="77777777" w:rsidR="00EB31B3" w:rsidRPr="00CA6625" w:rsidRDefault="00EB31B3">
      <w:pPr>
        <w:spacing w:line="480" w:lineRule="auto"/>
        <w:jc w:val="center"/>
        <w:rPr>
          <w:rFonts w:eastAsia="华文新魏"/>
          <w:sz w:val="44"/>
          <w:szCs w:val="44"/>
        </w:rPr>
      </w:pPr>
    </w:p>
    <w:p w14:paraId="21F6EE1D" w14:textId="77777777" w:rsidR="00EB31B3" w:rsidRDefault="00EB31B3">
      <w:pPr>
        <w:spacing w:line="480" w:lineRule="auto"/>
        <w:jc w:val="center"/>
        <w:rPr>
          <w:rFonts w:eastAsia="华文新魏"/>
          <w:sz w:val="44"/>
          <w:szCs w:val="44"/>
        </w:rPr>
      </w:pPr>
    </w:p>
    <w:p w14:paraId="191986CF" w14:textId="77777777" w:rsidR="00EB31B3" w:rsidRDefault="00000000">
      <w:pPr>
        <w:spacing w:line="480" w:lineRule="auto"/>
        <w:jc w:val="center"/>
        <w:rPr>
          <w:rFonts w:eastAsia="华文新魏"/>
          <w:sz w:val="44"/>
          <w:szCs w:val="44"/>
        </w:rPr>
      </w:pPr>
      <w:r>
        <w:rPr>
          <w:rFonts w:eastAsia="Songti SC" w:hint="eastAsia" w:ascii="Times New Roman" w:hAnsi="Times New Roman"/>
          <w:sz w:val="44"/>
          <w:szCs w:val="44"/>
        </w:rPr>
        <w:t>填</w:t>
      </w:r>
      <w:r>
        <w:rPr>
          <w:rFonts w:eastAsia="Songti SC" w:hint="eastAsia" w:ascii="Times New Roman" w:hAnsi="Times New Roman"/>
          <w:sz w:val="44"/>
          <w:szCs w:val="44"/>
        </w:rPr>
        <w:t xml:space="preserve">   </w:t>
      </w:r>
      <w:r>
        <w:rPr>
          <w:rFonts w:eastAsia="Songti SC" w:hint="eastAsia" w:ascii="Times New Roman" w:hAnsi="Times New Roman"/>
          <w:sz w:val="44"/>
          <w:szCs w:val="44"/>
        </w:rPr>
        <w:t>表</w:t>
      </w:r>
      <w:r>
        <w:rPr>
          <w:rFonts w:eastAsia="Songti SC" w:hint="eastAsia" w:ascii="Times New Roman" w:hAnsi="Times New Roman"/>
          <w:sz w:val="44"/>
          <w:szCs w:val="44"/>
        </w:rPr>
        <w:t xml:space="preserve">   </w:t>
      </w:r>
      <w:r>
        <w:rPr>
          <w:rFonts w:eastAsia="Songti SC" w:hint="eastAsia" w:ascii="Times New Roman" w:hAnsi="Times New Roman"/>
          <w:sz w:val="44"/>
          <w:szCs w:val="44"/>
        </w:rPr>
        <w:t>说</w:t>
      </w:r>
      <w:r>
        <w:rPr>
          <w:rFonts w:eastAsia="Songti SC" w:hint="eastAsia" w:ascii="Times New Roman" w:hAnsi="Times New Roman"/>
          <w:sz w:val="44"/>
          <w:szCs w:val="44"/>
        </w:rPr>
        <w:t xml:space="preserve">   </w:t>
      </w:r>
      <w:r>
        <w:rPr>
          <w:rFonts w:eastAsia="Songti SC" w:hint="eastAsia" w:ascii="Times New Roman" w:hAnsi="Times New Roman"/>
          <w:sz w:val="44"/>
          <w:szCs w:val="44"/>
        </w:rPr>
        <w:t>明</w:t>
      </w:r>
    </w:p>
    <w:p w14:paraId="0355767D" w14:textId="77777777" w:rsidR="00EB31B3" w:rsidRDefault="00000000">
      <w:pPr>
        <w:ind w:left="420" w:hangingChars="150" w:hanging="420"/>
        <w:rPr>
          <w:rFonts w:ascii="仿宋_GB2312" w:eastAsia="仿宋_GB2312" w:hAnsi="华文仿宋"/>
          <w:kern w:val="6"/>
          <w:sz w:val="28"/>
          <w:szCs w:val="28"/>
        </w:rPr>
      </w:pPr>
      <w:r>
        <w:rPr>
          <w:rFonts w:ascii="Times New Roman" w:eastAsia="Songti SC" w:hAnsi="Times New Roman" w:hint="eastAsia"/>
          <w:kern w:val="6"/>
          <w:sz w:val="28"/>
          <w:szCs w:val="28"/>
        </w:rPr>
        <w:t>1. 专业硕士学位研究生的学位论文一般应</w:t>
      </w:r>
      <w:r>
        <w:rPr>
          <w:rFonts w:ascii="Times New Roman" w:eastAsia="Songti SC" w:hAnsi="Times New Roman"/>
          <w:kern w:val="6"/>
          <w:sz w:val="28"/>
          <w:szCs w:val="28"/>
        </w:rPr>
        <w:t>是</w:t>
      </w:r>
      <w:r>
        <w:rPr>
          <w:rFonts w:ascii="Times New Roman" w:eastAsia="Songti SC" w:hAnsi="Times New Roman" w:hint="eastAsia"/>
          <w:kern w:val="6"/>
          <w:sz w:val="28"/>
          <w:szCs w:val="28"/>
        </w:rPr>
        <w:t>解决科学问题或工程实际应用问题的研究。</w:t>
      </w:r>
    </w:p>
    <w:p w14:paraId="00AF513C" w14:textId="77777777" w:rsidR="00EB31B3" w:rsidRDefault="00000000">
      <w:pPr>
        <w:spacing w:line="480" w:lineRule="auto"/>
        <w:rPr>
          <w:rFonts w:ascii="仿宋_GB2312" w:eastAsia="仿宋_GB2312" w:hAnsi="华文仿宋"/>
          <w:sz w:val="28"/>
          <w:szCs w:val="28"/>
        </w:rPr>
      </w:pPr>
      <w:r>
        <w:rPr>
          <w:rFonts w:ascii="Times New Roman" w:eastAsia="Songti SC" w:hAnsi="Times New Roman" w:hint="eastAsia"/>
          <w:sz w:val="28"/>
          <w:szCs w:val="28"/>
        </w:rPr>
        <w:t>2. 本表应在导师指导下独立完成。</w:t>
      </w:r>
    </w:p>
    <w:p w14:paraId="60CC2AA2" w14:textId="77777777" w:rsidR="00EB31B3" w:rsidRDefault="00000000">
      <w:pPr>
        <w:pStyle w:val="a3"/>
        <w:tabs>
          <w:tab w:val="left" w:pos="900"/>
        </w:tabs>
        <w:ind w:left="420" w:rightChars="231" w:right="485" w:hangingChars="150" w:hanging="420"/>
        <w:rPr>
          <w:rFonts w:ascii="仿宋_GB2312" w:eastAsia="仿宋_GB2312" w:hAnsi="华文仿宋"/>
          <w:sz w:val="28"/>
          <w:szCs w:val="28"/>
        </w:rPr>
      </w:pPr>
      <w:r>
        <w:rPr>
          <w:rFonts w:ascii="Times New Roman" w:eastAsia="Songti SC" w:hAnsi="Times New Roman" w:hint="eastAsia"/>
          <w:sz w:val="28"/>
          <w:szCs w:val="28"/>
        </w:rPr>
        <w:t>3. 开题报告作为学位论文撰写和学位申请的重要材料，应及时完成，不得随意更改。</w:t>
      </w:r>
    </w:p>
    <w:p w14:paraId="138C7FC4" w14:textId="77777777" w:rsidR="00EB31B3" w:rsidRDefault="00000000">
      <w:pPr>
        <w:pStyle w:val="a3"/>
        <w:tabs>
          <w:tab w:val="left" w:pos="900"/>
        </w:tabs>
        <w:ind w:left="420" w:rightChars="231" w:right="485" w:hangingChars="150" w:hanging="420"/>
        <w:rPr>
          <w:rFonts w:ascii="仿宋_GB2312" w:eastAsia="仿宋_GB2312" w:hAnsi="华文仿宋"/>
          <w:sz w:val="28"/>
          <w:szCs w:val="28"/>
        </w:rPr>
      </w:pPr>
      <w:r>
        <w:rPr>
          <w:rFonts w:ascii="Times New Roman" w:eastAsia="Songti SC" w:hAnsi="Times New Roman" w:hint="eastAsia"/>
          <w:kern w:val="2"/>
          <w:sz w:val="28"/>
          <w:szCs w:val="28"/>
        </w:rPr>
        <w:t>4. 本表一式三份，研究生本人一份，学院（中心）一份，研究生院一份。</w:t>
      </w:r>
    </w:p>
    <w:p w14:paraId="100E4B43" w14:textId="77777777" w:rsidR="00EB31B3" w:rsidRDefault="00000000">
      <w:pPr>
        <w:spacing w:line="480" w:lineRule="auto"/>
        <w:rPr>
          <w:rFonts w:ascii="仿宋_GB2312" w:eastAsia="仿宋_GB2312" w:hAnsi="华文仿宋"/>
          <w:sz w:val="28"/>
          <w:szCs w:val="28"/>
        </w:rPr>
      </w:pPr>
      <w:r>
        <w:rPr>
          <w:rFonts w:ascii="Times New Roman" w:eastAsia="Songti SC" w:hAnsi="Times New Roman" w:hint="eastAsia"/>
          <w:sz w:val="28"/>
          <w:szCs w:val="28"/>
        </w:rPr>
        <w:t>5．本表用A4纸张</w:t>
      </w:r>
      <w:r>
        <w:rPr>
          <w:rFonts w:ascii="Times New Roman" w:eastAsia="Songti SC" w:hAnsi="Times New Roman" w:hint="eastAsia"/>
          <w:iCs/>
          <w:sz w:val="28"/>
          <w:szCs w:val="28"/>
        </w:rPr>
        <w:t>双面</w:t>
      </w:r>
      <w:r>
        <w:rPr>
          <w:rFonts w:ascii="Times New Roman" w:eastAsia="Songti SC" w:hAnsi="Times New Roman" w:hint="eastAsia"/>
          <w:sz w:val="28"/>
          <w:szCs w:val="28"/>
        </w:rPr>
        <w:t>填写或打印。</w:t>
      </w:r>
    </w:p>
    <w:p w14:paraId="0F6A00A4" w14:textId="77777777" w:rsidR="00EB31B3" w:rsidRDefault="00000000">
      <w:pPr>
        <w:spacing w:line="480" w:lineRule="auto"/>
        <w:rPr>
          <w:rFonts w:ascii="仿宋_GB2312" w:eastAsia="仿宋_GB2312" w:hAnsi="华文仿宋"/>
          <w:sz w:val="28"/>
          <w:szCs w:val="28"/>
        </w:rPr>
      </w:pPr>
      <w:r>
        <w:rPr>
          <w:rFonts w:ascii="Times New Roman" w:eastAsia="Songti SC" w:hAnsi="Times New Roman" w:hint="eastAsia"/>
          <w:sz w:val="28"/>
          <w:szCs w:val="28"/>
        </w:rPr>
        <w:t>6. 本表应在规定的时间内上交。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0"/>
      </w:tblGrid>
      <w:tr w:rsidR="00EB31B3" w14:paraId="1C691AE0" w14:textId="77777777">
        <w:trPr>
          <w:trHeight w:val="13425"/>
        </w:trPr>
        <w:tc>
          <w:tcPr>
            <w:tcW w:w="8280" w:type="dxa"/>
          </w:tcPr>
          <w:p w14:paraId="70A74900" w14:textId="77777777" w:rsidR="00121BB8" w:rsidRDefault="00000000">
            <w:pPr>
              <w:pageBreakBefore/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lastRenderedPageBreak/>
              <w:t>一、选题依据和意义</w:t>
            </w:r>
          </w:p>
          <w:p w14:paraId="5CA87265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1. 研究背景</w:t>
            </w:r>
          </w:p>
          <w:p w14:paraId="45396E06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设施大棚水肥管理需要连续监测土壤、气象与设备状态，并按分区组织灌溉任务。智慧农业政策及水肥一体化设备、微灌工程和设施园艺物联网标准，对信息感知、设备互联和精准作业提出了要求[1-4]。具体到棚内根区，水分变化同时受灌水、蒸散、层间交换、深层渗漏和执行偏差影响。固定时长或单阈值灌溉便于实施，却难以在未来扰动、泵阀能力和含水率安全区间之间协调，异常情况下也缺少可追溯的降级依据。</w:t>
            </w:r>
          </w:p>
          <w:p w14:paraId="473EB425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本课题拟设计面向红壤区设施大棚的智慧管控平台，以根区水分为当前可验证的控制对象。平台统一接入双深度水分、棚内气象、灌水命令、实际流量及设备状态，管理数据准入、模型版本、控制任务、安全联锁和执行反馈。肥液EC、pH、压力、液位等作为监测与扩展接口保留；在缺少养分对象数据和实体设备的阶段，不把水分控制结果外推为水肥协同优化效果。</w:t>
            </w:r>
          </w:p>
          <w:p w14:paraId="4B91D2B9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2. 选题定位</w:t>
            </w:r>
          </w:p>
          <w:p w14:paraId="344DD089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根区水分模型预测控制（Model Predictive Control，MPC）作为平台灌溉决策的核心算法。研究采用10 cm与25 cm双深度体积含水率描述浅层快速响应和深层蓄水变化，以实际到达水量而非仅以命令水量驱动模型。MPC根据当前状态、短时气象扰动和动作约束滚动计算候选灌水量；数据或模型未通过准入时不发布MPC版本，观测、求解或执行异常时进入规则回退或安全暂停。</w:t>
            </w:r>
          </w:p>
          <w:p w14:paraId="2845DCA1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研究对象定位于红壤土壤栽培大棚，但当前尚无红壤连续实测数据。现阶段使用独立合成对象验证数据准入、双层辨识、冻结控制评价和平台消息链，结论仅表述为方法与软件在环证据。后续须通过同一设备和工况下的传感器标定、流量标定及湿润—干燥循环数据重新辨识红壤参数；模型通过独立验证后，方可进入真实数据回放或低风险现场试验。</w:t>
            </w:r>
          </w:p>
          <w:p w14:paraId="1B2DE38F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3. 研究意义</w:t>
            </w:r>
          </w:p>
          <w:p w14:paraId="4A7F9AF9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本课题把平台建设与算法研究组织为一条证据链：数据先接受质量和辨识信息准入，模型在独立循环验证后才能驱动控制器，规则与MPC在开发—锁定隔离的场景中比较，异常监督接受独立失效检验，最终由任务—版本—命令—反馈审计还原全过程。该路线既保留智慧管控平台主体，也直接回应灌溉MPC受现场数据不足、模型失配和执行异常制约的问题。</w:t>
            </w:r>
          </w:p>
        </w:tc>
      </w:tr>
    </w:tbl>
    <w:p w14:paraId="0738C3BE" w14:textId="77777777" w:rsidR="00EB31B3" w:rsidRDefault="00000000">
      <w:pPr>
        <w:rPr>
          <w:b/>
          <w:bCs/>
        </w:rPr>
      </w:pPr>
      <w:r>
        <w:rPr>
          <w:rFonts w:hint="eastAsia" w:ascii="Times New Roman" w:hAnsi="Times New Roman" w:eastAsia="Songti SC"/>
          <w:b/>
          <w:bCs/>
        </w:rPr>
        <w:lastRenderedPageBreak/>
        <w:t>注：</w:t>
      </w:r>
      <w:r>
        <w:rPr>
          <w:rFonts w:ascii="Times New Roman" w:eastAsia="Songti SC" w:hAnsi="Times New Roman" w:hint="eastAsia"/>
          <w:sz w:val="28"/>
          <w:szCs w:val="28"/>
        </w:rPr>
        <w:t>表内页面不够，可加附页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0"/>
      </w:tblGrid>
      <w:tr w:rsidR="00EB31B3" w14:paraId="14583196" w14:textId="77777777">
        <w:trPr>
          <w:trHeight w:val="13425"/>
        </w:trPr>
        <w:tc>
          <w:tcPr>
            <w:tcW w:w="8280" w:type="dxa"/>
          </w:tcPr>
          <w:p w14:paraId="27BA04A0" w14:textId="77777777" w:rsidR="00121BB8" w:rsidRDefault="00000000">
            <w:pPr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lastRenderedPageBreak/>
              <w:t>二、国内外研究现状述评与趋势展望</w:t>
            </w:r>
          </w:p>
          <w:p w14:paraId="2650353C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1. 设施水肥管控与信息平台</w:t>
            </w:r>
          </w:p>
          <w:p w14:paraId="6E1700BB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设施水肥研究已由单机配肥扩展到环境感知、网络通信、远程管理和决策协同。国内相关工作覆盖水肥装备、温室环境监测、人机交互及物联网联动[6-12]，国外研究也形成营养液混配、自动灌溉施肥和滴灌动态仿真工具[13-15]。现有成果为设备与信息系统集成提供了基础，但对算法进入控制前的数据准入、模型版本冻结、命令与实际供水核对以及异常消息后的状态恢复，仍需要统一的任务化证据链。</w:t>
            </w:r>
          </w:p>
          <w:p w14:paraId="03840025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2. 根区水分建模与模型预测控制</w:t>
            </w:r>
          </w:p>
          <w:p w14:paraId="7A0648CE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MPC使用过程模型预测未来响应，并在每个控制周期滚动求解约束优化问题[23]。灌溉研究已探索数据驱动MPC[24]、天气预报不确定性下的根区亏缺与灌水量优化[25]、农业水文对象的区间MPC[26]以及考虑水能成本的周期MPC[27]。这些工作表明，MPC用于灌溉并非空白；其研究价值主要来自对根区动态、未来扰动和动作约束的统一处理。相应地，本课题不以“首次将MPC用于灌溉”为创新主张，而聚焦有限数据下模型何时可用、控制价值如何冻结评价以及失败如何被平台记录。</w:t>
            </w:r>
          </w:p>
          <w:p w14:paraId="5E23FDF8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灌溉MPC能否落地首先受控制导向模型约束。采样点数量或湿干循环数量不能证明参数已被充分激励，训练误差较小也不能替代独立循环预测、物理边界和闭环价值检验。红壤参数、根区深度、蒸散估计、传感标定和实际灌水量的变化都会形成模型—对象失配。本课题因此设置结构质量与幅值敏感辨识信息两级准入，并把模型辨识、控制器开发和锁定评价使用的数据与场景相互隔离。</w:t>
            </w:r>
          </w:p>
          <w:p w14:paraId="25D30BF4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3. 云边协同、故障诊断与安全回退</w:t>
            </w:r>
          </w:p>
          <w:p w14:paraId="2C7E68F5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网络化控制和边缘计算研究为现场分层计算及时延、丢包分析提供了基础[28-30]；故障诊断与容错控制研究则表明，检测、隔离、控制重构和恢复需要协同设计[31-35]。对大棚灌溉而言，异常检测并不自动产生安全回退：传感高读、传感低读、流量衰减和阀门卡滞需要的动作方向可能相反，观测隔离还可能阻断恢复。平台必须把风险状态、允许动作、恢复证据和硬联锁分别记录，并以亏缺、过湿和安全违反检验回退效果。</w:t>
            </w:r>
          </w:p>
          <w:p w14:paraId="088D4644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4. 研究述评与趋势</w:t>
            </w:r>
          </w:p>
          <w:p w14:paraId="2ECD4837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现有研究已经证明灌溉MPC具有理论与应用基础，当前缺口不宜概括为“算法发展不足”，而应具体表述为三点：有限现场数据是否含有足够辨识信息；不同模型与接口能否形成一致的闭环证据；异常检测能否转化为可达且安全的回退与恢复动作。本课题以智慧管控平台为载体，把数据准入、双层灰箱模型、冻结配对评价、监督失效分析和命令反馈审计纳入同一研究流程。</w:t>
            </w:r>
          </w:p>
        </w:tc>
      </w:tr>
    </w:tbl>
    <w:p w14:paraId="16730589" w14:textId="77777777" w:rsidR="00EB31B3" w:rsidRDefault="00EB31B3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00"/>
      </w:tblGrid>
      <w:tr w:rsidR="00EB31B3" w14:paraId="6F2C5DB4" w14:textId="77777777">
        <w:trPr>
          <w:trHeight w:val="13425"/>
        </w:trPr>
        <w:tc>
          <w:tcPr>
            <w:tcW w:w="8100" w:type="dxa"/>
          </w:tcPr>
          <w:p w14:paraId="55A81B88" w14:textId="77777777" w:rsidR="00121BB8" w:rsidRDefault="00000000">
            <w:pPr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lastRenderedPageBreak/>
              <w:t>三、研究目标、主要研究内容与拟解决的关键问题</w:t>
            </w:r>
          </w:p>
          <w:p w14:paraId="2D35042D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1. 总体目标</w:t>
            </w:r>
          </w:p>
          <w:p w14:paraId="65EE0F08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设计并实现面向红壤区设施大棚的智慧管控平台原型，形成多源数据接入、数据与模型准入、灌溉任务、控制模式、安全联锁、命令反馈和证据追溯能力。建立双深度根区灰箱模型与区间MPC，在独立合成对象上以强规则为基线开展冻结配对评价，并通过异常场景研究回退与恢复的有效条件。取得同源现场数据后，再进行红壤参数辨识、真实回放和低风险实体升级。</w:t>
            </w:r>
          </w:p>
          <w:p w14:paraId="78C39A31" w14:textId="77777777" w:rsidR="00121BB8" w:rsidRDefault="00000000">
            <w:pPr>
              <w:snapToGrid w:val="0"/>
              <w:spacing w:after="80" w:line="324" w:lineRule="auto"/>
              <w:ind w:firstLine="420"/>
            </w:pPr>
            <w:r>
              <w:rPr>
                <w:rFonts w:ascii="Times New Roman" w:eastAsia="Songti SC" w:hAnsi="Times New Roman"/>
              </w:rPr>
              <w:t>平台总体架构如图1所示。当前正式算法与软件在环证据由Python工程统一生成，SQLite保存本机审计状态，MQTT/REST承担消息与服务接口；管理界面和生产数据库可在现场需求明确后扩展。界面或外部服务不能绕过数据准入、版本冻结和安全联锁直接生成泵阀指令。</w:t>
            </w:r>
          </w:p>
          <w:p w14:paraId="02FF4669" w14:textId="4E4E2D41" w:rsidR="00121BB8" w:rsidRDefault="00000000">
            <w:pPr>
              <w:keepLines/>
              <w:snapToGrid w:val="0"/>
              <w:spacing w:before="120" w:after="80"/>
              <w:jc w:val="center"/>
            </w:pPr>
            <w:r w:rsidRPr="006930B7">
              <w:rPr>
                <w:rFonts w:ascii="Times New Roman" w:hAnsi="Times New Roman" w:eastAsia="Songti SC"/>
                <w:noProof/>
              </w:rPr>
              <w:pict w14:anchorId="08F5F0ED">
                <v:shape id="Picture 1" o:spid="_x0000_i1028" type="#_x0000_t75" alt="图1  水肥智能管控平台总体架构。拟设计流程，不代表实验结果。" style="width:399.05pt;height:324.35pt;visibility:visible;mso-wrap-style:square">
                  <v:imagedata r:id="rId5" o:title="图1  水肥智能管控平台总体架构。拟设计流程，不代表实验结果。"/>
                </v:shape>
              </w:pict>
            </w:r>
            <w:r>
              <w:rPr>
                <w:rFonts w:ascii="Times New Roman" w:hAnsi="Times New Roman" w:eastAsia="Songti SC"/>
              </w:rPr>
              <w:br/>
            </w:r>
            <w:r>
              <w:rPr>
                <w:rFonts w:ascii="Times New Roman" w:eastAsia="Songti SC" w:hAnsi="Times New Roman"/>
                <w:sz w:val="20"/>
              </w:rPr>
              <w:t>图1  水肥智能管控平台总体架构</w:t>
            </w:r>
          </w:p>
          <w:p w14:paraId="163CE052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2. 主要研究内容及交付物</w:t>
            </w:r>
          </w:p>
          <w:p w14:paraId="387669C8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1）需求分析与平台架构：明确棚室—分区—作物—土壤—设备—算法—任务的数据关系，设计数据接入、算法服务、任务编排、联锁、消息和审计接口。当前以Python、SQLite和MQTT形成可运行内核，交付需求规格、架构图、数据字典、接口协议和软件在环原型。</w:t>
            </w:r>
          </w:p>
          <w:p w14:paraId="31C4ECC8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2）数据准入与双层根区模型：建立双深度水分、气象、命令灌水、实际灌水和流量的统一时间语义；完成结构质量、传感与流量标定、幅值敏感信息量、预测不确定性及用途隔离检查。准入后拟合双层灰箱模型，并在独立循环上验证单步与整循环预测、偏差、物理边界和参数约束。</w:t>
            </w:r>
          </w:p>
          <w:p w14:paraId="6ABC874D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3）根区水分MPC与可信监督：建立由区间亏缺、过湿、灌水投入和动作变化构成的控制目标，设置状态、单次水量和执行能力约束。使用开发场景选择规则与MPC候选，冻结后进入锁定场景；异常监督分别评价风险检测、规则回退、安全暂停和恢复可达性，未通过晋级门的版本保留为失效机理证据。</w:t>
            </w:r>
          </w:p>
          <w:p w14:paraId="5D9F7C39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4）平台功能与可追溯运行：实现任务、数据、模型、控制器、监督器、命令、反馈、联锁和模式事件的关联；检验重复、乱序、超时、进程异常、MQTT断连重连和异常时间戳。EC、pH和施肥命令仅保留扩展接口，取得养分数据前不纳入已验证MPC对象。</w:t>
            </w:r>
          </w:p>
          <w:p w14:paraId="4A6D7C16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5）系统验证与条件升级：先完成烟雾试验，再开展开发选择和独立锁定确认；主要比较强规则与MPC的灌水量、双层加权亏缺、过湿、安全违反和动作次数。软件在环验证平台语义；现场条件满足后按“数据回放—影子控制—低风险短周期闭环”逐级升级。</w:t>
            </w:r>
          </w:p>
          <w:p w14:paraId="653E289D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3. 拟解决的关键问题</w:t>
            </w:r>
          </w:p>
          <w:p w14:paraId="1CA8F9F6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（1）如何判断有限现场数据不仅格式完整，而且对双层根区模型提供了足够的辨识信息。</w:t>
            </w:r>
          </w:p>
          <w:p w14:paraId="198A0D90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（2）如何在模型、状态、时间步和灌水反馈接口一致的条件下，冻结评价MPC相对强规则的联合价值与动作代价。</w:t>
            </w:r>
          </w:p>
          <w:p w14:paraId="603713D2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（3）如何把异常检测转换为可达的回退与恢复动作，并识别安全预算在不同故障类型下的冲突。</w:t>
            </w:r>
          </w:p>
          <w:p w14:paraId="3C003635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（4）如何用统一任务和版本标识连接数据准入、控制建议、联锁许可、设备反馈及论文证据，使正常与失败结果均可复核。</w:t>
            </w:r>
          </w:p>
        </w:tc>
      </w:tr>
    </w:tbl>
    <w:p w14:paraId="1413A30D" w14:textId="77777777" w:rsidR="00EB31B3" w:rsidRDefault="00EB31B3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54"/>
      </w:tblGrid>
      <w:tr w:rsidR="00EB31B3" w14:paraId="646E91ED" w14:textId="77777777">
        <w:trPr>
          <w:trHeight w:val="13725"/>
        </w:trPr>
        <w:tc>
          <w:tcPr>
            <w:tcW w:w="8100" w:type="dxa"/>
          </w:tcPr>
          <w:p w14:paraId="5062E956" w14:textId="77777777" w:rsidR="00121BB8" w:rsidRDefault="00000000">
            <w:pPr>
              <w:keepNext/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lastRenderedPageBreak/>
              <w:t>四、研究思路与方法</w:t>
            </w:r>
          </w:p>
          <w:p w14:paraId="7D9E6A3F" w14:textId="77777777" w:rsidR="00121BB8" w:rsidRDefault="00000000">
            <w:pPr>
              <w:keepNext/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1. 总体技术路线</w:t>
            </w:r>
          </w:p>
          <w:p w14:paraId="415EE334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研究按照“平台边界—数据准入—模型辨识—控制开发—锁定评价—异常监督—软件审计—条件升级”推进。现阶段先用独立合成对象和本机消息链验证方法，禁止使用锁定场景反向调参；取得现场数据后沿同一数据结构重新执行准入与验证，而不直接替换合成参数并宣称红壤有效。</w:t>
            </w:r>
          </w:p>
          <w:p w14:paraId="703F2684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2. 双层根区灰箱模型与数据准入</w:t>
            </w:r>
          </w:p>
          <w:p w14:paraId="41B593FC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以10 cm与25 cm体积含水率组成状态向量x(k)=[θ10(k), θ25(k)]ᵀ。离散灰箱模型分别描述实际灌水对浅层的增益、太阳辐射与饱和水汽压差引起的耗水、浅深层交换及深层排水。第k行水分表示区间末状态，第k行实际灌水和气象量表示前一采样区间输入，从而避免状态与输入错位。参数来源、数据用途、配置和代码哈希随模型版本保存。</w:t>
            </w:r>
          </w:p>
          <w:p w14:paraId="6DFAF1F3" w14:textId="77777777" w:rsidR="00121BB8" w:rsidRDefault="00000000">
            <w:pPr>
              <w:snapToGrid w:val="0"/>
              <w:spacing w:after="80" w:line="324" w:lineRule="auto"/>
              <w:ind w:firstLine="420"/>
            </w:pPr>
            <w:r>
              <w:rPr>
                <w:rFonts w:ascii="Times New Roman" w:eastAsia="Songti SC" w:hAnsi="Times New Roman"/>
              </w:rPr>
              <w:t>数据先检查字段、时间、缺失、物理范围、湿润—干燥动态和水量账，再依据标定误差、幅值敏感信息量和预测不确定性输出“数据质量阻塞”“继续补采激励”或“暂准入辨识”。模型仅使用辨识循环拟合，验证循环用于冻结检查。若安全范围内无法获得足够激励，则固定弱可辨识参数或缩减模型结构，不以增加采样行数替代信息充分性。</w:t>
            </w:r>
          </w:p>
          <w:p w14:paraId="4F20FB73" w14:textId="77777777" w:rsidR="00121BB8" w:rsidRDefault="00000000">
            <w:pPr>
              <w:keepNext/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3. MPC设计与可信回退</w:t>
            </w:r>
          </w:p>
          <w:p w14:paraId="3F5B5480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MPC在每个15 min控制周期读取双层状态、未来气象序列和执行能力，在预测时域内权衡浅深层目标区间、灌水投入、过湿风险和动作变化。优化输出候选命令，平台联锁根据观测有效性、执行器状态、流量反馈和消息状态形成最终命令。规则与MPC共享相同的状态、时间和命令—反馈接口。</w:t>
            </w:r>
          </w:p>
          <w:p w14:paraId="2DC597A8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监督器把观测风险、模型风险和执行风险分开计算，并维护MPC、规则回退与安全暂停模式。版本晋级要求异常窗口内的亏缺与过湿风险改善且不增加安全违反；若检测触发后无法恢复，或安全预算对某类执行故障放大缺水尾部，则停止继续调参并记录机理。回退策略在独立证据通过前不表述为已经保证安全。</w:t>
            </w:r>
          </w:p>
          <w:p w14:paraId="1057C3C1" w14:textId="77777777" w:rsidR="00121BB8" w:rsidRDefault="00000000">
            <w:pPr>
              <w:snapToGrid w:val="0"/>
              <w:spacing w:after="80" w:line="324" w:lineRule="auto"/>
              <w:ind w:firstLine="420"/>
            </w:pPr>
            <w:r>
              <w:rPr>
                <w:rFonts w:ascii="Times New Roman" w:eastAsia="Songti SC" w:hAnsi="Times New Roman"/>
              </w:rPr>
              <w:t>灌溉决策与执行流程如图2所示。模型或求解异常且基本观测有效时可进入规则回退；关键观测或执行条件失效时进入安全暂停。所有候选动作均经联锁，反馈以任务标识和逻辑序号核对；迟到、重复、乱序或冲突反馈保留审计记录，不能重复改变已经确定的控制状态。</w:t>
            </w:r>
          </w:p>
          <w:p w14:paraId="11FD6DAD" w14:textId="0A238963" w:rsidR="00121BB8" w:rsidRDefault="00000000">
            <w:pPr>
              <w:keepLines/>
              <w:snapToGrid w:val="0"/>
              <w:spacing w:before="120" w:after="80"/>
              <w:jc w:val="center"/>
            </w:pPr>
            <w:r w:rsidRPr="00C8619C">
              <w:rPr>
                <w:rFonts w:ascii="Times New Roman" w:hAnsi="Times New Roman" w:eastAsia="Songti SC"/>
                <w:noProof/>
              </w:rPr>
              <w:pict w14:anchorId="6A5E8576">
                <v:shape id="Picture 2" o:spid="_x0000_i1027" type="#_x0000_t75" alt="图2  灌溉决策与安全执行流程。拟设计流程，不代表实验结果。" style="width:399.05pt;height:452.2pt;visibility:visible;mso-wrap-style:square">
                  <v:imagedata r:id="rId6" o:title="图2  灌溉决策与安全执行流程。拟设计流程，不代表实验结果。"/>
                </v:shape>
              </w:pict>
            </w:r>
            <w:r>
              <w:rPr>
                <w:rFonts w:ascii="Times New Roman" w:hAnsi="Times New Roman" w:eastAsia="Songti SC"/>
              </w:rPr>
              <w:br/>
            </w:r>
            <w:r>
              <w:rPr>
                <w:rFonts w:ascii="Times New Roman" w:eastAsia="Songti SC" w:hAnsi="Times New Roman"/>
                <w:sz w:val="20"/>
              </w:rPr>
              <w:t>图2  灌溉决策与安全执行流程</w:t>
            </w:r>
          </w:p>
          <w:p w14:paraId="42653FEB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4. 平台实现方法</w:t>
            </w:r>
          </w:p>
          <w:p w14:paraId="4151EB72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当前以纯Python实现数据清洗与准入、双层灰箱辨识、强规则与MPC、bootstrap统计、监督状态机、SQLite事务审计和MQTT代理/客户端试验。正式结果由统一虚拟环境、配置和脚本生成，MATLAB/Simulink仅作为导师要求时的框图展示或独立数值复核工具。后续若建设完整管理界面，可按需求增加Java Spring Boot、MySQL和Vue，但其完成度不作为算法结论成立的前置条件。</w:t>
            </w:r>
          </w:p>
          <w:p w14:paraId="7EC23C6B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平台区分离线模型生命周期与在线任务生命周期。离线流程冻结原始数据、用途、模型和控制器版本；在线流程按观测、风险、模式、候选动作、联锁命令和反馈顺序推进。MQTT 3.1.1与QoS 1负责消息传输[36]，SQLite状态机负责应用层幂等、顺序、超时和恢复。模型更新必须创建新版本和新任务，不能覆盖已产生的控制证据。</w:t>
            </w:r>
          </w:p>
          <w:p w14:paraId="7C94C410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5. 试验设计与评价指标</w:t>
            </w:r>
          </w:p>
          <w:p w14:paraId="723288EE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设置强规则与双层MPC两类主对照，可信监督作为独立机制试验，不预设其必然优于基础MPC。场景采用相同天气、初始浅深水分、参数扰动和随机种子配对；开发场景用于候选选择，锁定场景只在配置冻结后运行。异常场景覆盖传感偏置、漂移、冻结、反馈冲突、流量衰减、阀门卡滞、通信中断和求解失败。</w:t>
            </w:r>
          </w:p>
          <w:p w14:paraId="17BBFAB0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主要终点为命令与实际灌水量、浅深层亏缺及其加权值、过湿积分和安全违反；同时报告动作变化次数、求解失败、模式切换、恢复时长和消息一致性。统计报告场景级配对中位差、bootstrap区间、最小差值和联合不劣比例。没有独立流量计量、完整生育期和重复小区时，不评价真实节水率、肥料利用率、产量或品质。</w:t>
            </w:r>
          </w:p>
          <w:p w14:paraId="218CFEE4" w14:textId="77777777" w:rsidR="00121BB8" w:rsidRDefault="00000000">
            <w:pPr>
              <w:snapToGrid w:val="0"/>
              <w:spacing w:after="80" w:line="324" w:lineRule="auto"/>
              <w:ind w:firstLine="420"/>
            </w:pPr>
            <w:r>
              <w:rPr>
                <w:rFonts w:ascii="Times New Roman" w:eastAsia="Songti SC" w:hAnsi="Times New Roman"/>
              </w:rPr>
              <w:t>分阶段验证流程如图3所示。数据与模型未通过准入时停止在补采或缩减结构；控制器只在开发集选择后冻结；锁定评价不得用于回改权重；监督版本未超过预设机制门时不进入确认集。软件在环只支持算法流程和平台语义，现场效果须由真实回放、影子控制或具备联锁与人工接管的低风险实体试验补充。</w:t>
            </w:r>
          </w:p>
          <w:p w14:paraId="391B3936" w14:textId="255631B0" w:rsidR="00121BB8" w:rsidRDefault="00000000" w:rsidP="00C97EDC">
            <w:pPr>
              <w:keepLines/>
              <w:snapToGrid w:val="0"/>
              <w:spacing w:before="120" w:after="80"/>
              <w:jc w:val="center"/>
            </w:pPr>
            <w:r w:rsidRPr="003E0A8F">
              <w:rPr>
                <w:rFonts w:ascii="Times New Roman" w:hAnsi="Times New Roman" w:eastAsia="Songti SC"/>
                <w:noProof/>
              </w:rPr>
              <w:pict w14:anchorId="3FE5C4D5">
                <v:shape id="_x0000_i1026" type="#_x0000_t75" style="width:407.1pt;height:318.95pt;visibility:visible;mso-wrap-style:square">
                  <v:imagedata r:id="rId7" o:title=""/>
                </v:shape>
              </w:pict>
            </w:r>
            <w:r>
              <w:rPr>
                <w:rFonts w:ascii="Times New Roman" w:hAnsi="Times New Roman" w:eastAsia="Songti SC"/>
              </w:rPr>
              <w:br/>
            </w:r>
            <w:r>
              <w:rPr>
                <w:rFonts w:ascii="Times New Roman" w:eastAsia="Songti SC" w:hAnsi="Times New Roman"/>
                <w:sz w:val="20"/>
              </w:rPr>
              <w:t>图3  分阶段试验验证流程</w:t>
            </w:r>
          </w:p>
        </w:tc>
      </w:tr>
      <w:tr w:rsidR="00EB31B3" w14:paraId="4488F89F" w14:textId="77777777">
        <w:trPr>
          <w:trHeight w:val="6555"/>
        </w:trPr>
        <w:tc>
          <w:tcPr>
            <w:tcW w:w="8100" w:type="dxa"/>
          </w:tcPr>
          <w:p w14:paraId="00E10B9D" w14:textId="77777777" w:rsidR="00121BB8" w:rsidRDefault="00000000">
            <w:pPr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lastRenderedPageBreak/>
              <w:t>五、研究特色和创新之处</w:t>
            </w:r>
          </w:p>
          <w:p w14:paraId="548749B2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（1）提出面向有限根区数据的两级准入方法，将结构质量、标定误差与幅值敏感辨识信息结合，使平台能够输出补采、缩减模型或准入决定。</w:t>
            </w:r>
          </w:p>
          <w:p w14:paraId="65230C54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（2）建立通过准入的双层灰箱模型到区间MPC的统一接口，并采用强规则基线、开发—锁定隔离和多终点配对统计评价灌水—亏缺联合价值及动作代价。</w:t>
            </w:r>
          </w:p>
          <w:p w14:paraId="0C9CCF94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（3）把可信监督作为可证伪的机制研究，分别检验风险触发、回退动作、恢复可达性和安全预算，保留恢复死锁与故障类型冲突等否定性证据。</w:t>
            </w:r>
          </w:p>
          <w:p w14:paraId="76D42B2B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（4）将数据、模型、控制模式、联锁、命令与反馈绑定到统一任务和版本审计链，使平台既承担灌溉管理，也成为算法比较与结论复核的研究基础设施。</w:t>
            </w:r>
          </w:p>
        </w:tc>
      </w:tr>
      <w:tr w:rsidR="00EB31B3" w14:paraId="0C383FB9" w14:textId="77777777">
        <w:trPr>
          <w:trHeight w:val="6855"/>
        </w:trPr>
        <w:tc>
          <w:tcPr>
            <w:tcW w:w="8100" w:type="dxa"/>
          </w:tcPr>
          <w:p w14:paraId="55B6CA18" w14:textId="77777777" w:rsidR="00121BB8" w:rsidRDefault="00000000">
            <w:pPr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t>六、已具备的研究条件、可能遇到的困难及拟采取的解决方法</w:t>
            </w:r>
          </w:p>
          <w:p w14:paraId="6073EEDB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1. 已具备的研究条件</w:t>
            </w:r>
          </w:p>
          <w:p w14:paraId="5A9F363A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已形成可重复运行的Python研究工程，覆盖数据质量与模型准入、双层灰箱辨识、强规则与区间MPC、异常监督、SQLite审计及MQTT软件在环；当前99项自动测试通过。前期90个独立锁定合成场景中，双层MPC相对强规则的命令灌水配对中位差为−6.5 mm，加权亏缺配对中位差为−0.000314，联合不劣比例为75.56%，两方法均无安全违反；但MPC动作变化配对中位增加130次，任一主要终点不利比例24.44%接近25%预设上限。上述结果仅作为方法可运行和后续研究风险识别依据，不代表红壤现场节水效果。</w:t>
            </w:r>
          </w:p>
          <w:p w14:paraId="28F033C7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研究者具备Java、Python、MATLAB、数据库和前端开发基础。当前只有仿真与本机软件在环条件，尚缺合作大棚连续数据、红壤实测参数、实体传感器接入和完整生育期作物试验。因此，毕业设计最低成果定位为可审计平台原型、有限数据准入方法、双层MPC冻结仿真评价及监督失效边界；现场结果属于条件触发的增强层。</w:t>
            </w:r>
          </w:p>
          <w:p w14:paraId="21FF1191" w14:textId="77777777" w:rsidR="00121BB8" w:rsidRDefault="00000000">
            <w:pPr>
              <w:keepNext/>
              <w:pageBreakBefore/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2. 可能困难及解决方法</w:t>
            </w:r>
          </w:p>
          <w:p w14:paraId="5151AAF6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（1）缺少红壤与作物参数：取得数据前仅使用独立合成对象验证方法，不把其命名为红壤数字孪生；后续优先选定一个土壤栽培棚和一种代表性作物，完成土壤取样、双深度水分与流量标定。</w:t>
            </w:r>
          </w:p>
          <w:p w14:paraId="45187D8D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（2）连续数据量不足：不预设固定样本量能够保证研究成功。先要求至少3个辨识循环和2个冻结验证循环作为用途隔离入口，再按幅值敏感信息量、预测不确定性和独立验证逐循环决定补采、缩减模型或停止。</w:t>
            </w:r>
          </w:p>
          <w:p w14:paraId="5795706C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（3）传感与执行误差混入模型：统一记录命令水量、实际流量、累计水量和区间结束时间；测量误差与动态残差尺度不相容时拒绝生成伪过程噪声参数，待同源标定数据补齐后重估。</w:t>
            </w:r>
          </w:p>
          <w:p w14:paraId="1B06D626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（4）MPC动作过于频繁：将动作变化次数、最小开闭时间和单周期灌水量纳入正式指标；在锁定结果不回调的前提下开展执行器友好候选开发，必要时保持强规则为部署方案。</w:t>
            </w:r>
          </w:p>
          <w:p w14:paraId="70522D65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（5）可信回退难以同时处理多类故障：避免无边界开发新版本。优先补充独立观测或恢复探测通道，并按异常类型区分传感故障与执行故障的预算和恢复条件；新机制未通过开发晋级门时不使用锁定集。</w:t>
            </w:r>
          </w:p>
          <w:p w14:paraId="1BA4615F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6）缺少实体条件：先完成真实格式数据入口、消息压力试验和影子控制接口；只有流量反馈、硬联锁、人工接管和短周期安全协议具备后，才进入低风险闭环。若毕业前仍无现场条件，论文严格限定为仿真与软件在环适用性研究。</w:t>
            </w:r>
          </w:p>
        </w:tc>
      </w:tr>
    </w:tbl>
    <w:p w14:paraId="64F15740" w14:textId="77777777" w:rsidR="00EB31B3" w:rsidRDefault="00EB31B3"/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977"/>
        <w:gridCol w:w="3138"/>
        <w:gridCol w:w="360"/>
      </w:tblGrid>
      <w:tr w:rsidR="00EB31B3" w14:paraId="1F79173C" w14:textId="77777777">
        <w:trPr>
          <w:gridAfter w:val="1"/>
          <w:wAfter w:w="360" w:type="dxa"/>
          <w:trHeight w:val="416"/>
        </w:trPr>
        <w:tc>
          <w:tcPr>
            <w:tcW w:w="8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1130" w14:textId="77777777" w:rsidR="00EB31B3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Songti SC"/>
                <w:b/>
                <w:sz w:val="28"/>
                <w:szCs w:val="28"/>
              </w:rPr>
              <w:t>七、研究进度及具体时间安排</w:t>
            </w:r>
          </w:p>
        </w:tc>
      </w:tr>
      <w:tr w:rsidR="00EB31B3" w14:paraId="013CD004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037D2680" w14:textId="77777777" w:rsidR="00EB31B3" w:rsidRDefault="00000000">
            <w:pPr>
              <w:jc w:val="center"/>
            </w:pPr>
            <w:r>
              <w:rPr>
                <w:rFonts w:hint="eastAsia" w:ascii="Times New Roman" w:hAnsi="Times New Roman" w:eastAsia="Songti SC"/>
              </w:rPr>
              <w:t>起止日期</w:t>
            </w:r>
          </w:p>
        </w:tc>
        <w:tc>
          <w:tcPr>
            <w:tcW w:w="2977" w:type="dxa"/>
            <w:vAlign w:val="center"/>
          </w:tcPr>
          <w:p w14:paraId="733ABDD6" w14:textId="77777777" w:rsidR="00EB31B3" w:rsidRDefault="00000000">
            <w:pPr>
              <w:jc w:val="center"/>
            </w:pPr>
            <w:r>
              <w:rPr>
                <w:rFonts w:hint="eastAsia" w:ascii="Times New Roman" w:hAnsi="Times New Roman" w:eastAsia="Songti SC"/>
              </w:rPr>
              <w:t>主要研究内容</w:t>
            </w:r>
          </w:p>
        </w:tc>
        <w:tc>
          <w:tcPr>
            <w:tcW w:w="3138" w:type="dxa"/>
            <w:vAlign w:val="center"/>
          </w:tcPr>
          <w:p w14:paraId="2F91A391" w14:textId="77777777" w:rsidR="00EB31B3" w:rsidRDefault="00000000">
            <w:pPr>
              <w:jc w:val="center"/>
            </w:pPr>
            <w:r>
              <w:rPr>
                <w:rFonts w:hint="eastAsia" w:ascii="Times New Roman" w:hAnsi="Times New Roman" w:eastAsia="Songti SC"/>
              </w:rPr>
              <w:t>预期结果</w:t>
            </w:r>
          </w:p>
        </w:tc>
      </w:tr>
      <w:tr w:rsidR="00EB31B3" w14:paraId="3AC447CA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1504D0DE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2026.09—2026.10</w:t>
            </w:r>
          </w:p>
        </w:tc>
        <w:tc>
          <w:tcPr>
            <w:tcW w:w="2977" w:type="dxa"/>
            <w:vAlign w:val="center"/>
          </w:tcPr>
          <w:p w14:paraId="74CD9CF4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冻结课题边界、双层端到端协议和软件在环基线，完成开题报告修订。</w:t>
            </w:r>
          </w:p>
        </w:tc>
        <w:tc>
          <w:tcPr>
            <w:tcW w:w="3138" w:type="dxa"/>
            <w:vAlign w:val="center"/>
          </w:tcPr>
          <w:p w14:paraId="0F0B2CD9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开题报告、协议、任务台账、初始原型</w:t>
            </w:r>
          </w:p>
        </w:tc>
      </w:tr>
      <w:tr w:rsidR="00EB31B3" w14:paraId="60498822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1702EAC0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lastRenderedPageBreak/>
              <w:t>2026.11—2027.01</w:t>
            </w:r>
          </w:p>
        </w:tc>
        <w:tc>
          <w:tcPr>
            <w:tcW w:w="2977" w:type="dxa"/>
            <w:vAlign w:val="center"/>
          </w:tcPr>
          <w:p w14:paraId="65F47D79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完善数据模板、两级准入、模型版本和任务—命令—反馈审计，整理实时核验文献。</w:t>
            </w:r>
          </w:p>
        </w:tc>
        <w:tc>
          <w:tcPr>
            <w:tcW w:w="3138" w:type="dxa"/>
            <w:vAlign w:val="center"/>
          </w:tcPr>
          <w:p w14:paraId="6F7E6DDC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数据字典、准入报告、证据审计、最小工作台</w:t>
            </w:r>
          </w:p>
        </w:tc>
      </w:tr>
      <w:tr w:rsidR="00EB31B3" w14:paraId="71AF05D1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7FF859E3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2027.02—2027.04</w:t>
            </w:r>
          </w:p>
        </w:tc>
        <w:tc>
          <w:tcPr>
            <w:tcW w:w="2977" w:type="dxa"/>
            <w:vAlign w:val="center"/>
          </w:tcPr>
          <w:p w14:paraId="759D5BFD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争取同源红壤标定与湿干循环数据；无现场条件时完成受控合成对象和公开气象回放。</w:t>
            </w:r>
          </w:p>
        </w:tc>
        <w:tc>
          <w:tcPr>
            <w:tcW w:w="3138" w:type="dxa"/>
            <w:vAlign w:val="center"/>
          </w:tcPr>
          <w:p w14:paraId="30DEE2C9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标定记录或数据缺口报告、模型准入判定</w:t>
            </w:r>
          </w:p>
        </w:tc>
      </w:tr>
      <w:tr w:rsidR="00EB31B3" w14:paraId="4906D61A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627F2A18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2027.05—2027.07</w:t>
            </w:r>
          </w:p>
        </w:tc>
        <w:tc>
          <w:tcPr>
            <w:tcW w:w="2977" w:type="dxa"/>
            <w:vAlign w:val="center"/>
          </w:tcPr>
          <w:p w14:paraId="437ECEA2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准入后辨识双层灰箱模型并独立验证；完成执行器友好MPC候选开发。</w:t>
            </w:r>
          </w:p>
        </w:tc>
        <w:tc>
          <w:tcPr>
            <w:tcW w:w="3138" w:type="dxa"/>
            <w:vAlign w:val="center"/>
          </w:tcPr>
          <w:p w14:paraId="72C9F69D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冻结模型、控制器、独立验证报告</w:t>
            </w:r>
          </w:p>
        </w:tc>
      </w:tr>
      <w:tr w:rsidR="00EB31B3" w14:paraId="4BB3603D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26508108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2027.08—2027.10</w:t>
            </w:r>
          </w:p>
        </w:tc>
        <w:tc>
          <w:tcPr>
            <w:tcW w:w="2977" w:type="dxa"/>
            <w:vAlign w:val="center"/>
          </w:tcPr>
          <w:p w14:paraId="7972E4B9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开展强规则与MPC锁定配对评价，复核动作代价；检验异常监督的新恢复通道。</w:t>
            </w:r>
          </w:p>
        </w:tc>
        <w:tc>
          <w:tcPr>
            <w:tcW w:w="3138" w:type="dxa"/>
            <w:vAlign w:val="center"/>
          </w:tcPr>
          <w:p w14:paraId="47BD7EB9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确认性结果、失效机理与停止结论</w:t>
            </w:r>
          </w:p>
        </w:tc>
      </w:tr>
      <w:tr w:rsidR="00EB31B3" w14:paraId="5A6498EB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3B7FE69E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2027.11—2028.01</w:t>
            </w:r>
          </w:p>
        </w:tc>
        <w:tc>
          <w:tcPr>
            <w:tcW w:w="2977" w:type="dxa"/>
            <w:vAlign w:val="center"/>
          </w:tcPr>
          <w:p w14:paraId="34BF08CD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完善Python平台内核、MQTT/REST接口和审计展示；条件允许时接入真实数据影子运行。</w:t>
            </w:r>
          </w:p>
        </w:tc>
        <w:tc>
          <w:tcPr>
            <w:tcW w:w="3138" w:type="dxa"/>
            <w:vAlign w:val="center"/>
          </w:tcPr>
          <w:p w14:paraId="1FC16C4D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可运行平台、接口与消息压力报告</w:t>
            </w:r>
          </w:p>
        </w:tc>
      </w:tr>
      <w:tr w:rsidR="00EB31B3" w14:paraId="68FA118F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604B4C21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2028.02—2028.03</w:t>
            </w:r>
          </w:p>
        </w:tc>
        <w:tc>
          <w:tcPr>
            <w:tcW w:w="2977" w:type="dxa"/>
            <w:vAlign w:val="center"/>
          </w:tcPr>
          <w:p w14:paraId="43B4893F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完成综合复核；具备联锁与人工接管时增加低风险实体试验，否则冻结软件在环边界。</w:t>
            </w:r>
          </w:p>
        </w:tc>
        <w:tc>
          <w:tcPr>
            <w:tcW w:w="3138" w:type="dxa"/>
            <w:vAlign w:val="center"/>
          </w:tcPr>
          <w:p w14:paraId="00020803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可复现实验包、条件验证或边界报告</w:t>
            </w:r>
          </w:p>
        </w:tc>
      </w:tr>
      <w:tr w:rsidR="00EB31B3" w14:paraId="5CFAB69C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5C809D2D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2028.04—2028.06</w:t>
            </w:r>
          </w:p>
        </w:tc>
        <w:tc>
          <w:tcPr>
            <w:tcW w:w="2977" w:type="dxa"/>
            <w:vAlign w:val="center"/>
          </w:tcPr>
          <w:p w14:paraId="4D1AA336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完成结果复核、论文撰写、预审修改、答辩材料和可复现实验包归档。</w:t>
            </w:r>
          </w:p>
        </w:tc>
        <w:tc>
          <w:tcPr>
            <w:tcW w:w="3138" w:type="dxa"/>
            <w:vAlign w:val="center"/>
          </w:tcPr>
          <w:p w14:paraId="11F41C9F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论文定稿、答辩PPT、代码与数据归档</w:t>
            </w:r>
          </w:p>
        </w:tc>
      </w:tr>
      <w:tr w:rsidR="00EB31B3" w14:paraId="4F840A1A" w14:textId="77777777">
        <w:trPr>
          <w:gridAfter w:val="1"/>
          <w:wAfter w:w="360" w:type="dxa"/>
          <w:trHeight w:val="480"/>
        </w:trPr>
        <w:tc>
          <w:tcPr>
            <w:tcW w:w="1985" w:type="dxa"/>
            <w:vAlign w:val="center"/>
          </w:tcPr>
          <w:p w14:paraId="193C5704" w14:textId="77777777" w:rsidR="00121BB8" w:rsidRDefault="00121BB8"/>
        </w:tc>
        <w:tc>
          <w:tcPr>
            <w:tcW w:w="2977" w:type="dxa"/>
            <w:vAlign w:val="center"/>
          </w:tcPr>
          <w:p w14:paraId="3AE2EDD9" w14:textId="77777777" w:rsidR="00121BB8" w:rsidRDefault="00121BB8"/>
        </w:tc>
        <w:tc>
          <w:tcPr>
            <w:tcW w:w="3138" w:type="dxa"/>
            <w:vAlign w:val="center"/>
          </w:tcPr>
          <w:p w14:paraId="2ECB7CEB" w14:textId="77777777" w:rsidR="00121BB8" w:rsidRDefault="00121BB8"/>
        </w:tc>
      </w:tr>
      <w:tr w:rsidR="00EB31B3" w14:paraId="6A7A5AB0" w14:textId="77777777">
        <w:trPr>
          <w:gridAfter w:val="1"/>
          <w:wAfter w:w="360" w:type="dxa"/>
          <w:trHeight w:val="480"/>
        </w:trPr>
        <w:tc>
          <w:tcPr>
            <w:tcW w:w="1985" w:type="dxa"/>
            <w:vAlign w:val="center"/>
          </w:tcPr>
          <w:p w14:paraId="17847345" w14:textId="77777777" w:rsidR="00121BB8" w:rsidRDefault="00121BB8"/>
        </w:tc>
        <w:tc>
          <w:tcPr>
            <w:tcW w:w="2977" w:type="dxa"/>
            <w:vAlign w:val="center"/>
          </w:tcPr>
          <w:p w14:paraId="4F46E027" w14:textId="77777777" w:rsidR="00121BB8" w:rsidRDefault="00121BB8"/>
        </w:tc>
        <w:tc>
          <w:tcPr>
            <w:tcW w:w="3138" w:type="dxa"/>
            <w:vAlign w:val="center"/>
          </w:tcPr>
          <w:p w14:paraId="6D1219F2" w14:textId="77777777" w:rsidR="00121BB8" w:rsidRDefault="00121BB8"/>
        </w:tc>
      </w:tr>
      <w:tr w:rsidR="00EB31B3" w14:paraId="5603CCF0" w14:textId="77777777">
        <w:trPr>
          <w:gridAfter w:val="1"/>
          <w:wAfter w:w="360" w:type="dxa"/>
          <w:trHeight w:val="480"/>
        </w:trPr>
        <w:tc>
          <w:tcPr>
            <w:tcW w:w="1985" w:type="dxa"/>
            <w:vAlign w:val="center"/>
          </w:tcPr>
          <w:p w14:paraId="72F602DA" w14:textId="77777777" w:rsidR="00121BB8" w:rsidRDefault="00121BB8"/>
        </w:tc>
        <w:tc>
          <w:tcPr>
            <w:tcW w:w="2977" w:type="dxa"/>
            <w:vAlign w:val="center"/>
          </w:tcPr>
          <w:p w14:paraId="62D85B21" w14:textId="77777777" w:rsidR="00121BB8" w:rsidRDefault="00121BB8"/>
        </w:tc>
        <w:tc>
          <w:tcPr>
            <w:tcW w:w="3138" w:type="dxa"/>
            <w:vAlign w:val="center"/>
          </w:tcPr>
          <w:p w14:paraId="212CFD72" w14:textId="77777777" w:rsidR="00121BB8" w:rsidRDefault="00121BB8"/>
        </w:tc>
      </w:tr>
      <w:tr w:rsidR="00EB31B3" w14:paraId="3D3AFA0C" w14:textId="77777777">
        <w:trPr>
          <w:gridAfter w:val="1"/>
          <w:wAfter w:w="360" w:type="dxa"/>
          <w:trHeight w:val="480"/>
        </w:trPr>
        <w:tc>
          <w:tcPr>
            <w:tcW w:w="1985" w:type="dxa"/>
            <w:vAlign w:val="center"/>
          </w:tcPr>
          <w:p w14:paraId="6AD9FAD0" w14:textId="77777777" w:rsidR="00121BB8" w:rsidRDefault="00121BB8"/>
        </w:tc>
        <w:tc>
          <w:tcPr>
            <w:tcW w:w="2977" w:type="dxa"/>
            <w:vAlign w:val="center"/>
          </w:tcPr>
          <w:p w14:paraId="4777DF6B" w14:textId="77777777" w:rsidR="00121BB8" w:rsidRDefault="00121BB8"/>
        </w:tc>
        <w:tc>
          <w:tcPr>
            <w:tcW w:w="3138" w:type="dxa"/>
            <w:vAlign w:val="center"/>
          </w:tcPr>
          <w:p w14:paraId="5CC2EE40" w14:textId="77777777" w:rsidR="00121BB8" w:rsidRDefault="00121BB8"/>
        </w:tc>
      </w:tr>
      <w:tr w:rsidR="00EB31B3" w14:paraId="73BA11D4" w14:textId="77777777">
        <w:trPr>
          <w:gridAfter w:val="1"/>
          <w:wAfter w:w="360" w:type="dxa"/>
          <w:trHeight w:val="480"/>
        </w:trPr>
        <w:tc>
          <w:tcPr>
            <w:tcW w:w="1985" w:type="dxa"/>
            <w:vAlign w:val="center"/>
          </w:tcPr>
          <w:p w14:paraId="1A976E4F" w14:textId="77777777" w:rsidR="00121BB8" w:rsidRDefault="00121BB8"/>
        </w:tc>
        <w:tc>
          <w:tcPr>
            <w:tcW w:w="2977" w:type="dxa"/>
            <w:vAlign w:val="center"/>
          </w:tcPr>
          <w:p w14:paraId="3E6F9F45" w14:textId="77777777" w:rsidR="00121BB8" w:rsidRDefault="00121BB8"/>
        </w:tc>
        <w:tc>
          <w:tcPr>
            <w:tcW w:w="3138" w:type="dxa"/>
            <w:vAlign w:val="center"/>
          </w:tcPr>
          <w:p w14:paraId="5B3DFA59" w14:textId="77777777" w:rsidR="00121BB8" w:rsidRDefault="00121BB8"/>
        </w:tc>
      </w:tr>
      <w:tr w:rsidR="00EB31B3" w14:paraId="7FE4A36C" w14:textId="77777777">
        <w:trPr>
          <w:gridAfter w:val="1"/>
          <w:wAfter w:w="360" w:type="dxa"/>
          <w:trHeight w:val="6240"/>
        </w:trPr>
        <w:tc>
          <w:tcPr>
            <w:tcW w:w="8100" w:type="dxa"/>
            <w:gridSpan w:val="3"/>
          </w:tcPr>
          <w:p w14:paraId="444AE8A1" w14:textId="77777777" w:rsidR="00121BB8" w:rsidRDefault="00000000">
            <w:pPr>
              <w:widowControl/>
              <w:spacing w:after="80" w:line="324" w:lineRule="auto"/>
            </w:pPr>
            <w:r>
              <w:rPr>
                <w:rFonts w:ascii="Times New Roman" w:eastAsia="Songti SC" w:hAnsi="Times New Roman" w:cs="Arial Unicode MS"/>
                <w:b/>
                <w:sz w:val="24"/>
              </w:rPr>
              <w:t>八、主要参考文献（共36项）</w:t>
            </w:r>
          </w:p>
          <w:p w14:paraId="08CB30A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[1] 中华人民共和国农业农村部. 关于大力发展智慧农业的指导意见[EB/OL]. 2024-10-25. https://www.moa.gov.cn/ztzl/zhnyzxd/gdlj/202411/P020241120580056183041.pdf.</w:t>
            </w:r>
          </w:p>
          <w:p w14:paraId="761600B5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[2] 国家市场监督管理总局, 国家标准化管理委员会. GB/T 43908—2024 水肥一体化设备[S]. 北京: 中国标准出版社, 2024. https://std.samr.gov.cn/gb/search/gbDetailed?id=173829859CFB1AA5E06397BE0A0AA311.</w:t>
            </w:r>
          </w:p>
          <w:p w14:paraId="452606A1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[3] 中华人民共和国住房和城乡建设部. GB/T 50485—2020 微灌工程技术标准[S]. 北京: 中国计划出版社, 2020. https://www.yzbzpt.cn/BzInfoDetail/9ff8b622-6c5a-467a-8873-94600350225d.</w:t>
            </w:r>
          </w:p>
          <w:p w14:paraId="5ED9377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[4] 国家市场监督管理总局, 国家标准化管理委员会. GB/T 44985.2—2025 农业物联网通用技术要求 第2部分：设施园艺[S]. 北京: 中国标准出版社, 2025. https://std.samr.gov.cn/gb/search/gbDetailed?id=BW0y8PrL6qs%3D&amp;mode=p.</w:t>
            </w:r>
          </w:p>
          <w:p w14:paraId="4E319610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[5] 黄昌勇, 徐建明. 土壤学[M]. 3版. 北京: 中国农业出版社, 2010. ISBN 978-7-109-14759-1. https://www.ccap.com.cn/upload/resources/file/2018/03/29/1522309081525.pdf.</w:t>
            </w:r>
          </w:p>
          <w:p w14:paraId="5F56C8BD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[6] 张秀明, 陈芳, 江张军, 等. 温室作物水肥一体化智能调控系统研究进展与展望[J]. 农业工程, 2026, 16(7): 57-63. DOI:10.19998/j.cnki.2095-1795.202603001.</w:t>
            </w:r>
          </w:p>
          <w:p w14:paraId="1F5FEE34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[7] 夏文豪, 蒋媛, 王旭峰, 等. 水肥一体化技术研究现状与发展动态[J]. 中国农机化学报, 2025, 46(3): 295-304. DOI:10.13733/j.jcam.issn.2095-5553.2025.03.042.</w:t>
            </w:r>
          </w:p>
          <w:p w14:paraId="3E41F7D0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[8] 张宝峰, 陈枭, 朱均超, 等. 基于物联网的水肥一体化系统设计与试验[J]. 中国农机化学报, 2021, 42(3): 98-104. DOI:10.13733/j.jcam.issn.2095-5553.2021.03.014.</w:t>
            </w:r>
          </w:p>
          <w:p w14:paraId="03CCC5E0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[9] 袁洪波, 李莉, 王俊衡, 等. 温室水肥一体化营养液调控装备设计与试验[J]. 农业工程学报, 2016, 32(8): 27-32. DOI:10.11975/j.issn.1002-6819.2016.08.004.</w:t>
            </w:r>
          </w:p>
          <w:p w14:paraId="61CFD7A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 xml:space="preserve">[10] 赵鹏飞, 王旭峰, 胡灿, 等. 智能温室水肥一体化装备设计与试验[J]. 农机化研究, 2022, 44(9): </w:t>
            </w:r>
            <w:r>
              <w:rPr>
                <w:rFonts w:ascii="Times New Roman" w:eastAsia="Songti SC" w:hAnsi="Times New Roman" w:cs="Arial Unicode MS"/>
                <w:sz w:val="18"/>
              </w:rPr>
              <w:lastRenderedPageBreak/>
              <w:t>224-228. DOI:10.13427/j.cnki.njyi.2022.09.028.</w:t>
            </w:r>
          </w:p>
          <w:p w14:paraId="7D90DAC3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[11] 熊钦, 肖丽萍, 蔡金平, 等. 基于物联网的果园药水肥一体化控制系统设计与实现[J]. 中国农机化学报, 2023, 44(3): 73-81. DOI:10.13733/j.jcam.issn.2095-5553.2023.03.011.</w:t>
            </w:r>
          </w:p>
          <w:p w14:paraId="3925546A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[12] 冯倩, 尹义蕾, 王柳, 等. 基于作物表型的温室精准灌溉策略研究进展[J]. 节水灌溉, 2023(6): 34-40. DOI:10.12396/jsgg.2023073.</w:t>
            </w:r>
          </w:p>
          <w:p w14:paraId="68243DCC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[13] SUN G, LI X, WANG X, et al. Design and testing of a nutrient mixing machine for greenhouse fertigation[J]. Engineering in Agriculture, Environment and Food, 2015, 8(2): 114-121. DOI:10.1016/j.eaef.2014.12.001.</w:t>
            </w:r>
          </w:p>
          <w:p w14:paraId="5163AC6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[14] STEIDLE NETO A J, ZOLNIER S, DE CARVALHO LOPES D. Development and evaluation of an automated system for fertigation control in soilless tomato production[J]. Computers and Electronics in Agriculture, 2014, 103: 17-25. DOI:10.1016/j.compag.2014.02.001.</w:t>
            </w:r>
          </w:p>
          <w:p w14:paraId="77D9B778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[15] GONZÁLEZ PEREA R, MORENO M A, ORTEGA J F, et al. Dynamic simulation tool of fertigation in drip irrigation subunits[J]. Computers and Electronics in Agriculture, 2020, 173: 105434. DOI:10.1016/j.compag.2020.105434.</w:t>
            </w:r>
          </w:p>
          <w:p w14:paraId="76605E71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[16] ALLEN R G, PEREIRA L S, RAES D, SMITH M. Crop Evapotranspiration: Guidelines for Computing Crop Water Requirements[M]. Rome: FAO, 1998. ISBN 92-5-104219-5. https://www.fao.org/4/x0490e/x0490e00.htm.</w:t>
            </w:r>
          </w:p>
          <w:p w14:paraId="6A140BCF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[17] KELLER J, BLIESNER R D. Sprinkle and Trickle Irrigation[M]. New York: Van Nostrand Reinhold, 1990. DOI:10.1007/978-1-4757-1425-8.</w:t>
            </w:r>
          </w:p>
          <w:p w14:paraId="1E1600A8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[18] LAMM F R, AYARS J E, NAKAYAMA F S, eds. Microirrigation for Crop Production: Design, Operation, and Management[M]. Amsterdam: Elsevier, 2006. ISBN 978-0-444-50607-8. https://www.ars.usda.gov/research/publications/publication/?seqNo115=197482.</w:t>
            </w:r>
          </w:p>
          <w:p w14:paraId="4D23FB8E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lastRenderedPageBreak/>
              <w:t>[19] NAKAYAMA F S, BUCKS D A, eds. Trickle Irrigation for Crop Production: Design, Operation and Management[M]. Amsterdam: Elsevier, 1986. ISBN 978-0-444-42615-4. https://books.google.com/books/about/Trickle_Irrigation_for_Crop_Production.html?id=K4sdAQAAMAAJ.</w:t>
            </w:r>
          </w:p>
          <w:p w14:paraId="78765E35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[20] HILLEL D. Environmental Soil Physics: Fundamentals, Applications, and Environmental Considerations[M]. San Diego: Academic Press, 1998. ISBN 978-0-12-348525-0. https://www.educate.elsevier.com/book/details/9780123485250.</w:t>
            </w:r>
          </w:p>
          <w:p w14:paraId="70091F79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[21] JURY W A, HORTON R. Soil Physics[M]. 6th ed. Hoboken: Wiley, 2004. ISBN 978-0-471-05965-3. https://books.google.com/books/about/Soil_Physics.html?id=E5HZDwAAQBAJ.</w:t>
            </w:r>
          </w:p>
          <w:p w14:paraId="29094757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[22] KIRKHAM M B. Principles of Soil and Plant Water Relations[M]. 2nd ed. Amsterdam: Elsevier, 2014. ISBN 978-0-12-420022-7. https://shop.elsevier.com/books/principles-of-soil-and-plant-water-relations/kirkham/978-0-12-420022-7.</w:t>
            </w:r>
          </w:p>
          <w:p w14:paraId="64029B1C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[23] QIN S J, BADGWELL T A. A survey of industrial model predictive control technology[J]. Control Engineering Practice, 2003, 11(7): 733-764. DOI:10.1016/S0967-0661(02)00186-7.</w:t>
            </w:r>
          </w:p>
          <w:p w14:paraId="53057E73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[24] BWAMBALE E, ABAGALE F K, ANORNU G K. Data-driven model predictive control for precision irrigation management[J]. Smart Agricultural Technology, 2023, 3: 100074. DOI:10.1016/j.atech.2022.100074.</w:t>
            </w:r>
          </w:p>
          <w:p w14:paraId="14D0F698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[25] DELGODA D, MALANO H, SALEEM S K, et al. Irrigation control based on model predictive control (MPC): Formulation of theory and validation using weather forecast data and AQUACROP model[J]. Environmental Modelling &amp; Software, 2016, 78: 40-53. DOI:10.1016/j.envsoft.2015.12.012.</w:t>
            </w:r>
          </w:p>
          <w:p w14:paraId="2F90DF84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[26] MAO Y, LIU S, NAHAR J, et al. Soil moisture regulation of agro-hydrological systems using zone model predictive control[J]. Computers and Electronics in Agriculture, 2018, 154: 239-247. DOI:10.1016/j.compag.2018.09.011.</w:t>
            </w:r>
          </w:p>
          <w:p w14:paraId="63DB8A91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[27] CÁCERES G, MILLÁN P, PEREIRA M, et al. Smart Farm Irrigation: Model Predictive Control for Economic Optimal Irrigation in Agriculture[J]. Agronomy, 2021, 11(9): 1810. DOI:10.3390/agronomy11091810.</w:t>
            </w:r>
          </w:p>
          <w:p w14:paraId="785FBEAE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[28] SHI W, CAO J, ZHANG Q, et al. Edge computing: Vision and challenges[J]. IEEE Internet of Things Journal, 2016, 3(5): 637-646. DOI:10.1109/JIOT.2016.2579198.</w:t>
            </w:r>
          </w:p>
          <w:p w14:paraId="0C230988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[29] HESPANHA J P, NAGHSHTABRIZI P, XU Y. A survey of recent results in networked control systems[J]. Proceedings of the IEEE, 2007, 95(1): 138-162. DOI:10.1109/JPROC.2006.887288.</w:t>
            </w:r>
          </w:p>
          <w:p w14:paraId="373164AC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[30] MA Y, LU C, SINOPOLI B, et al. Exploring edge computing for multitier industrial control[J]. IEEE Transactions on Computer-Aided Design of Integrated Circuits and Systems, 2020, 39(11): 3506-3518. DOI:10.1109/TCAD.2020.3012648.</w:t>
            </w:r>
          </w:p>
          <w:p w14:paraId="7CEFF22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[31] ISERMANN R. Fault-Diagnosis Systems: An Introduction from Fault Detection to Fault Tolerance[M]. Berlin: Springer, 2006. DOI:10.1007/3-540-30368-5.</w:t>
            </w:r>
          </w:p>
          <w:p w14:paraId="1C298994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[32] ISERMANN R. Model-based fault-detection and diagnosis—status and applications[J]. Annual Reviews in Control, 2005, 29(1): 71-85. DOI:10.1016/j.arcontrol.2004.12.002.</w:t>
            </w:r>
          </w:p>
          <w:p w14:paraId="008FAA4B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[33] HWANG I, KIM S, KIM Y, et al. A survey of fault detection, isolation, and reconfiguration methods[J]. IEEE Transactions on Control Systems Technology, 2010, 18(3): 636-653. DOI:10.1109/TCST.2009.2026285.</w:t>
            </w:r>
          </w:p>
          <w:p w14:paraId="2284A337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 xml:space="preserve">[34] YETENDJE A, DE DONÁ J A, SERON M M. Multisensor fusion fault tolerant control[J]. </w:t>
            </w:r>
            <w:r>
              <w:rPr>
                <w:rFonts w:ascii="Times New Roman" w:eastAsia="Songti SC" w:hAnsi="Times New Roman" w:cs="Arial Unicode MS"/>
                <w:sz w:val="18"/>
              </w:rPr>
              <w:lastRenderedPageBreak/>
              <w:t>Automatica, 2011, 47(7): 1461-1466. DOI:10.1016/j.automatica.2011.02.024.</w:t>
            </w:r>
          </w:p>
          <w:p w14:paraId="55762FA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[35] ZACCARIAN L, TEEL A R. The L2 (l2) bumpless transfer problem for linear plants: Its definition and solution[J]. Automatica, 2005, 41(7): 1273-1280. DOI:10.1016/j.automatica.2005.02.003.</w:t>
            </w:r>
          </w:p>
          <w:p w14:paraId="320EE143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[36] OASIS. MQTT Version 3.1.1[S/OL]. 2014. https://docs.oasis-open.org/mqtt/mqtt/v3.1.1/mqtt-v3.1.1.html.</w:t>
            </w:r>
          </w:p>
        </w:tc>
      </w:tr>
      <w:tr w:rsidR="00EB31B3" w14:paraId="74E0D80C" w14:textId="77777777">
        <w:trPr>
          <w:trHeight w:val="13575"/>
        </w:trPr>
        <w:tc>
          <w:tcPr>
            <w:tcW w:w="8460" w:type="dxa"/>
            <w:gridSpan w:val="4"/>
          </w:tcPr>
          <w:p w14:paraId="015E6F82" w14:textId="77777777" w:rsidR="00121BB8" w:rsidRDefault="00000000">
            <w:pPr>
              <w:widowControl/>
              <w:spacing w:after="80" w:line="324" w:lineRule="auto"/>
            </w:pPr>
            <w:r>
              <w:rPr>
                <w:rFonts w:ascii="Times New Roman" w:eastAsia="Songti SC" w:hAnsi="Times New Roman" w:cs="Arial Unicode MS"/>
              </w:rPr>
              <w:lastRenderedPageBreak/>
              <w:t>九、论文详细提纲</w:t>
            </w:r>
          </w:p>
          <w:p w14:paraId="1EE878B7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第1章 绪论：工程背景、研究现状、有限数据问题、研究内容和技术路线。</w:t>
            </w:r>
          </w:p>
          <w:p w14:paraId="576BB795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第2章 系统需求与总体架构：应用边界、双层根区对象、离线模型生命周期、在线控制反馈和证据审计。</w:t>
            </w:r>
          </w:p>
          <w:p w14:paraId="5A6EAFD3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第3章 数据准入与双层根区灰箱模型：标定、时间对齐、辨识信息、模型方程及独立循环验证。</w:t>
            </w:r>
          </w:p>
          <w:p w14:paraId="635C07F8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第4章 强规则与双层根区MPC冻结评价：候选开发、锁定协议、多终点配对结果和动作代价。</w:t>
            </w:r>
          </w:p>
          <w:p w14:paraId="5CAA9886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第5章 可信监督与失效机理：风险检测、规则回退、安全暂停、恢复死锁、预算冲突和停止规则。</w:t>
            </w:r>
          </w:p>
          <w:p w14:paraId="17AA27F2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第6章 智慧管控平台软件在环验证：任务账目、可靠消息、MQTT、SQLite状态恢复及证据审计。</w:t>
            </w:r>
          </w:p>
          <w:p w14:paraId="75CB2B87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第7章 综合讨论与条件触发路线：仿真证据、红壤模型、实体效果和工程部署边界。</w:t>
            </w:r>
          </w:p>
          <w:p w14:paraId="0E51D83A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第8章 结论与展望：数据准入、控制评价、监督机制、平台贡献及后续现场验证。</w:t>
            </w:r>
          </w:p>
        </w:tc>
      </w:tr>
    </w:tbl>
    <w:p w14:paraId="70CD404A" w14:textId="77777777" w:rsidR="00EB31B3" w:rsidRDefault="00EB31B3"/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0"/>
      </w:tblGrid>
      <w:tr w:rsidR="00EB31B3" w14:paraId="7685EAD1" w14:textId="77777777">
        <w:trPr>
          <w:trHeight w:val="2794"/>
        </w:trPr>
        <w:tc>
          <w:tcPr>
            <w:tcW w:w="8460" w:type="dxa"/>
          </w:tcPr>
          <w:p w14:paraId="0D28415C" w14:textId="77777777" w:rsidR="00EB31B3" w:rsidRDefault="00000000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lastRenderedPageBreak/>
              <w:t>校内导师意见</w:t>
            </w:r>
          </w:p>
          <w:p w14:paraId="5C601E3E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6E7516B9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1CF5AE1F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182598EE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7568A8BE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4B1E6966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68BE48F1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67012C0D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3303DB25" w14:textId="77777777" w:rsidR="00EB31B3" w:rsidRDefault="00000000">
            <w:pPr>
              <w:ind w:firstLineChars="2047" w:firstLine="5754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>导师签字：</w:t>
            </w:r>
          </w:p>
          <w:p w14:paraId="35FAEDEA" w14:textId="77777777" w:rsidR="00EB31B3" w:rsidRDefault="00000000">
            <w:pPr>
              <w:ind w:firstLineChars="2003" w:firstLine="563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t>年  月  日</w:t>
            </w:r>
          </w:p>
        </w:tc>
      </w:tr>
      <w:tr w:rsidR="00EB31B3" w14:paraId="2CB354BF" w14:textId="77777777">
        <w:trPr>
          <w:trHeight w:val="1380"/>
        </w:trPr>
        <w:tc>
          <w:tcPr>
            <w:tcW w:w="8460" w:type="dxa"/>
          </w:tcPr>
          <w:p w14:paraId="0A8E58B4" w14:textId="77777777" w:rsidR="00EB31B3" w:rsidRDefault="00000000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t>校外导师意见</w:t>
            </w:r>
          </w:p>
          <w:p w14:paraId="11ED9FC6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6417331D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6910C49C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43539626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78B404D8" w14:textId="77777777" w:rsidR="00EB31B3" w:rsidRDefault="00EB31B3">
            <w:pPr>
              <w:ind w:firstLineChars="2047" w:firstLine="5754"/>
              <w:rPr>
                <w:rFonts w:ascii="宋体" w:hAnsi="宋体"/>
                <w:b/>
                <w:sz w:val="28"/>
                <w:szCs w:val="28"/>
              </w:rPr>
            </w:pPr>
          </w:p>
          <w:p w14:paraId="2D2AD8E4" w14:textId="77777777" w:rsidR="00EB31B3" w:rsidRDefault="00000000">
            <w:pPr>
              <w:ind w:firstLineChars="2097" w:firstLine="5895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>导师签字：</w:t>
            </w:r>
          </w:p>
          <w:p w14:paraId="5FCF776C" w14:textId="77777777" w:rsidR="00EB31B3" w:rsidRDefault="00000000">
            <w:pPr>
              <w:ind w:firstLineChars="2040" w:firstLine="5734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t>年  月  日</w:t>
            </w:r>
          </w:p>
          <w:p w14:paraId="352546D9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721BB9C9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</w:tc>
      </w:tr>
      <w:tr w:rsidR="00EB31B3" w14:paraId="74323409" w14:textId="77777777">
        <w:trPr>
          <w:trHeight w:val="5462"/>
        </w:trPr>
        <w:tc>
          <w:tcPr>
            <w:tcW w:w="8460" w:type="dxa"/>
          </w:tcPr>
          <w:p w14:paraId="76C6FF78" w14:textId="77777777" w:rsidR="00EB31B3" w:rsidRDefault="00000000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lastRenderedPageBreak/>
              <w:t>开题专家组审查意见</w:t>
            </w:r>
          </w:p>
          <w:p w14:paraId="4B43A7DD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7D8B9A21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6FA4E3D0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23C49E1F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48F2D2F8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2694476A" w14:textId="77777777" w:rsidR="00EB31B3" w:rsidRDefault="00000000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>专家组组长签字（签章）：</w:t>
            </w:r>
          </w:p>
          <w:p w14:paraId="218486C0" w14:textId="77777777" w:rsidR="00EB31B3" w:rsidRDefault="00000000">
            <w:pPr>
              <w:ind w:firstLineChars="2053" w:firstLine="5771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>年  月  日</w:t>
            </w:r>
          </w:p>
        </w:tc>
      </w:tr>
      <w:tr w:rsidR="00EB31B3" w14:paraId="528112F8" w14:textId="77777777">
        <w:trPr>
          <w:trHeight w:val="7752"/>
        </w:trPr>
        <w:tc>
          <w:tcPr>
            <w:tcW w:w="8460" w:type="dxa"/>
          </w:tcPr>
          <w:p w14:paraId="450337A1" w14:textId="77777777" w:rsidR="00EB31B3" w:rsidRDefault="00000000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t>学院（中心）审查意见</w:t>
            </w:r>
          </w:p>
          <w:p w14:paraId="2779E6CB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0A97C248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7B04F109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079FDEE8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1B372EB1" w14:textId="77777777" w:rsidR="00EB31B3" w:rsidRDefault="00000000">
            <w:pPr>
              <w:ind w:firstLine="1275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 xml:space="preserve">                          </w:t>
            </w:r>
          </w:p>
          <w:p w14:paraId="2F070FEC" w14:textId="77777777" w:rsidR="00EB31B3" w:rsidRDefault="00EB31B3">
            <w:pPr>
              <w:ind w:firstLine="1275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  <w:p w14:paraId="3CFA9F7C" w14:textId="77777777" w:rsidR="00EB31B3" w:rsidRDefault="00EB31B3">
            <w:pPr>
              <w:ind w:firstLine="1275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  <w:p w14:paraId="75C52E36" w14:textId="77777777" w:rsidR="00EB31B3" w:rsidRDefault="00EB31B3">
            <w:pPr>
              <w:ind w:firstLine="1275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  <w:p w14:paraId="288AC97A" w14:textId="77777777" w:rsidR="00EB31B3" w:rsidRDefault="00000000">
            <w:pPr>
              <w:ind w:firstLine="1275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 xml:space="preserve">              公    章</w:t>
            </w:r>
          </w:p>
          <w:p w14:paraId="6F600A89" w14:textId="77777777" w:rsidR="00EB31B3" w:rsidRDefault="00000000">
            <w:pPr>
              <w:ind w:firstLineChars="2110" w:firstLine="5931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>年  月  日</w:t>
            </w:r>
          </w:p>
        </w:tc>
      </w:tr>
    </w:tbl>
    <w:p w14:paraId="3CC18ED5" w14:textId="77777777" w:rsidR="00B268B6" w:rsidRDefault="00B268B6"/>
    <w:sectPr w:rsidR="00B268B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2I3YmY0ZTQ0NmQ1OWE3OTI2YWM2MzRlNDc5YTE5YTAifQ=="/>
  </w:docVars>
  <w:rsids>
    <w:rsidRoot w:val="001E39C2"/>
    <w:rsid w:val="00027F5A"/>
    <w:rsid w:val="00053712"/>
    <w:rsid w:val="0008114B"/>
    <w:rsid w:val="000923D3"/>
    <w:rsid w:val="00121BB8"/>
    <w:rsid w:val="00152333"/>
    <w:rsid w:val="00173938"/>
    <w:rsid w:val="001B58D6"/>
    <w:rsid w:val="001E39C2"/>
    <w:rsid w:val="00210D40"/>
    <w:rsid w:val="002468A4"/>
    <w:rsid w:val="002A6F21"/>
    <w:rsid w:val="002C046E"/>
    <w:rsid w:val="002E57F8"/>
    <w:rsid w:val="002F1AB0"/>
    <w:rsid w:val="00383B05"/>
    <w:rsid w:val="003C150E"/>
    <w:rsid w:val="004B6E01"/>
    <w:rsid w:val="004E45A7"/>
    <w:rsid w:val="0057056C"/>
    <w:rsid w:val="005A55A0"/>
    <w:rsid w:val="005A56A6"/>
    <w:rsid w:val="005C50CE"/>
    <w:rsid w:val="005C5286"/>
    <w:rsid w:val="00683A43"/>
    <w:rsid w:val="006E2DC4"/>
    <w:rsid w:val="00706011"/>
    <w:rsid w:val="00712094"/>
    <w:rsid w:val="007878D8"/>
    <w:rsid w:val="007A4C35"/>
    <w:rsid w:val="007D079D"/>
    <w:rsid w:val="008045DA"/>
    <w:rsid w:val="00810F38"/>
    <w:rsid w:val="008A0CFA"/>
    <w:rsid w:val="00900DF8"/>
    <w:rsid w:val="00962980"/>
    <w:rsid w:val="009D37F1"/>
    <w:rsid w:val="00A765D2"/>
    <w:rsid w:val="00AA5CCB"/>
    <w:rsid w:val="00AD0344"/>
    <w:rsid w:val="00B22BB9"/>
    <w:rsid w:val="00B268B6"/>
    <w:rsid w:val="00B644CD"/>
    <w:rsid w:val="00B70196"/>
    <w:rsid w:val="00B80854"/>
    <w:rsid w:val="00BB3BB7"/>
    <w:rsid w:val="00BF5EE5"/>
    <w:rsid w:val="00C76B68"/>
    <w:rsid w:val="00C91A3E"/>
    <w:rsid w:val="00C97EDC"/>
    <w:rsid w:val="00CA0F98"/>
    <w:rsid w:val="00CA6625"/>
    <w:rsid w:val="00D100AB"/>
    <w:rsid w:val="00D44DB2"/>
    <w:rsid w:val="00DB023B"/>
    <w:rsid w:val="00DC4066"/>
    <w:rsid w:val="00E44B87"/>
    <w:rsid w:val="00EB31B3"/>
    <w:rsid w:val="00EB324E"/>
    <w:rsid w:val="00EE3F69"/>
    <w:rsid w:val="00F05D46"/>
    <w:rsid w:val="00F408E5"/>
    <w:rsid w:val="00FE3924"/>
    <w:rsid w:val="00FF6B6F"/>
    <w:rsid w:val="114C07AB"/>
    <w:rsid w:val="4ED41302"/>
    <w:rsid w:val="74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AEF3B3"/>
  <w15:chartTrackingRefBased/>
  <w15:docId w15:val="{93AB3573-4D69-6743-97FF-313EA7BB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eastAsia="Songti SC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rFonts w:ascii="Times New Roman" w:hAnsi="Times New Roman" w:eastAsia="Songti SC"/>
      <w:kern w:val="6"/>
      <w:sz w:val="24"/>
      <w:szCs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a8">
    <w:name w:val="Normal (Web)"/>
    <w:basedOn w:val="a"/>
    <w:pPr>
      <w:widowControl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2111</Words>
  <Characters>12038</Characters>
  <Application>Microsoft Office Word</Application>
  <DocSecurity>0</DocSecurity>
  <Lines>100</Lines>
  <Paragraphs>28</Paragraphs>
  <ScaleCrop>false</ScaleCrop>
  <Company>we</Company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红壤区设施大棚水肥智能管控平台设计与灌溉模型预测控制研究</dc:title>
  <dc:subject>专业硕士学位论文开题报告</dc:subject>
  <dc:creator>微软用户</dc:creator>
  <cp:keywords>红壤；设施大棚；水肥智能管控平台；灌溉；模型预测控制</cp:keywords>
  <cp:lastModifiedBy>P ogacar</cp:lastModifiedBy>
  <cp:revision>5</cp:revision>
  <dcterms:created xsi:type="dcterms:W3CDTF">2026-08-25T01:50:00Z</dcterms:created>
  <dcterms:modified xsi:type="dcterms:W3CDTF">2026-09-04T02:14:00Z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430C46776BB74E029B2178330AE8C6AB</vt:lpwstr>
  </property>
  <property fmtid="{D5CDD505-2E9C-101B-9397-08002B2CF9AE}" pid="4" name="KSOTemplateDocerSaveRecord">
    <vt:lpwstr>eyJoZGlkIjoiMzk4N2JiMWFhNWRlYzNlNjZhNzU1NWNjODk5NDUwMmQiLCJ1c2VySWQiOiI0MjQ0NTIwOTYifQ==</vt:lpwstr>
  </property>
</Properties>
</file>