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3D51D" w14:textId="77777777" w:rsidR="00EB31B3" w:rsidRDefault="00000000">
      <w:pPr>
        <w:rPr>
          <w:color w:val="4A4A4A"/>
          <w:sz w:val="84"/>
          <w:szCs w:val="84"/>
        </w:rPr>
      </w:pPr>
      <w:r>
        <w:rPr>
          <w:rFonts w:hint="eastAsia"/>
          <w:color w:val="4A4A4A"/>
          <w:sz w:val="84"/>
          <w:szCs w:val="84"/>
        </w:rPr>
        <w:t xml:space="preserve">     </w:t>
      </w:r>
    </w:p>
    <w:p w14:paraId="39B39ADE" w14:textId="77777777" w:rsidR="00EB31B3" w:rsidRDefault="009B068F">
      <w:pPr>
        <w:jc w:val="center"/>
        <w:rPr>
          <w:rFonts w:ascii="华文新魏" w:eastAsia="华文新魏"/>
          <w:sz w:val="48"/>
          <w:szCs w:val="48"/>
        </w:rPr>
      </w:pPr>
      <w:r w:rsidRPr="009B068F">
        <w:rPr>
          <w:noProof/>
          <w:sz w:val="48"/>
          <w:szCs w:val="48"/>
        </w:rPr>
        <w:pict w14:anchorId="4B2B0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85pt;height:40.9pt;visibility:visible;mso-wrap-style:square">
            <v:imagedata r:id="rId4" o:title=""/>
            <o:lock v:ext="edit" rotation="t" cropping="t" verticies="t"/>
          </v:shape>
        </w:pict>
      </w:r>
    </w:p>
    <w:p w14:paraId="3A490E9D" w14:textId="77777777" w:rsidR="00EB31B3" w:rsidRDefault="00EB31B3">
      <w:pPr>
        <w:jc w:val="center"/>
        <w:rPr>
          <w:rFonts w:ascii="华文新魏" w:eastAsia="华文新魏"/>
          <w:sz w:val="48"/>
          <w:szCs w:val="48"/>
        </w:rPr>
      </w:pPr>
    </w:p>
    <w:p w14:paraId="1FC28051" w14:textId="77777777" w:rsidR="00EB31B3" w:rsidRDefault="00000000">
      <w:pPr>
        <w:jc w:val="center"/>
        <w:rPr>
          <w:rFonts w:ascii="宋体" w:hAnsi="宋体"/>
          <w:b/>
          <w:sz w:val="52"/>
          <w:szCs w:val="52"/>
        </w:rPr>
      </w:pPr>
      <w:r>
        <w:rPr>
          <w:rFonts w:hint="eastAsia"/>
          <w:b/>
          <w:sz w:val="52"/>
          <w:szCs w:val="52"/>
        </w:rPr>
        <w:t>专业硕士学位研究生</w:t>
      </w:r>
    </w:p>
    <w:p w14:paraId="2F0F60F9" w14:textId="67C4F6EB" w:rsidR="00EB31B3" w:rsidRPr="00E65AEA" w:rsidRDefault="00000000" w:rsidP="00E65AEA">
      <w:pPr>
        <w:jc w:val="center"/>
        <w:rPr>
          <w:rFonts w:ascii="宋体" w:hAnsi="宋体" w:hint="eastAsia"/>
          <w:b/>
          <w:sz w:val="52"/>
          <w:szCs w:val="52"/>
        </w:rPr>
      </w:pPr>
      <w:r>
        <w:rPr>
          <w:rFonts w:hint="eastAsia"/>
          <w:b/>
          <w:sz w:val="52"/>
          <w:szCs w:val="52"/>
        </w:rPr>
        <w:t>学位论文开题报告</w:t>
      </w:r>
    </w:p>
    <w:p w14:paraId="7C080785" w14:textId="77777777" w:rsidR="00EB31B3" w:rsidRDefault="00000000">
      <w:pPr>
        <w:spacing w:line="860" w:lineRule="exact"/>
        <w:ind w:firstLineChars="400" w:firstLine="1240"/>
        <w:jc w:val="center"/>
        <w:rPr>
          <w:b/>
          <w:sz w:val="36"/>
          <w:szCs w:val="36"/>
        </w:rPr>
      </w:pPr>
      <w:r>
        <w:rPr>
          <w:rFonts w:cs="仿宋_GB2312"/>
          <w:b/>
          <w:sz w:val="31"/>
        </w:rPr>
        <w:t>论文题目：基于物联网与协同控制的智能水肥一体化管控系统设计与实现</w:t>
      </w:r>
      <w:r>
        <w:rPr>
          <w:rFonts w:cs="仿宋_GB2312"/>
          <w:b/>
          <w:sz w:val="31"/>
        </w:rPr>
        <w:t>——</w:t>
      </w:r>
      <w:r>
        <w:rPr>
          <w:rFonts w:cs="仿宋_GB2312"/>
          <w:b/>
          <w:sz w:val="31"/>
        </w:rPr>
        <w:t>以红壤丘陵区为例</w:t>
      </w:r>
    </w:p>
    <w:p w14:paraId="5B157C11"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624570AA"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1D001775"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279093FC" w14:textId="77777777" w:rsidR="00EB31B3" w:rsidRDefault="00000000">
      <w:pPr>
        <w:spacing w:line="860" w:lineRule="exact"/>
        <w:ind w:firstLineChars="400" w:firstLine="1800"/>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7089F207"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7716DB52" w14:textId="77777777" w:rsidR="00EB31B3" w:rsidRDefault="00000000">
      <w:pPr>
        <w:spacing w:line="860" w:lineRule="exact"/>
        <w:ind w:firstLineChars="400" w:firstLine="1800"/>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42E8BE78" w14:textId="77777777" w:rsidR="00EB31B3" w:rsidRDefault="00000000">
      <w:pPr>
        <w:spacing w:line="860" w:lineRule="exact"/>
        <w:ind w:firstLineChars="500" w:firstLine="1800"/>
        <w:rPr>
          <w:b/>
          <w:sz w:val="36"/>
          <w:szCs w:val="36"/>
        </w:rPr>
      </w:pPr>
      <w:r>
        <w:rPr>
          <w:rFonts w:hint="eastAsia"/>
          <w:b/>
          <w:sz w:val="36"/>
          <w:szCs w:val="36"/>
        </w:rPr>
        <w:t xml:space="preserve">                   </w:t>
      </w:r>
    </w:p>
    <w:p w14:paraId="75DFC7CC" w14:textId="77777777" w:rsidR="00EB31B3" w:rsidRDefault="00000000">
      <w:pPr>
        <w:jc w:val="center"/>
        <w:rPr>
          <w:b/>
          <w:sz w:val="28"/>
        </w:rPr>
      </w:pPr>
      <w:r>
        <w:rPr>
          <w:rFonts w:cs="仿宋_GB2312"/>
          <w:sz w:val="28"/>
        </w:rPr>
        <w:t>填表日期</w:t>
      </w:r>
      <w:r>
        <w:rPr>
          <w:rFonts w:cs="仿宋_GB2312"/>
          <w:sz w:val="28"/>
        </w:rPr>
        <w:t xml:space="preserve">       2026</w:t>
      </w:r>
      <w:r>
        <w:rPr>
          <w:rFonts w:cs="仿宋_GB2312"/>
          <w:sz w:val="28"/>
        </w:rPr>
        <w:t>年</w:t>
      </w:r>
      <w:r>
        <w:rPr>
          <w:rFonts w:cs="仿宋_GB2312"/>
          <w:sz w:val="28"/>
        </w:rPr>
        <w:t xml:space="preserve">  9 </w:t>
      </w:r>
      <w:r>
        <w:rPr>
          <w:rFonts w:cs="仿宋_GB2312"/>
          <w:sz w:val="28"/>
        </w:rPr>
        <w:t>月</w:t>
      </w:r>
      <w:r>
        <w:rPr>
          <w:rFonts w:cs="仿宋_GB2312"/>
          <w:sz w:val="28"/>
        </w:rPr>
        <w:t xml:space="preserve">    </w:t>
      </w:r>
      <w:r>
        <w:rPr>
          <w:rFonts w:cs="仿宋_GB2312"/>
          <w:sz w:val="28"/>
        </w:rPr>
        <w:t>日</w:t>
      </w:r>
    </w:p>
    <w:p w14:paraId="2500E4E2" w14:textId="77777777" w:rsidR="00EB31B3" w:rsidRPr="00CA6625" w:rsidRDefault="00EB31B3">
      <w:pPr>
        <w:spacing w:line="480" w:lineRule="auto"/>
        <w:jc w:val="center"/>
        <w:rPr>
          <w:rFonts w:eastAsia="华文新魏"/>
          <w:sz w:val="44"/>
          <w:szCs w:val="44"/>
        </w:rPr>
      </w:pPr>
    </w:p>
    <w:p w14:paraId="2E596AAD" w14:textId="77777777" w:rsidR="00EB31B3" w:rsidRDefault="00EB31B3">
      <w:pPr>
        <w:spacing w:line="480" w:lineRule="auto"/>
        <w:jc w:val="center"/>
        <w:rPr>
          <w:rFonts w:eastAsia="华文新魏"/>
          <w:sz w:val="44"/>
          <w:szCs w:val="44"/>
        </w:rPr>
      </w:pPr>
    </w:p>
    <w:p w14:paraId="375E27A5" w14:textId="77777777" w:rsidR="00EB31B3" w:rsidRDefault="00000000">
      <w:pPr>
        <w:spacing w:line="480" w:lineRule="auto"/>
        <w:jc w:val="center"/>
        <w:rPr>
          <w:rFonts w:eastAsia="华文新魏"/>
          <w:sz w:val="44"/>
          <w:szCs w:val="44"/>
        </w:rPr>
      </w:pPr>
      <w:r>
        <w:rPr>
          <w:rFonts w:hint="eastAsia"/>
          <w:sz w:val="44"/>
          <w:szCs w:val="44"/>
        </w:rPr>
        <w:t>填</w:t>
      </w:r>
      <w:r>
        <w:rPr>
          <w:rFonts w:hint="eastAsia"/>
          <w:sz w:val="44"/>
          <w:szCs w:val="44"/>
        </w:rPr>
        <w:t xml:space="preserve">   </w:t>
      </w:r>
      <w:r>
        <w:rPr>
          <w:rFonts w:hint="eastAsia"/>
          <w:sz w:val="44"/>
          <w:szCs w:val="44"/>
        </w:rPr>
        <w:t>表</w:t>
      </w:r>
      <w:r>
        <w:rPr>
          <w:rFonts w:hint="eastAsia"/>
          <w:sz w:val="44"/>
          <w:szCs w:val="44"/>
        </w:rPr>
        <w:t xml:space="preserve">   </w:t>
      </w:r>
      <w:r>
        <w:rPr>
          <w:rFonts w:hint="eastAsia"/>
          <w:sz w:val="44"/>
          <w:szCs w:val="44"/>
        </w:rPr>
        <w:t>说</w:t>
      </w:r>
      <w:r>
        <w:rPr>
          <w:rFonts w:hint="eastAsia"/>
          <w:sz w:val="44"/>
          <w:szCs w:val="44"/>
        </w:rPr>
        <w:t xml:space="preserve">   </w:t>
      </w:r>
      <w:r>
        <w:rPr>
          <w:rFonts w:hint="eastAsia"/>
          <w:sz w:val="44"/>
          <w:szCs w:val="44"/>
        </w:rPr>
        <w:t>明</w:t>
      </w:r>
    </w:p>
    <w:p w14:paraId="3223B2A5" w14:textId="77777777" w:rsidR="00EB31B3" w:rsidRDefault="00000000">
      <w:pPr>
        <w:ind w:left="420" w:hangingChars="150" w:hanging="420"/>
        <w:rPr>
          <w:rFonts w:ascii="仿宋_GB2312" w:eastAsia="仿宋_GB2312" w:hAnsi="华文仿宋"/>
          <w:kern w:val="6"/>
          <w:sz w:val="28"/>
          <w:szCs w:val="28"/>
        </w:rPr>
      </w:pPr>
      <w:r>
        <w:rPr>
          <w:rFonts w:hint="eastAsia"/>
          <w:kern w:val="6"/>
          <w:sz w:val="28"/>
          <w:szCs w:val="28"/>
        </w:rPr>
        <w:t xml:space="preserve">1. </w:t>
      </w:r>
      <w:r>
        <w:rPr>
          <w:rFonts w:hint="eastAsia"/>
          <w:kern w:val="6"/>
          <w:sz w:val="28"/>
          <w:szCs w:val="28"/>
        </w:rPr>
        <w:t>专业硕士学位研究生的学位论文一般应</w:t>
      </w:r>
      <w:r>
        <w:rPr>
          <w:kern w:val="6"/>
          <w:sz w:val="28"/>
          <w:szCs w:val="28"/>
        </w:rPr>
        <w:t>是</w:t>
      </w:r>
      <w:r>
        <w:rPr>
          <w:rFonts w:hint="eastAsia"/>
          <w:kern w:val="6"/>
          <w:sz w:val="28"/>
          <w:szCs w:val="28"/>
        </w:rPr>
        <w:t>解决科学问题或工程实际应用问题的研究。</w:t>
      </w:r>
    </w:p>
    <w:p w14:paraId="1E892548"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2. </w:t>
      </w:r>
      <w:r>
        <w:rPr>
          <w:rFonts w:hint="eastAsia"/>
          <w:sz w:val="28"/>
          <w:szCs w:val="28"/>
        </w:rPr>
        <w:t>本表应在导师指导下独立完成。</w:t>
      </w:r>
    </w:p>
    <w:p w14:paraId="0E67FD9F"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sz w:val="28"/>
          <w:szCs w:val="28"/>
        </w:rPr>
        <w:t xml:space="preserve">3. </w:t>
      </w:r>
      <w:r>
        <w:rPr>
          <w:rFonts w:hint="eastAsia"/>
          <w:sz w:val="28"/>
          <w:szCs w:val="28"/>
        </w:rPr>
        <w:t>开题报告作为学位论文撰写和学位申请的重要材料，应及时完成，不得随意更改。</w:t>
      </w:r>
    </w:p>
    <w:p w14:paraId="467974A8"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kern w:val="2"/>
          <w:sz w:val="28"/>
          <w:szCs w:val="28"/>
        </w:rPr>
        <w:t xml:space="preserve">4. </w:t>
      </w:r>
      <w:r>
        <w:rPr>
          <w:rFonts w:hint="eastAsia"/>
          <w:kern w:val="2"/>
          <w:sz w:val="28"/>
          <w:szCs w:val="28"/>
        </w:rPr>
        <w:t>本表一式三份，研究生本人一份，学院（中心）一份，研究生院一份。</w:t>
      </w:r>
    </w:p>
    <w:p w14:paraId="3C7D3E34" w14:textId="77777777" w:rsidR="00EB31B3" w:rsidRDefault="00000000">
      <w:pPr>
        <w:spacing w:line="480" w:lineRule="auto"/>
        <w:rPr>
          <w:rFonts w:ascii="仿宋_GB2312" w:eastAsia="仿宋_GB2312" w:hAnsi="华文仿宋"/>
          <w:sz w:val="28"/>
          <w:szCs w:val="28"/>
        </w:rPr>
      </w:pPr>
      <w:r>
        <w:rPr>
          <w:rFonts w:hint="eastAsia"/>
          <w:sz w:val="28"/>
          <w:szCs w:val="28"/>
        </w:rPr>
        <w:t>5</w:t>
      </w:r>
      <w:r>
        <w:rPr>
          <w:rFonts w:hint="eastAsia"/>
          <w:sz w:val="28"/>
          <w:szCs w:val="28"/>
        </w:rPr>
        <w:t>．本表用</w:t>
      </w:r>
      <w:r>
        <w:rPr>
          <w:rFonts w:hint="eastAsia"/>
          <w:sz w:val="28"/>
          <w:szCs w:val="28"/>
        </w:rPr>
        <w:t>A4</w:t>
      </w:r>
      <w:r>
        <w:rPr>
          <w:rFonts w:hint="eastAsia"/>
          <w:sz w:val="28"/>
          <w:szCs w:val="28"/>
        </w:rPr>
        <w:t>纸张</w:t>
      </w:r>
      <w:r>
        <w:rPr>
          <w:rFonts w:hint="eastAsia"/>
          <w:iCs/>
          <w:sz w:val="28"/>
          <w:szCs w:val="28"/>
        </w:rPr>
        <w:t>双面</w:t>
      </w:r>
      <w:r>
        <w:rPr>
          <w:rFonts w:hint="eastAsia"/>
          <w:sz w:val="28"/>
          <w:szCs w:val="28"/>
        </w:rPr>
        <w:t>填写或打印。</w:t>
      </w:r>
    </w:p>
    <w:p w14:paraId="2BC81D52"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6. </w:t>
      </w:r>
      <w:r>
        <w:rPr>
          <w:rFonts w:hint="eastAsia"/>
          <w:sz w:val="28"/>
          <w:szCs w:val="28"/>
        </w:rPr>
        <w:t>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650604D7" w14:textId="77777777">
        <w:trPr>
          <w:trHeight w:val="13425"/>
        </w:trPr>
        <w:tc>
          <w:tcPr>
            <w:tcW w:w="8280" w:type="dxa"/>
          </w:tcPr>
          <w:p w14:paraId="371990C1" w14:textId="77777777" w:rsidR="00121BB8" w:rsidRDefault="00000000">
            <w:pPr>
              <w:pageBreakBefore/>
              <w:widowControl/>
              <w:spacing w:after="80" w:line="324" w:lineRule="auto"/>
              <w:jc w:val="left"/>
            </w:pPr>
            <w:r>
              <w:rPr>
                <w:rFonts w:cs="Arial Unicode MS"/>
              </w:rPr>
              <w:lastRenderedPageBreak/>
              <w:t>一、选题依据和意义</w:t>
            </w:r>
          </w:p>
          <w:p w14:paraId="6AD31E44" w14:textId="77777777" w:rsidR="00121BB8" w:rsidRDefault="00000000">
            <w:pPr>
              <w:widowControl/>
              <w:spacing w:before="60" w:after="20" w:line="324" w:lineRule="auto"/>
            </w:pPr>
            <w:r>
              <w:rPr>
                <w:rFonts w:cs="Arial Unicode MS"/>
              </w:rPr>
              <w:t xml:space="preserve">1. </w:t>
            </w:r>
            <w:r>
              <w:rPr>
                <w:rFonts w:cs="Arial Unicode MS"/>
              </w:rPr>
              <w:t>研究背景</w:t>
            </w:r>
          </w:p>
          <w:p w14:paraId="403D14F5" w14:textId="77777777" w:rsidR="00121BB8" w:rsidRDefault="00000000">
            <w:pPr>
              <w:widowControl/>
              <w:spacing w:line="324" w:lineRule="auto"/>
              <w:ind w:firstLine="420"/>
            </w:pPr>
            <w:r>
              <w:rPr>
                <w:rFonts w:cs="Arial Unicode MS"/>
              </w:rPr>
              <w:t>红壤丘陵区设施农业地形起伏、生产单元分散，水肥设备需要在传感节点、边缘控制器、云端服务和执行机构之间持续交换状态与指令。水肥一体机通过注肥泵将母液按比例注入灌溉水，并以电导率（</w:t>
            </w:r>
            <w:r>
              <w:rPr>
                <w:rFonts w:cs="Arial Unicode MS"/>
              </w:rPr>
              <w:t>electrical conductivity</w:t>
            </w:r>
            <w:r>
              <w:rPr>
                <w:rFonts w:cs="Arial Unicode MS"/>
              </w:rPr>
              <w:t>，</w:t>
            </w:r>
            <w:r>
              <w:rPr>
                <w:rFonts w:cs="Arial Unicode MS"/>
              </w:rPr>
              <w:t>EC</w:t>
            </w:r>
            <w:r>
              <w:rPr>
                <w:rFonts w:cs="Arial Unicode MS"/>
              </w:rPr>
              <w:t>）作为混合肥液浓度的主要反馈量。混肥过程受到对象增益、惯性、纯滞后、母液浓度和流量波动影响；物联网链路中的时延、丢包、乱序、重复和通信中断又会进一步改变闭环行为。因此，区域应用需求需要同时落实到设备互联、控制连续性和运行追溯三个层面。</w:t>
            </w:r>
            <w:r>
              <w:rPr>
                <w:rFonts w:ascii="Times New Roman" w:hAnsi="Times New Roman" w:eastAsia="宋体"/>
                <w:sz w:val="18"/>
                <w:vertAlign w:val="superscript"/>
              </w:rPr>
              <w:t>[1-5]</w:t>
            </w:r>
            <w:r>
              <w:rPr>
                <w:rFonts w:ascii="Times New Roman" w:hAnsi="Times New Roman" w:eastAsia="宋体"/>
                <w:sz w:val="18"/>
                <w:vertAlign w:val="superscript"/>
              </w:rPr>
              <w:t>[6-10]</w:t>
            </w:r>
          </w:p>
          <w:p w14:paraId="0259D765" w14:textId="77777777" w:rsidR="00121BB8" w:rsidRDefault="00000000">
            <w:pPr>
              <w:widowControl/>
              <w:spacing w:line="324" w:lineRule="auto"/>
              <w:ind w:firstLine="420"/>
            </w:pPr>
            <w:r>
              <w:rPr>
                <w:rFonts w:cs="Arial Unicode MS"/>
              </w:rPr>
              <w:t>云端预测补偿适合处理具有有效时间戳的网络波动，但持续中断要求现场节点保持基本控制能力。固定超时回退只能判断云端命令是否过期，不能回答本地</w:t>
            </w:r>
            <w:r>
              <w:rPr>
                <w:rFonts w:cs="Arial Unicode MS"/>
              </w:rPr>
              <w:t>EC</w:t>
            </w:r>
            <w:r>
              <w:rPr>
                <w:rFonts w:cs="Arial Unicode MS"/>
              </w:rPr>
              <w:t>观测是否可信；当通信异常与传感器偏置、漂移或尖峰同时出现时，直接切换到边缘反馈可能把测量误差转化为错误控制动作。由此，系统需要联合评估通信状态与观测可信度，并据此管理控制权、反馈来源和降级方式。</w:t>
            </w:r>
            <w:r>
              <w:rPr>
                <w:rFonts w:ascii="Times New Roman" w:hAnsi="Times New Roman" w:eastAsia="宋体"/>
                <w:sz w:val="18"/>
                <w:vertAlign w:val="superscript"/>
              </w:rPr>
              <w:t>[11-17]</w:t>
            </w:r>
          </w:p>
          <w:p w14:paraId="4BA8EFBE" w14:textId="77777777" w:rsidR="00121BB8" w:rsidRDefault="00000000">
            <w:pPr>
              <w:widowControl/>
              <w:spacing w:before="60" w:after="20" w:line="324" w:lineRule="auto"/>
            </w:pPr>
            <w:r>
              <w:rPr>
                <w:rFonts w:cs="Arial Unicode MS"/>
              </w:rPr>
              <w:t xml:space="preserve">2. </w:t>
            </w:r>
            <w:r>
              <w:rPr>
                <w:rFonts w:cs="Arial Unicode MS"/>
              </w:rPr>
              <w:t>选题定位</w:t>
            </w:r>
          </w:p>
          <w:p w14:paraId="2B0232C1" w14:textId="77777777" w:rsidR="00121BB8" w:rsidRDefault="00000000">
            <w:pPr>
              <w:widowControl/>
              <w:spacing w:line="324" w:lineRule="auto"/>
              <w:ind w:firstLine="420"/>
            </w:pPr>
            <w:r>
              <w:rPr>
                <w:rFonts w:cs="Arial Unicode MS"/>
              </w:rPr>
              <w:t>本课题以红壤丘陵区设施农业为应用场景，拟设计基于物联网与协同控制的智能水肥一体化管控系统。系统由双</w:t>
            </w:r>
            <w:r>
              <w:rPr>
                <w:rFonts w:cs="Arial Unicode MS"/>
              </w:rPr>
              <w:t>EC</w:t>
            </w:r>
            <w:r>
              <w:rPr>
                <w:rFonts w:cs="Arial Unicode MS"/>
              </w:rPr>
              <w:t>传感与设备状态采集、注肥执行机构、边缘控制节点、</w:t>
            </w:r>
            <w:r>
              <w:rPr>
                <w:rFonts w:cs="Arial Unicode MS"/>
              </w:rPr>
              <w:t>MQTT</w:t>
            </w:r>
            <w:r>
              <w:rPr>
                <w:rFonts w:cs="Arial Unicode MS"/>
              </w:rPr>
              <w:t>通信、云端控制服务、数据存储和管理界面组成；控制层采用风险感知协同控制策略，在</w:t>
            </w:r>
            <w:r>
              <w:rPr>
                <w:rFonts w:cs="Arial Unicode MS"/>
              </w:rPr>
              <w:t>M0</w:t>
            </w:r>
            <w:r>
              <w:rPr>
                <w:rFonts w:cs="Arial Unicode MS"/>
              </w:rPr>
              <w:t>云端预测模式、</w:t>
            </w:r>
            <w:r>
              <w:rPr>
                <w:rFonts w:cs="Arial Unicode MS"/>
              </w:rPr>
              <w:t>M1</w:t>
            </w:r>
            <w:r>
              <w:rPr>
                <w:rFonts w:cs="Arial Unicode MS"/>
              </w:rPr>
              <w:t>边缘控制模式和</w:t>
            </w:r>
            <w:r>
              <w:rPr>
                <w:rFonts w:cs="Arial Unicode MS"/>
              </w:rPr>
              <w:t>M2</w:t>
            </w:r>
            <w:r>
              <w:rPr>
                <w:rFonts w:cs="Arial Unicode MS"/>
              </w:rPr>
              <w:t>模型锚定降级模式之间分配控制权。三种模式共享底层</w:t>
            </w:r>
            <w:r>
              <w:rPr>
                <w:rFonts w:cs="Arial Unicode MS"/>
              </w:rPr>
              <w:t>PI</w:t>
            </w:r>
            <w:r>
              <w:rPr>
                <w:rFonts w:cs="Arial Unicode MS"/>
              </w:rPr>
              <w:t>、饱和、抗积分饱和和动作变化率约束，监督器负责风险计算、模式转换、状态同步与恢复管理。</w:t>
            </w:r>
            <w:r>
              <w:rPr>
                <w:rFonts w:ascii="Times New Roman" w:hAnsi="Times New Roman" w:eastAsia="宋体"/>
                <w:sz w:val="18"/>
                <w:vertAlign w:val="superscript"/>
              </w:rPr>
              <w:t>[18]</w:t>
            </w:r>
          </w:p>
          <w:p w14:paraId="0E61E1B8" w14:textId="77777777" w:rsidR="00121BB8" w:rsidRDefault="00000000">
            <w:pPr>
              <w:widowControl/>
              <w:spacing w:line="324" w:lineRule="auto"/>
              <w:ind w:firstLine="420"/>
            </w:pPr>
            <w:r>
              <w:rPr>
                <w:rFonts w:cs="Arial Unicode MS"/>
              </w:rPr>
              <w:t>研究内容按照系统设计、控制方法和软件实现三个层次展开。系统设计明确传感、通信、控制、执行与审计接口；控制方法研究通信风险、观测风险及三模式状态机；软</w:t>
            </w:r>
            <w:r>
              <w:rPr>
                <w:rFonts w:cs="Arial Unicode MS"/>
              </w:rPr>
              <w:lastRenderedPageBreak/>
              <w:t>件实现建立跨进程</w:t>
            </w:r>
            <w:r>
              <w:rPr>
                <w:rFonts w:cs="Arial Unicode MS"/>
              </w:rPr>
              <w:t>MQTT</w:t>
            </w:r>
            <w:r>
              <w:rPr>
                <w:rFonts w:cs="Arial Unicode MS"/>
              </w:rPr>
              <w:t>消息链、任务与版本记录、控制服务和状态展示。验证工作采用对象参数变化、网络异常、传感异常、机制消融和通信中断时长扫描构成的配对仿真，并通过</w:t>
            </w:r>
            <w:r>
              <w:rPr>
                <w:rFonts w:cs="Arial Unicode MS"/>
              </w:rPr>
              <w:t>MQTT</w:t>
            </w:r>
            <w:r>
              <w:rPr>
                <w:rFonts w:cs="Arial Unicode MS"/>
              </w:rPr>
              <w:t>软件在环检查算法逻辑与跨进程实现的一致性。</w:t>
            </w:r>
          </w:p>
          <w:p w14:paraId="5C1D0DE2" w14:textId="77777777" w:rsidR="00121BB8" w:rsidRDefault="00000000">
            <w:pPr>
              <w:widowControl/>
              <w:spacing w:before="60" w:after="20" w:line="324" w:lineRule="auto"/>
            </w:pPr>
            <w:r>
              <w:rPr>
                <w:rFonts w:cs="Arial Unicode MS"/>
              </w:rPr>
              <w:t xml:space="preserve">3. </w:t>
            </w:r>
            <w:r>
              <w:rPr>
                <w:rFonts w:cs="Arial Unicode MS"/>
              </w:rPr>
              <w:t>研究意义</w:t>
            </w:r>
          </w:p>
          <w:p w14:paraId="61AA8039" w14:textId="77777777" w:rsidR="00121BB8" w:rsidRDefault="00000000">
            <w:pPr>
              <w:widowControl/>
              <w:spacing w:line="324" w:lineRule="auto"/>
              <w:ind w:firstLine="420"/>
            </w:pPr>
            <w:r>
              <w:rPr>
                <w:rFonts w:cs="Arial Unicode MS"/>
              </w:rPr>
              <w:t>本研究将红壤丘陵区的分散生产单元和网络波动作为系统设计场景，关注水肥装备中的控制权管理问题。方法层面把命令时效性与本地观测可信度纳入同一决策过程，使云端计算、边缘响应和异常降级具有明确的切换依据；系统层面统一记录风险、模式、同步、命令和反馈，为控制过程复核、异常定位和后续区域化设备接入建立可追溯的数据基础。</w:t>
            </w:r>
          </w:p>
        </w:tc>
      </w:tr>
    </w:tbl>
    <w:p w14:paraId="32F488CB" w14:textId="748BCA14" w:rsidR="00EB31B3" w:rsidRDefault="00EB31B3">
      <w:pP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18B9763" w14:textId="77777777">
        <w:trPr>
          <w:trHeight w:val="13425"/>
        </w:trPr>
        <w:tc>
          <w:tcPr>
            <w:tcW w:w="8280" w:type="dxa"/>
          </w:tcPr>
          <w:p w14:paraId="6A30A1AB" w14:textId="77777777" w:rsidR="00121BB8" w:rsidRDefault="00000000">
            <w:pPr>
              <w:widowControl/>
              <w:spacing w:after="80" w:line="324" w:lineRule="auto"/>
              <w:jc w:val="left"/>
            </w:pPr>
            <w:r>
              <w:rPr>
                <w:rFonts w:cs="Arial Unicode MS"/>
              </w:rPr>
              <w:lastRenderedPageBreak/>
              <w:t>二、国内外研究现状述评与趋势展望</w:t>
            </w:r>
          </w:p>
          <w:p w14:paraId="66B719BA" w14:textId="77777777" w:rsidR="00121BB8" w:rsidRDefault="00000000">
            <w:pPr>
              <w:widowControl/>
              <w:spacing w:before="60" w:after="20" w:line="324" w:lineRule="auto"/>
            </w:pPr>
            <w:r>
              <w:rPr>
                <w:rFonts w:cs="Arial Unicode MS"/>
              </w:rPr>
              <w:t xml:space="preserve">1. </w:t>
            </w:r>
            <w:r>
              <w:rPr>
                <w:rFonts w:cs="Arial Unicode MS"/>
              </w:rPr>
              <w:t>水肥装备与</w:t>
            </w:r>
            <w:r>
              <w:rPr>
                <w:rFonts w:cs="Arial Unicode MS"/>
              </w:rPr>
              <w:t>EC</w:t>
            </w:r>
            <w:r>
              <w:rPr>
                <w:rFonts w:cs="Arial Unicode MS"/>
              </w:rPr>
              <w:t>闭环控制</w:t>
            </w:r>
          </w:p>
          <w:p w14:paraId="1962D109" w14:textId="77777777" w:rsidR="00121BB8" w:rsidRDefault="00000000">
            <w:pPr>
              <w:widowControl/>
              <w:spacing w:line="324" w:lineRule="auto"/>
              <w:ind w:firstLine="420"/>
            </w:pPr>
            <w:r>
              <w:rPr>
                <w:rFonts w:cs="Arial Unicode MS"/>
              </w:rPr>
              <w:t>水肥一体化装备的研究重点已由定量注肥逐步扩展到多通道混配、营养液</w:t>
            </w:r>
            <w:r>
              <w:rPr>
                <w:rFonts w:cs="Arial Unicode MS"/>
              </w:rPr>
              <w:t>EC</w:t>
            </w:r>
            <w:r>
              <w:rPr>
                <w:rFonts w:cs="Arial Unicode MS"/>
              </w:rPr>
              <w:t>与</w:t>
            </w:r>
            <w:r>
              <w:rPr>
                <w:rFonts w:cs="Arial Unicode MS"/>
              </w:rPr>
              <w:t>pH</w:t>
            </w:r>
            <w:r>
              <w:rPr>
                <w:rFonts w:cs="Arial Unicode MS"/>
              </w:rPr>
              <w:t>监测、自动控制和远程管理。围绕</w:t>
            </w:r>
            <w:r>
              <w:rPr>
                <w:rFonts w:cs="Arial Unicode MS"/>
              </w:rPr>
              <w:t>EC</w:t>
            </w:r>
            <w:r>
              <w:rPr>
                <w:rFonts w:cs="Arial Unicode MS"/>
              </w:rPr>
              <w:t>动态调节，模型控制、系统辨识、模糊</w:t>
            </w:r>
            <w:r>
              <w:rPr>
                <w:rFonts w:cs="Arial Unicode MS"/>
              </w:rPr>
              <w:t>PID</w:t>
            </w:r>
            <w:r>
              <w:rPr>
                <w:rFonts w:cs="Arial Unicode MS"/>
              </w:rPr>
              <w:t>及自适应</w:t>
            </w:r>
            <w:r>
              <w:rPr>
                <w:rFonts w:cs="Arial Unicode MS"/>
              </w:rPr>
              <w:t>PI</w:t>
            </w:r>
            <w:r>
              <w:rPr>
                <w:rFonts w:cs="Arial Unicode MS"/>
              </w:rPr>
              <w:t>等方法主要解决对象参数变化和跟踪精度问题。相关工作确立了</w:t>
            </w:r>
            <w:r>
              <w:rPr>
                <w:rFonts w:cs="Arial Unicode MS"/>
              </w:rPr>
              <w:t>EC</w:t>
            </w:r>
            <w:r>
              <w:rPr>
                <w:rFonts w:cs="Arial Unicode MS"/>
              </w:rPr>
              <w:t>作为混肥过程关键反馈量的作用，但研究对象通常集中在设备本体与底层控制器，网络化部署引起的控制权转移尚未形成统一处理框架。</w:t>
            </w:r>
            <w:r>
              <w:rPr>
                <w:rFonts w:ascii="Times New Roman" w:hAnsi="Times New Roman" w:eastAsia="宋体"/>
                <w:sz w:val="18"/>
                <w:vertAlign w:val="superscript"/>
              </w:rPr>
              <w:t>[6-10,19-24]</w:t>
            </w:r>
          </w:p>
          <w:p w14:paraId="7EF9FF49" w14:textId="77777777" w:rsidR="00121BB8" w:rsidRDefault="00000000">
            <w:pPr>
              <w:widowControl/>
              <w:spacing w:before="60" w:after="20" w:line="324" w:lineRule="auto"/>
            </w:pPr>
            <w:r>
              <w:rPr>
                <w:rFonts w:cs="Arial Unicode MS"/>
              </w:rPr>
              <w:t xml:space="preserve">2. </w:t>
            </w:r>
            <w:r>
              <w:rPr>
                <w:rFonts w:cs="Arial Unicode MS"/>
              </w:rPr>
              <w:t>网络化控制与边云协同</w:t>
            </w:r>
          </w:p>
          <w:p w14:paraId="57C39C7D" w14:textId="77777777" w:rsidR="00121BB8" w:rsidRDefault="00000000">
            <w:pPr>
              <w:widowControl/>
              <w:spacing w:line="324" w:lineRule="auto"/>
              <w:ind w:firstLine="420"/>
            </w:pPr>
            <w:r>
              <w:rPr>
                <w:rFonts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r>
              <w:rPr>
                <w:rFonts w:ascii="Times New Roman" w:hAnsi="Times New Roman" w:eastAsia="宋体"/>
                <w:sz w:val="18"/>
                <w:vertAlign w:val="superscript"/>
              </w:rPr>
              <w:t>[11-17,25-26]</w:t>
            </w:r>
          </w:p>
          <w:p w14:paraId="065742C0" w14:textId="77777777" w:rsidR="00121BB8" w:rsidRDefault="00000000">
            <w:pPr>
              <w:widowControl/>
              <w:spacing w:line="324" w:lineRule="auto"/>
              <w:ind w:firstLine="420"/>
            </w:pPr>
            <w:r>
              <w:rPr>
                <w:rFonts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r>
              <w:rPr>
                <w:rFonts w:ascii="Times New Roman" w:hAnsi="Times New Roman" w:eastAsia="宋体"/>
                <w:sz w:val="18"/>
                <w:vertAlign w:val="superscript"/>
              </w:rPr>
              <w:t>[27]</w:t>
            </w:r>
          </w:p>
          <w:p w14:paraId="5CA88355" w14:textId="77777777" w:rsidR="00121BB8" w:rsidRDefault="00000000">
            <w:pPr>
              <w:widowControl/>
              <w:spacing w:before="60" w:after="20" w:line="324" w:lineRule="auto"/>
            </w:pPr>
            <w:r>
              <w:rPr>
                <w:rFonts w:cs="Arial Unicode MS"/>
              </w:rPr>
              <w:t xml:space="preserve">3. </w:t>
            </w:r>
            <w:r>
              <w:rPr>
                <w:rFonts w:cs="Arial Unicode MS"/>
              </w:rPr>
              <w:t>传感异常与可信监督</w:t>
            </w:r>
          </w:p>
          <w:p w14:paraId="47C34DF0" w14:textId="77777777" w:rsidR="00121BB8" w:rsidRDefault="00000000">
            <w:pPr>
              <w:widowControl/>
              <w:spacing w:line="324" w:lineRule="auto"/>
              <w:ind w:firstLine="420"/>
            </w:pPr>
            <w:r>
              <w:rPr>
                <w:rFonts w:cs="Arial Unicode MS"/>
              </w:rPr>
              <w:t>EC</w:t>
            </w:r>
            <w:r>
              <w:rPr>
                <w:rFonts w:cs="Arial Unicode MS"/>
              </w:rPr>
              <w:t>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w:t>
            </w:r>
            <w:r>
              <w:rPr>
                <w:rFonts w:cs="Arial Unicode MS"/>
              </w:rPr>
              <w:lastRenderedPageBreak/>
              <w:t>标，而不能直接替代故障分类；共同漂移仍需独立参考测量、在线校准或异构过程信息辅助识别。</w:t>
            </w:r>
            <w:r>
              <w:rPr>
                <w:rFonts w:ascii="Times New Roman" w:hAnsi="Times New Roman" w:eastAsia="宋体"/>
                <w:sz w:val="18"/>
                <w:vertAlign w:val="superscript"/>
              </w:rPr>
              <w:t>[28-35]</w:t>
            </w:r>
          </w:p>
          <w:p w14:paraId="2A91C5E8" w14:textId="77777777" w:rsidR="00121BB8" w:rsidRDefault="00000000">
            <w:pPr>
              <w:widowControl/>
              <w:spacing w:before="60" w:after="20" w:line="324" w:lineRule="auto"/>
            </w:pPr>
            <w:r>
              <w:rPr>
                <w:rFonts w:cs="Arial Unicode MS"/>
              </w:rPr>
              <w:t xml:space="preserve">4. </w:t>
            </w:r>
            <w:r>
              <w:rPr>
                <w:rFonts w:cs="Arial Unicode MS"/>
              </w:rPr>
              <w:t>研究述评与趋势</w:t>
            </w:r>
          </w:p>
          <w:p w14:paraId="35622754" w14:textId="77777777" w:rsidR="00121BB8" w:rsidRDefault="00000000">
            <w:pPr>
              <w:widowControl/>
              <w:spacing w:line="324" w:lineRule="auto"/>
              <w:ind w:firstLine="420"/>
            </w:pPr>
            <w:r>
              <w:rPr>
                <w:rFonts w:cs="Arial Unicode MS"/>
              </w:rPr>
              <w:t>现有研究分别覆盖水肥装备、</w:t>
            </w:r>
            <w:r>
              <w:rPr>
                <w:rFonts w:cs="Arial Unicode MS"/>
              </w:rPr>
              <w:t>EC</w:t>
            </w:r>
            <w:r>
              <w:rPr>
                <w:rFonts w:cs="Arial Unicode MS"/>
              </w:rPr>
              <w:t>底层控制、网络补偿、边缘计算和传感故障诊断，但这些环节之间仍缺少面向同一闭环任务的控制权监督与软件实现。基于这一缺口，本课题按照</w:t>
            </w:r>
            <w:r>
              <w:rPr>
                <w:rFonts w:cs="Arial Unicode MS"/>
              </w:rPr>
              <w:t>“</w:t>
            </w:r>
            <w:r>
              <w:rPr>
                <w:rFonts w:cs="Arial Unicode MS"/>
              </w:rPr>
              <w:t>双风险评估</w:t>
            </w:r>
            <w:r>
              <w:rPr>
                <w:rFonts w:cs="Arial Unicode MS"/>
              </w:rPr>
              <w:t>—</w:t>
            </w:r>
            <w:r>
              <w:rPr>
                <w:rFonts w:cs="Arial Unicode MS"/>
              </w:rPr>
              <w:t>三模式分配</w:t>
            </w:r>
            <w:r>
              <w:rPr>
                <w:rFonts w:cs="Arial Unicode MS"/>
              </w:rPr>
              <w:t>—</w:t>
            </w:r>
            <w:r>
              <w:rPr>
                <w:rFonts w:cs="Arial Unicode MS"/>
              </w:rPr>
              <w:t>无扰切换</w:t>
            </w:r>
            <w:r>
              <w:rPr>
                <w:rFonts w:cs="Arial Unicode MS"/>
              </w:rPr>
              <w:t>—MQTT</w:t>
            </w:r>
            <w:r>
              <w:rPr>
                <w:rFonts w:cs="Arial Unicode MS"/>
              </w:rPr>
              <w:t>实现</w:t>
            </w:r>
            <w:r>
              <w:rPr>
                <w:rFonts w:cs="Arial Unicode MS"/>
              </w:rPr>
              <w:t>—</w:t>
            </w:r>
            <w:r>
              <w:rPr>
                <w:rFonts w:cs="Arial Unicode MS"/>
              </w:rPr>
              <w:t>分层验证</w:t>
            </w:r>
            <w:r>
              <w:rPr>
                <w:rFonts w:cs="Arial Unicode MS"/>
              </w:rPr>
              <w:t>”</w:t>
            </w:r>
            <w:r>
              <w:rPr>
                <w:rFonts w:cs="Arial Unicode MS"/>
              </w:rPr>
              <w:t>组织研究，使系统架构、控制方法和验证证据围绕同一问题展开。</w:t>
            </w:r>
            <w:r>
              <w:rPr>
                <w:rFonts w:ascii="Times New Roman" w:hAnsi="Times New Roman" w:eastAsia="宋体"/>
                <w:sz w:val="18"/>
                <w:vertAlign w:val="superscript"/>
              </w:rPr>
              <w:t>[36]</w:t>
            </w:r>
          </w:p>
        </w:tc>
      </w:tr>
    </w:tbl>
    <w:p w14:paraId="333B6A96"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00903997" w14:textId="77777777">
        <w:trPr>
          <w:trHeight w:val="13425"/>
        </w:trPr>
        <w:tc>
          <w:tcPr>
            <w:tcW w:w="8100" w:type="dxa"/>
          </w:tcPr>
          <w:p w14:paraId="0974CA1F" w14:textId="77777777" w:rsidR="00121BB8" w:rsidRDefault="00000000">
            <w:pPr>
              <w:widowControl/>
              <w:spacing w:after="80" w:line="324" w:lineRule="auto"/>
              <w:jc w:val="left"/>
            </w:pPr>
            <w:r>
              <w:rPr>
                <w:rFonts w:cs="Arial Unicode MS"/>
              </w:rPr>
              <w:lastRenderedPageBreak/>
              <w:t>三、研究目标、主要研究内容与拟解决的关键问题</w:t>
            </w:r>
          </w:p>
          <w:p w14:paraId="607AC1A1" w14:textId="77777777" w:rsidR="00121BB8" w:rsidRDefault="00000000">
            <w:pPr>
              <w:widowControl/>
              <w:spacing w:before="60" w:after="20" w:line="324" w:lineRule="auto"/>
            </w:pPr>
            <w:r>
              <w:rPr>
                <w:rFonts w:cs="Arial Unicode MS"/>
              </w:rPr>
              <w:t xml:space="preserve">1. </w:t>
            </w:r>
            <w:r>
              <w:rPr>
                <w:rFonts w:cs="Arial Unicode MS"/>
              </w:rPr>
              <w:t>总体目标</w:t>
            </w:r>
          </w:p>
          <w:p w14:paraId="60632A6F" w14:textId="77777777" w:rsidR="00121BB8" w:rsidRDefault="00000000">
            <w:pPr>
              <w:widowControl/>
              <w:spacing w:line="324" w:lineRule="auto"/>
              <w:ind w:firstLine="420"/>
            </w:pPr>
            <w:r>
              <w:rPr>
                <w:rFonts w:cs="Arial Unicode MS"/>
              </w:rPr>
              <w:t>总体目标是面向红壤丘陵区设施农业应用，设计并实现基于物联网与协同控制的智能水肥一体化管控系统，形成从双</w:t>
            </w:r>
            <w:r>
              <w:rPr>
                <w:rFonts w:cs="Arial Unicode MS"/>
              </w:rPr>
              <w:t>EC</w:t>
            </w:r>
            <w:r>
              <w:rPr>
                <w:rFonts w:cs="Arial Unicode MS"/>
              </w:rPr>
              <w:t>与设备状态采集、混肥对象建模、云端预测、边缘控制、模型锚定降级、风险监督和无扰切换，到</w:t>
            </w:r>
            <w:r>
              <w:rPr>
                <w:rFonts w:cs="Arial Unicode MS"/>
              </w:rPr>
              <w:t>MQTT</w:t>
            </w:r>
            <w:r>
              <w:rPr>
                <w:rFonts w:cs="Arial Unicode MS"/>
              </w:rPr>
              <w:t>通信与任务审计的完整技术链。研究将通过预先规定的仿真与软件在环协议，评价通信异常与传感异常并发条件下的</w:t>
            </w:r>
            <w:r>
              <w:rPr>
                <w:rFonts w:cs="Arial Unicode MS"/>
              </w:rPr>
              <w:t>EC</w:t>
            </w:r>
            <w:r>
              <w:rPr>
                <w:rFonts w:cs="Arial Unicode MS"/>
              </w:rPr>
              <w:t>调节性能、执行器动作代价和模式切换平滑性，并界定系统适用范围。</w:t>
            </w:r>
          </w:p>
          <w:p w14:paraId="575FC235" w14:textId="77777777" w:rsidR="00121BB8" w:rsidRDefault="00000000">
            <w:pPr>
              <w:snapToGrid w:val="0"/>
              <w:spacing w:after="80" w:line="324" w:lineRule="auto"/>
              <w:ind w:firstLine="420"/>
            </w:pPr>
            <w:r>
              <w:t>系统总体架构由边缘感知与执行、</w:t>
            </w:r>
            <w:r>
              <w:t>MQTT</w:t>
            </w:r>
            <w:r>
              <w:t>通信、云端服务、风险监督、数据存储和管理界面构成。边缘侧负责双</w:t>
            </w:r>
            <w:r>
              <w:t>EC</w:t>
            </w:r>
            <w:r>
              <w:t>、流量、压力、液位和执行器状态的时间戳标记、质量检查与预处理；云端负责预测补偿、模型版本管理和任务编排；监督器依据通信风险与观测风险选择</w:t>
            </w:r>
            <w:r>
              <w:t>M0</w:t>
            </w:r>
            <w:r>
              <w:t>、</w:t>
            </w:r>
            <w:r>
              <w:t>M1</w:t>
            </w:r>
            <w:r>
              <w:t>或</w:t>
            </w:r>
            <w:r>
              <w:t>M2</w:t>
            </w:r>
            <w:r>
              <w:t>。数据库记录观测、风险、模式、命令、反馈和版本，管理界面呈现实时状态、告警与历史任务。</w:t>
            </w:r>
          </w:p>
          <w:p w14:paraId="0FAA5BF3" w14:textId="77777777" w:rsidR="00121BB8" w:rsidRDefault="00000000">
            <w:pPr>
              <w:widowControl/>
              <w:spacing w:before="60" w:after="20" w:line="324" w:lineRule="auto"/>
            </w:pPr>
            <w:r>
              <w:rPr>
                <w:rFonts w:cs="Arial Unicode MS"/>
              </w:rPr>
              <w:t xml:space="preserve">2. </w:t>
            </w:r>
            <w:r>
              <w:rPr>
                <w:rFonts w:cs="Arial Unicode MS"/>
              </w:rPr>
              <w:t>主要研究内容及交付物</w:t>
            </w:r>
          </w:p>
          <w:p w14:paraId="159633F3" w14:textId="77777777" w:rsidR="00121BB8" w:rsidRDefault="00000000">
            <w:pPr>
              <w:widowControl/>
              <w:spacing w:line="324" w:lineRule="auto"/>
            </w:pPr>
            <w:r>
              <w:rPr>
                <w:rFonts w:ascii="Times New Roman" w:hAnsi="Times New Roman" w:eastAsia="宋体"/>
                <w:sz w:val="24"/>
              </w:rPr>
              <w:t>（1）系统总体设计。结合红壤丘陵区生产单元分散、通信链路波动和设备运行条件差异，划分感知与执行、边缘控制、通信、云端服务、数据管理和用户交互模块；规定EC、设备状态、控制命令、模式事件和执行反馈的数据结构，明确模块接口、消息方向和任务流程。</w:t>
            </w:r>
          </w:p>
          <w:p w14:paraId="3E53AD5F" w14:textId="77777777" w:rsidR="00121BB8" w:rsidRDefault="00000000">
            <w:pPr>
              <w:widowControl/>
              <w:spacing w:line="324" w:lineRule="auto"/>
            </w:pPr>
            <w:r>
              <w:rPr>
                <w:rFonts w:ascii="Times New Roman" w:hAnsi="Times New Roman" w:eastAsia="宋体"/>
                <w:sz w:val="24"/>
              </w:rPr>
              <w:t>（2）混肥EC对象建模与底层控制。建立注肥输入至EC偏差的一阶惯性纯滞后模型，设置参数扰动、执行器饱和与动作变化率约束；实现共享的离散PI、抗积分饱和云端时间戳预测补偿，为各监督策略提供统一控制基础。</w:t>
            </w:r>
          </w:p>
          <w:p w14:paraId="2B2EE2EA" w14:textId="77777777" w:rsidR="00121BB8" w:rsidRDefault="00000000">
            <w:pPr>
              <w:widowControl/>
              <w:spacing w:line="324" w:lineRule="auto"/>
            </w:pPr>
            <w:r>
              <w:rPr>
                <w:rFonts w:cs="Arial Unicode MS"/>
              </w:rPr>
              <w:t>（</w:t>
            </w:r>
            <w:r>
              <w:rPr>
                <w:rFonts w:cs="Arial Unicode MS"/>
              </w:rPr>
              <w:t>3</w:t>
            </w:r>
            <w:r>
              <w:rPr>
                <w:rFonts w:cs="Arial Unicode MS"/>
              </w:rPr>
              <w:t>）风险感知边云监督控制。根据命令年龄、时延</w:t>
            </w:r>
            <w:r>
              <w:rPr>
                <w:rFonts w:cs="Arial Unicode MS"/>
              </w:rPr>
              <w:t>EWMA</w:t>
            </w:r>
            <w:r>
              <w:rPr>
                <w:rFonts w:cs="Arial Unicode MS"/>
              </w:rPr>
              <w:t>和窗口丢包率计算通信风险，根据双</w:t>
            </w:r>
            <w:r>
              <w:rPr>
                <w:rFonts w:cs="Arial Unicode MS"/>
              </w:rPr>
              <w:t>EC</w:t>
            </w:r>
            <w:r>
              <w:rPr>
                <w:rFonts w:cs="Arial Unicode MS"/>
              </w:rPr>
              <w:t>传感器差异和模型残差计算观测风险；构建</w:t>
            </w:r>
            <w:r>
              <w:rPr>
                <w:rFonts w:cs="Arial Unicode MS"/>
              </w:rPr>
              <w:t>M0</w:t>
            </w:r>
            <w:r>
              <w:rPr>
                <w:rFonts w:cs="Arial Unicode MS"/>
              </w:rPr>
              <w:t>云端预测、</w:t>
            </w:r>
            <w:r>
              <w:rPr>
                <w:rFonts w:cs="Arial Unicode MS"/>
              </w:rPr>
              <w:t>M1</w:t>
            </w:r>
            <w:r>
              <w:rPr>
                <w:rFonts w:cs="Arial Unicode MS"/>
              </w:rPr>
              <w:t>边缘控</w:t>
            </w:r>
            <w:r>
              <w:rPr>
                <w:rFonts w:cs="Arial Unicode MS"/>
              </w:rPr>
              <w:lastRenderedPageBreak/>
              <w:t>制和</w:t>
            </w:r>
            <w:r>
              <w:rPr>
                <w:rFonts w:cs="Arial Unicode MS"/>
              </w:rPr>
              <w:t>M2</w:t>
            </w:r>
            <w:r>
              <w:rPr>
                <w:rFonts w:cs="Arial Unicode MS"/>
              </w:rPr>
              <w:t>模型锚定降级三模式状态机，并设计滞回、驻留时间、恢复确认和状态同步机制。</w:t>
            </w:r>
          </w:p>
          <w:p w14:paraId="40C3F6D6"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w:t>
            </w:r>
            <w:r>
              <w:rPr>
                <w:rFonts w:cs="Arial Unicode MS"/>
              </w:rPr>
              <w:t>与管控软件实现。采用</w:t>
            </w:r>
            <w:r>
              <w:rPr>
                <w:rFonts w:cs="Arial Unicode MS"/>
              </w:rPr>
              <w:t>Python</w:t>
            </w:r>
            <w:r>
              <w:rPr>
                <w:rFonts w:cs="Arial Unicode MS"/>
              </w:rPr>
              <w:t>开发对象仿真、边缘监督、云端控制和评价模块，以</w:t>
            </w:r>
            <w:r>
              <w:rPr>
                <w:rFonts w:cs="Arial Unicode MS"/>
              </w:rPr>
              <w:t>MQTT 3.1.1</w:t>
            </w:r>
            <w:r>
              <w:rPr>
                <w:rFonts w:cs="Arial Unicode MS"/>
              </w:rPr>
              <w:t>组织发布订阅与</w:t>
            </w:r>
            <w:r>
              <w:rPr>
                <w:rFonts w:cs="Arial Unicode MS"/>
              </w:rPr>
              <w:t>QoS 1</w:t>
            </w:r>
            <w:r>
              <w:rPr>
                <w:rFonts w:cs="Arial Unicode MS"/>
              </w:rPr>
              <w:t>消息传输，以</w:t>
            </w:r>
            <w:r>
              <w:rPr>
                <w:rFonts w:cs="Arial Unicode MS"/>
              </w:rPr>
              <w:t>SQLite</w:t>
            </w:r>
            <w:r>
              <w:rPr>
                <w:rFonts w:cs="Arial Unicode MS"/>
              </w:rPr>
              <w:t>或关系数据库保存任务、参数和事件；管理端展示</w:t>
            </w:r>
            <w:r>
              <w:rPr>
                <w:rFonts w:cs="Arial Unicode MS"/>
              </w:rPr>
              <w:t>EC</w:t>
            </w:r>
            <w:r>
              <w:rPr>
                <w:rFonts w:cs="Arial Unicode MS"/>
              </w:rPr>
              <w:t>、风险分量、控制模式、命令反馈、告警和评价结果。</w:t>
            </w:r>
          </w:p>
          <w:p w14:paraId="38E142B0" w14:textId="77777777" w:rsidR="00121BB8" w:rsidRDefault="00000000">
            <w:pPr>
              <w:widowControl/>
              <w:spacing w:line="324" w:lineRule="auto"/>
            </w:pPr>
            <w:r>
              <w:rPr>
                <w:rFonts w:cs="Arial Unicode MS"/>
              </w:rPr>
              <w:t>（</w:t>
            </w:r>
            <w:r>
              <w:rPr>
                <w:rFonts w:cs="Arial Unicode MS"/>
              </w:rPr>
              <w:t>5</w:t>
            </w:r>
            <w:r>
              <w:rPr>
                <w:rFonts w:cs="Arial Unicode MS"/>
              </w:rPr>
              <w:t>）分层验证与适用范围分析。组合设置对象参数变化、网络时延与丢包、通信中断、传感器偏置、漂移、尖峰和共同漂移，开展基线比较、固定阈值回退比较、机制消融、中断时长扫描和</w:t>
            </w:r>
            <w:r>
              <w:rPr>
                <w:rFonts w:cs="Arial Unicode MS"/>
              </w:rPr>
              <w:t>MQTT</w:t>
            </w:r>
            <w:r>
              <w:rPr>
                <w:rFonts w:cs="Arial Unicode MS"/>
              </w:rPr>
              <w:t>软件在环，分析模型失配、观测异常和执行器约束对系统性能的影响。</w:t>
            </w:r>
          </w:p>
          <w:p w14:paraId="34C836B3" w14:textId="77777777" w:rsidR="00121BB8" w:rsidRDefault="00000000">
            <w:pPr>
              <w:widowControl/>
              <w:spacing w:before="60" w:after="20" w:line="324" w:lineRule="auto"/>
            </w:pPr>
            <w:r>
              <w:rPr>
                <w:rFonts w:cs="Arial Unicode MS"/>
              </w:rPr>
              <w:t xml:space="preserve">3. </w:t>
            </w:r>
            <w:r>
              <w:rPr>
                <w:rFonts w:cs="Arial Unicode MS"/>
              </w:rPr>
              <w:t>拟解决的关键问题</w:t>
            </w:r>
          </w:p>
          <w:p w14:paraId="7FE745EB" w14:textId="77777777" w:rsidR="00121BB8" w:rsidRDefault="00000000">
            <w:pPr>
              <w:widowControl/>
              <w:spacing w:line="324" w:lineRule="auto"/>
            </w:pPr>
            <w:r>
              <w:rPr>
                <w:rFonts w:cs="Arial Unicode MS"/>
              </w:rPr>
              <w:t>（</w:t>
            </w:r>
            <w:r>
              <w:rPr>
                <w:rFonts w:cs="Arial Unicode MS"/>
              </w:rPr>
              <w:t>1</w:t>
            </w:r>
            <w:r>
              <w:rPr>
                <w:rFonts w:cs="Arial Unicode MS"/>
              </w:rPr>
              <w:t>）如何把通信状态和本地</w:t>
            </w:r>
            <w:r>
              <w:rPr>
                <w:rFonts w:cs="Arial Unicode MS"/>
              </w:rPr>
              <w:t>EC</w:t>
            </w:r>
            <w:r>
              <w:rPr>
                <w:rFonts w:cs="Arial Unicode MS"/>
              </w:rPr>
              <w:t>观测可信度转化为可在线计算、可解释的控制权分配依据。</w:t>
            </w:r>
          </w:p>
          <w:p w14:paraId="667240DB" w14:textId="77777777" w:rsidR="00121BB8" w:rsidRDefault="00000000">
            <w:pPr>
              <w:widowControl/>
              <w:spacing w:line="324" w:lineRule="auto"/>
            </w:pPr>
            <w:r>
              <w:rPr>
                <w:rFonts w:cs="Arial Unicode MS"/>
              </w:rPr>
              <w:t>（</w:t>
            </w:r>
            <w:r>
              <w:rPr>
                <w:rFonts w:cs="Arial Unicode MS"/>
              </w:rPr>
              <w:t>2</w:t>
            </w:r>
            <w:r>
              <w:rPr>
                <w:rFonts w:cs="Arial Unicode MS"/>
              </w:rPr>
              <w:t>）如何在云端预测、边缘控制和降级控制之间实现稳定切换，并避免积分状态不一致和陈旧命令引起的执行器冲击。</w:t>
            </w:r>
          </w:p>
          <w:p w14:paraId="482EEE65" w14:textId="77777777" w:rsidR="00121BB8" w:rsidRDefault="00000000">
            <w:pPr>
              <w:widowControl/>
              <w:spacing w:line="324" w:lineRule="auto"/>
            </w:pPr>
            <w:r>
              <w:rPr>
                <w:rFonts w:cs="Arial Unicode MS"/>
              </w:rPr>
              <w:t>（</w:t>
            </w:r>
            <w:r>
              <w:rPr>
                <w:rFonts w:cs="Arial Unicode MS"/>
              </w:rPr>
              <w:t>3</w:t>
            </w:r>
            <w:r>
              <w:rPr>
                <w:rFonts w:cs="Arial Unicode MS"/>
              </w:rPr>
              <w:t>）如何在相同对象、网络、传感扰动和执行器约束下评价监督策略的跟踪收益、尾部风险和动作代价。</w:t>
            </w:r>
          </w:p>
          <w:p w14:paraId="4B7C748E" w14:textId="77777777" w:rsidR="00121BB8" w:rsidRDefault="00000000">
            <w:pPr>
              <w:widowControl/>
              <w:spacing w:line="324" w:lineRule="auto"/>
            </w:pPr>
            <w:r>
              <w:rPr>
                <w:rFonts w:cs="Arial Unicode MS"/>
              </w:rPr>
              <w:t>（</w:t>
            </w:r>
            <w:r>
              <w:rPr>
                <w:rFonts w:cs="Arial Unicode MS"/>
              </w:rPr>
              <w:t>4</w:t>
            </w:r>
            <w:r>
              <w:rPr>
                <w:rFonts w:cs="Arial Unicode MS"/>
              </w:rPr>
              <w:t>）如何通过</w:t>
            </w:r>
            <w:r>
              <w:rPr>
                <w:rFonts w:cs="Arial Unicode MS"/>
              </w:rPr>
              <w:t>MQTT</w:t>
            </w:r>
            <w:r>
              <w:rPr>
                <w:rFonts w:cs="Arial Unicode MS"/>
              </w:rPr>
              <w:t>消息语义、任务版本和事件审计保证参考算法与跨进程实现的一致性。</w:t>
            </w:r>
          </w:p>
        </w:tc>
      </w:tr>
    </w:tbl>
    <w:p w14:paraId="37FE0CB4"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432A4C72" w14:textId="77777777">
        <w:trPr>
          <w:trHeight w:val="13725"/>
        </w:trPr>
        <w:tc>
          <w:tcPr>
            <w:tcW w:w="8100" w:type="dxa"/>
          </w:tcPr>
          <w:p w14:paraId="283A2DBC" w14:textId="77777777" w:rsidR="00121BB8" w:rsidRDefault="00000000">
            <w:pPr>
              <w:keepNext/>
              <w:widowControl/>
              <w:spacing w:after="80" w:line="324" w:lineRule="auto"/>
              <w:jc w:val="left"/>
            </w:pPr>
            <w:r>
              <w:rPr>
                <w:rFonts w:cs="Arial Unicode MS"/>
              </w:rPr>
              <w:lastRenderedPageBreak/>
              <w:t>四、研究思路与方法</w:t>
            </w:r>
          </w:p>
          <w:p w14:paraId="5AF94A28" w14:textId="77777777" w:rsidR="00121BB8" w:rsidRDefault="00000000">
            <w:pPr>
              <w:keepNext/>
              <w:widowControl/>
              <w:spacing w:before="60" w:after="20" w:line="324" w:lineRule="auto"/>
            </w:pPr>
            <w:r>
              <w:rPr>
                <w:rFonts w:cs="Arial Unicode MS"/>
              </w:rPr>
              <w:t xml:space="preserve">1. </w:t>
            </w:r>
            <w:r>
              <w:rPr>
                <w:rFonts w:cs="Arial Unicode MS"/>
              </w:rPr>
              <w:t>总体技术路线</w:t>
            </w:r>
          </w:p>
          <w:p w14:paraId="289EB79A" w14:textId="77777777" w:rsidR="00121BB8" w:rsidRDefault="00000000">
            <w:pPr>
              <w:widowControl/>
              <w:spacing w:line="324" w:lineRule="auto"/>
              <w:ind w:firstLine="420"/>
            </w:pPr>
            <w:r>
              <w:rPr>
                <w:rFonts w:cs="Arial Unicode MS"/>
              </w:rPr>
              <w:t>研究按照</w:t>
            </w:r>
            <w:r>
              <w:rPr>
                <w:rFonts w:cs="Arial Unicode MS"/>
              </w:rPr>
              <w:t>“</w:t>
            </w:r>
            <w:r>
              <w:rPr>
                <w:rFonts w:cs="Arial Unicode MS"/>
              </w:rPr>
              <w:t>区域应用约束与对象定义</w:t>
            </w:r>
            <w:r>
              <w:rPr>
                <w:rFonts w:cs="Arial Unicode MS"/>
              </w:rPr>
              <w:t>—</w:t>
            </w:r>
            <w:r>
              <w:rPr>
                <w:rFonts w:cs="Arial Unicode MS"/>
              </w:rPr>
              <w:t>混肥模型</w:t>
            </w:r>
            <w:r>
              <w:rPr>
                <w:rFonts w:cs="Arial Unicode MS"/>
              </w:rPr>
              <w:t>—</w:t>
            </w:r>
            <w:r>
              <w:rPr>
                <w:rFonts w:cs="Arial Unicode MS"/>
              </w:rPr>
              <w:t>公共底层</w:t>
            </w:r>
            <w:r>
              <w:rPr>
                <w:rFonts w:cs="Arial Unicode MS"/>
              </w:rPr>
              <w:t>PI—</w:t>
            </w:r>
            <w:r>
              <w:rPr>
                <w:rFonts w:cs="Arial Unicode MS"/>
              </w:rPr>
              <w:t>通信与观测风险</w:t>
            </w:r>
            <w:r>
              <w:rPr>
                <w:rFonts w:cs="Arial Unicode MS"/>
              </w:rPr>
              <w:t>—</w:t>
            </w:r>
            <w:r>
              <w:rPr>
                <w:rFonts w:cs="Arial Unicode MS"/>
              </w:rPr>
              <w:t>三模式监督</w:t>
            </w:r>
            <w:r>
              <w:rPr>
                <w:rFonts w:cs="Arial Unicode MS"/>
              </w:rPr>
              <w:t>—</w:t>
            </w:r>
            <w:r>
              <w:rPr>
                <w:rFonts w:cs="Arial Unicode MS"/>
              </w:rPr>
              <w:t>无扰切换</w:t>
            </w:r>
            <w:r>
              <w:rPr>
                <w:rFonts w:cs="Arial Unicode MS"/>
              </w:rPr>
              <w:t>—</w:t>
            </w:r>
            <w:r>
              <w:rPr>
                <w:rFonts w:cs="Arial Unicode MS"/>
              </w:rPr>
              <w:t>配对仿真</w:t>
            </w:r>
            <w:r>
              <w:rPr>
                <w:rFonts w:cs="Arial Unicode MS"/>
              </w:rPr>
              <w:t>—MQTT</w:t>
            </w:r>
            <w:r>
              <w:rPr>
                <w:rFonts w:cs="Arial Unicode MS"/>
              </w:rPr>
              <w:t>软件在环</w:t>
            </w:r>
            <w:r>
              <w:rPr>
                <w:rFonts w:cs="Arial Unicode MS"/>
              </w:rPr>
              <w:t>—</w:t>
            </w:r>
            <w:r>
              <w:rPr>
                <w:rFonts w:cs="Arial Unicode MS"/>
              </w:rPr>
              <w:t>系统集成</w:t>
            </w:r>
            <w:r>
              <w:rPr>
                <w:rFonts w:cs="Arial Unicode MS"/>
              </w:rPr>
              <w:t>”</w:t>
            </w:r>
            <w:r>
              <w:rPr>
                <w:rFonts w:cs="Arial Unicode MS"/>
              </w:rPr>
              <w:t>的顺序推进。红壤丘陵区在本研究中作为系统需求和工况组织的应用场景，各比较方法共享对象日程、底层控制器和执行器约束，监督策略仅改变控制位置、反馈来源与降级逻辑。</w:t>
            </w:r>
          </w:p>
          <w:p w14:paraId="6BF644F7" w14:textId="2A53F1EF" w:rsidR="00810B61" w:rsidRDefault="00000000">
            <w:pPr>
              <w:spacing w:before="80" w:after="40"/>
              <w:jc w:val="center"/>
            </w:pPr>
            <w:r w:rsidRPr="00C36DA8">
              <w:rPr>
                <w:noProof/>
              </w:rPr>
              <w:pict w14:anchorId="3B117739">
                <v:shape id="Picture 1" o:spid="_x0000_i1026" type="#_x0000_t75" style="width:378.3pt;height:289.2pt;visibility:visible;mso-wrap-style:square">
                  <v:imagedata r:id="rId5" o:title=""/>
                </v:shape>
              </w:pict>
            </w:r>
          </w:p>
          <w:p w14:paraId="61C0B682" w14:textId="77777777" w:rsidR="00810B61" w:rsidRDefault="00000000">
            <w:pPr>
              <w:spacing w:after="120"/>
              <w:jc w:val="center"/>
            </w:pPr>
            <w:r>
              <w:t>图</w:t>
            </w:r>
            <w:r>
              <w:t xml:space="preserve">1  </w:t>
            </w:r>
            <w:r>
              <w:t>智能水肥一体化管控系统技术路线图</w:t>
            </w:r>
          </w:p>
          <w:p w14:paraId="39267FF4" w14:textId="77777777" w:rsidR="00121BB8" w:rsidRDefault="00000000">
            <w:pPr>
              <w:widowControl/>
              <w:spacing w:before="60" w:after="20" w:line="324" w:lineRule="auto"/>
            </w:pPr>
            <w:r>
              <w:rPr>
                <w:rFonts w:cs="Arial Unicode MS"/>
              </w:rPr>
              <w:t xml:space="preserve">2. </w:t>
            </w:r>
            <w:r>
              <w:rPr>
                <w:rFonts w:cs="Arial Unicode MS"/>
              </w:rPr>
              <w:t>混肥对象与底层控制</w:t>
            </w:r>
          </w:p>
          <w:p w14:paraId="15078E9B" w14:textId="77777777" w:rsidR="00121BB8" w:rsidRDefault="00000000">
            <w:pPr>
              <w:widowControl/>
              <w:spacing w:line="324" w:lineRule="auto"/>
              <w:ind w:firstLine="420"/>
            </w:pPr>
            <w:r>
              <w:rPr>
                <w:rFonts w:cs="Arial Unicode MS"/>
              </w:rPr>
              <w:t>以注肥控制量为输入、混肥</w:t>
            </w:r>
            <w:r>
              <w:rPr>
                <w:rFonts w:cs="Arial Unicode MS"/>
              </w:rPr>
              <w:t>EC</w:t>
            </w:r>
            <w:r>
              <w:rPr>
                <w:rFonts w:cs="Arial Unicode MS"/>
              </w:rPr>
              <w:t>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w:t>
            </w:r>
            <w:r>
              <w:rPr>
                <w:rFonts w:cs="Arial Unicode MS"/>
              </w:rPr>
              <w:t>1 s</w:t>
            </w:r>
            <w:r>
              <w:rPr>
                <w:rFonts w:cs="Arial Unicode MS"/>
              </w:rPr>
              <w:t>的</w:t>
            </w:r>
            <w:r>
              <w:rPr>
                <w:rFonts w:cs="Arial Unicode MS"/>
              </w:rPr>
              <w:t>EC</w:t>
            </w:r>
            <w:r>
              <w:rPr>
                <w:rFonts w:cs="Arial Unicode MS"/>
              </w:rPr>
              <w:t>采样周期、</w:t>
            </w:r>
            <w:r>
              <w:rPr>
                <w:rFonts w:cs="Arial Unicode MS"/>
              </w:rPr>
              <w:t>2 s</w:t>
            </w:r>
            <w:r>
              <w:rPr>
                <w:rFonts w:cs="Arial Unicode MS"/>
              </w:rPr>
              <w:t>的控制更新周期和</w:t>
            </w:r>
            <w:r>
              <w:rPr>
                <w:rFonts w:cs="Arial Unicode MS"/>
              </w:rPr>
              <w:t>0.2 s</w:t>
            </w:r>
            <w:r>
              <w:rPr>
                <w:rFonts w:cs="Arial Unicode MS"/>
              </w:rPr>
              <w:t>的数值</w:t>
            </w:r>
            <w:r>
              <w:rPr>
                <w:rFonts w:cs="Arial Unicode MS"/>
              </w:rPr>
              <w:lastRenderedPageBreak/>
              <w:t>积分步长，并在正式实验前冻结时间语义。</w:t>
            </w:r>
          </w:p>
          <w:p w14:paraId="5DF6976A" w14:textId="77777777" w:rsidR="00121BB8" w:rsidRDefault="00000000">
            <w:pPr>
              <w:snapToGrid w:val="0"/>
              <w:spacing w:after="80" w:line="324" w:lineRule="auto"/>
              <w:ind w:firstLine="420"/>
            </w:pPr>
            <w:r>
              <w:t>三种模式使用同一并联离散</w:t>
            </w:r>
            <w:r>
              <w:t>PI</w:t>
            </w:r>
            <w:r>
              <w:t>、输出饱和、抗积分饱和和执行器变化率限制。</w:t>
            </w:r>
            <w:r>
              <w:t>M0</w:t>
            </w:r>
            <w:r>
              <w:t>根据带时间戳的观测和名义模型估计当前</w:t>
            </w:r>
            <w:r>
              <w:t>EC</w:t>
            </w:r>
            <w:r>
              <w:t>，</w:t>
            </w:r>
            <w:r>
              <w:t>M1</w:t>
            </w:r>
            <w:r>
              <w:t>使用边缘侧可信观测闭环，</w:t>
            </w:r>
            <w:r>
              <w:t>M2</w:t>
            </w:r>
            <w:r>
              <w:t>以最后可信观测校正模型递推。统一底层控制器可以减少控制参数差异对比较结果的干扰，使评价集中于监督器的模式选择与反馈管理。</w:t>
            </w:r>
          </w:p>
          <w:p w14:paraId="581BA5CF" w14:textId="77777777" w:rsidR="00121BB8" w:rsidRDefault="00000000">
            <w:pPr>
              <w:keepNext/>
              <w:widowControl/>
              <w:spacing w:before="60" w:after="20" w:line="324" w:lineRule="auto"/>
            </w:pPr>
            <w:r>
              <w:rPr>
                <w:rFonts w:cs="Arial Unicode MS"/>
              </w:rPr>
              <w:t xml:space="preserve">3. </w:t>
            </w:r>
            <w:r>
              <w:rPr>
                <w:rFonts w:cs="Arial Unicode MS"/>
              </w:rPr>
              <w:t>风险监督与控制权分配</w:t>
            </w:r>
          </w:p>
          <w:p w14:paraId="37B4CA0B" w14:textId="77777777" w:rsidR="00121BB8" w:rsidRDefault="00000000">
            <w:pPr>
              <w:widowControl/>
              <w:spacing w:line="324" w:lineRule="auto"/>
              <w:ind w:firstLine="420"/>
            </w:pPr>
            <w:r>
              <w:rPr>
                <w:rFonts w:cs="Arial Unicode MS"/>
              </w:rPr>
              <w:t>通信风险由命令年龄、已接收命令的时延</w:t>
            </w:r>
            <w:r>
              <w:rPr>
                <w:rFonts w:cs="Arial Unicode MS"/>
              </w:rPr>
              <w:t>EWMA</w:t>
            </w:r>
            <w:r>
              <w:rPr>
                <w:rFonts w:cs="Arial Unicode MS"/>
              </w:rPr>
              <w:t>和最近窗口的序号缺口构成，其中命令年龄用于表征持续通信中断。观测风险由双</w:t>
            </w:r>
            <w:r>
              <w:rPr>
                <w:rFonts w:cs="Arial Unicode MS"/>
              </w:rPr>
              <w:t>EC</w:t>
            </w:r>
            <w:r>
              <w:rPr>
                <w:rFonts w:cs="Arial Unicode MS"/>
              </w:rPr>
              <w:t>通道差和融合观测相对名义模型的残差构成，残差采用</w:t>
            </w:r>
            <w:r>
              <w:rPr>
                <w:rFonts w:cs="Arial Unicode MS"/>
              </w:rPr>
              <w:t>EWMA</w:t>
            </w:r>
            <w:r>
              <w:rPr>
                <w:rFonts w:cs="Arial Unicode MS"/>
              </w:rPr>
              <w:t>降低单点噪声影响。各风险分量归一化到</w:t>
            </w:r>
            <w:r>
              <w:rPr>
                <w:rFonts w:cs="Arial Unicode MS"/>
              </w:rPr>
              <w:t>0</w:t>
            </w:r>
            <w:r>
              <w:rPr>
                <w:rFonts w:cs="Arial Unicode MS"/>
              </w:rPr>
              <w:t>至</w:t>
            </w:r>
            <w:r>
              <w:rPr>
                <w:rFonts w:cs="Arial Unicode MS"/>
              </w:rPr>
              <w:t>1</w:t>
            </w:r>
            <w:r>
              <w:rPr>
                <w:rFonts w:cs="Arial Unicode MS"/>
              </w:rPr>
              <w:t>，归一化尺度与切换阈值仅使用开发场景确定，并在独立评价前固定。</w:t>
            </w:r>
          </w:p>
          <w:p w14:paraId="2DB7EBA7" w14:textId="77777777" w:rsidR="00121BB8" w:rsidRDefault="00000000">
            <w:pPr>
              <w:widowControl/>
              <w:spacing w:line="324" w:lineRule="auto"/>
              <w:ind w:firstLine="420"/>
            </w:pPr>
            <w:r>
              <w:rPr>
                <w:rFonts w:cs="Arial Unicode MS"/>
              </w:rPr>
              <w:t>状态机以</w:t>
            </w:r>
            <w:r>
              <w:rPr>
                <w:rFonts w:cs="Arial Unicode MS"/>
              </w:rPr>
              <w:t>M0</w:t>
            </w:r>
            <w:r>
              <w:rPr>
                <w:rFonts w:cs="Arial Unicode MS"/>
              </w:rPr>
              <w:t>作为正常模式：观测可信而通信风险超过进入阈值时转入</w:t>
            </w:r>
            <w:r>
              <w:rPr>
                <w:rFonts w:cs="Arial Unicode MS"/>
              </w:rPr>
              <w:t>M1</w:t>
            </w:r>
            <w:r>
              <w:rPr>
                <w:rFonts w:cs="Arial Unicode MS"/>
              </w:rPr>
              <w:t>，观测风险超过阈值时优先转入</w:t>
            </w:r>
            <w:r>
              <w:rPr>
                <w:rFonts w:cs="Arial Unicode MS"/>
              </w:rPr>
              <w:t>M2</w:t>
            </w:r>
            <w:r>
              <w:rPr>
                <w:rFonts w:cs="Arial Unicode MS"/>
              </w:rPr>
              <w:t>。恢复阈值低于进入阈值，并结合最小驻留时间和连续恢复确认抑制往返切换。进入</w:t>
            </w:r>
            <w:r>
              <w:rPr>
                <w:rFonts w:cs="Arial Unicode MS"/>
              </w:rPr>
              <w:t>M1</w:t>
            </w:r>
            <w:r>
              <w:rPr>
                <w:rFonts w:cs="Arial Unicode MS"/>
              </w:rPr>
              <w:t>或</w:t>
            </w:r>
            <w:r>
              <w:rPr>
                <w:rFonts w:cs="Arial Unicode MS"/>
              </w:rPr>
              <w:t>M2</w:t>
            </w:r>
            <w:r>
              <w:rPr>
                <w:rFonts w:cs="Arial Unicode MS"/>
              </w:rPr>
              <w:t>时，根据切换前的连续控制量反算</w:t>
            </w:r>
            <w:r>
              <w:rPr>
                <w:rFonts w:cs="Arial Unicode MS"/>
              </w:rPr>
              <w:t>PI</w:t>
            </w:r>
            <w:r>
              <w:rPr>
                <w:rFonts w:cs="Arial Unicode MS"/>
              </w:rPr>
              <w:t>积分状态；返回</w:t>
            </w:r>
            <w:r>
              <w:rPr>
                <w:rFonts w:cs="Arial Unicode MS"/>
              </w:rPr>
              <w:t>M0</w:t>
            </w:r>
            <w:r>
              <w:rPr>
                <w:rFonts w:cs="Arial Unicode MS"/>
              </w:rPr>
              <w:t>前同步云端状态并清除陈旧待执行命令。</w:t>
            </w:r>
          </w:p>
          <w:p w14:paraId="03D82F7A" w14:textId="77777777" w:rsidR="00121BB8" w:rsidRDefault="00000000">
            <w:pPr>
              <w:snapToGrid w:val="0"/>
              <w:spacing w:after="80" w:line="324" w:lineRule="auto"/>
              <w:ind w:firstLine="420"/>
            </w:pPr>
            <w:r>
              <w:t>三模式监督器不另行构造底层控制律，而是确定当前控制位置、反馈来源和降级机制。每次模式转换记录触发风险、来源模式、目标模式、同步状态和最终动作，为切换过程分析和软件语义核对提供事件依据。</w:t>
            </w:r>
          </w:p>
          <w:p w14:paraId="17A20B94" w14:textId="77777777" w:rsidR="00121BB8" w:rsidRDefault="00000000">
            <w:pPr>
              <w:widowControl/>
              <w:spacing w:before="60" w:after="20" w:line="324" w:lineRule="auto"/>
            </w:pPr>
            <w:r>
              <w:rPr>
                <w:rFonts w:cs="Arial Unicode MS"/>
              </w:rPr>
              <w:t xml:space="preserve">4. </w:t>
            </w:r>
            <w:r>
              <w:rPr>
                <w:rFonts w:cs="Arial Unicode MS"/>
              </w:rPr>
              <w:t>系统软件实现</w:t>
            </w:r>
          </w:p>
          <w:p w14:paraId="3EA2DF58" w14:textId="77777777" w:rsidR="00121BB8" w:rsidRDefault="00000000">
            <w:pPr>
              <w:widowControl/>
              <w:spacing w:line="324" w:lineRule="auto"/>
              <w:ind w:firstLine="420"/>
            </w:pPr>
            <w:r>
              <w:rPr>
                <w:rFonts w:cs="Arial Unicode MS"/>
              </w:rPr>
              <w:t>系统采用模块化进程组织。对象端发布</w:t>
            </w:r>
            <w:r>
              <w:rPr>
                <w:rFonts w:cs="Arial Unicode MS"/>
              </w:rPr>
              <w:t>EC</w:t>
            </w:r>
            <w:r>
              <w:rPr>
                <w:rFonts w:cs="Arial Unicode MS"/>
              </w:rPr>
              <w:t>与设备状态，故障代理按照实验日程注入时延、丢包、重复和传感异常，云端进程执行时间戳预测补偿，边缘进程计算风险并运行监督状态机。</w:t>
            </w:r>
            <w:r>
              <w:rPr>
                <w:rFonts w:cs="Arial Unicode MS"/>
              </w:rPr>
              <w:t>MQTT 3.1.1</w:t>
            </w:r>
            <w:r>
              <w:rPr>
                <w:rFonts w:cs="Arial Unicode MS"/>
              </w:rPr>
              <w:t>采用</w:t>
            </w:r>
            <w:r>
              <w:rPr>
                <w:rFonts w:cs="Arial Unicode MS"/>
              </w:rPr>
              <w:t>QoS 1</w:t>
            </w:r>
            <w:r>
              <w:rPr>
                <w:rFonts w:cs="Arial Unicode MS"/>
              </w:rPr>
              <w:t>和非保留消息；接收端利用任务标识、逻辑序号和源时间戳执行幂等处理、陈旧消息拒绝和跨任务隔离。</w:t>
            </w:r>
          </w:p>
          <w:p w14:paraId="095EFDC0" w14:textId="77777777" w:rsidR="00121BB8" w:rsidRDefault="00000000">
            <w:pPr>
              <w:widowControl/>
              <w:spacing w:line="324" w:lineRule="auto"/>
              <w:ind w:firstLine="420"/>
            </w:pPr>
            <w:r>
              <w:rPr>
                <w:rFonts w:cs="Arial Unicode MS"/>
              </w:rPr>
              <w:t>数据库以任务为索引保存对象版本、控制参数、风险阈值、随机种子、观测、命令、</w:t>
            </w:r>
            <w:r>
              <w:rPr>
                <w:rFonts w:cs="Arial Unicode MS"/>
              </w:rPr>
              <w:lastRenderedPageBreak/>
              <w:t>反馈、模式事件和评价结果。管理界面围绕</w:t>
            </w:r>
            <w:r>
              <w:rPr>
                <w:rFonts w:cs="Arial Unicode MS"/>
              </w:rPr>
              <w:t>EC</w:t>
            </w:r>
            <w:r>
              <w:rPr>
                <w:rFonts w:cs="Arial Unicode MS"/>
              </w:rPr>
              <w:t>与设定值、通信风险、观测风险、当前模式、执行器输出、告警和历史任务组织，使实验条件、控制过程与评价结果能够对应到同一任务记录。</w:t>
            </w:r>
          </w:p>
          <w:p w14:paraId="1C396CDE" w14:textId="77777777" w:rsidR="00121BB8" w:rsidRDefault="00000000">
            <w:pPr>
              <w:widowControl/>
              <w:spacing w:before="60" w:after="20" w:line="324" w:lineRule="auto"/>
            </w:pPr>
            <w:r>
              <w:rPr>
                <w:rFonts w:cs="Arial Unicode MS"/>
              </w:rPr>
              <w:t xml:space="preserve">5. </w:t>
            </w:r>
            <w:r>
              <w:rPr>
                <w:rFonts w:cs="Arial Unicode MS"/>
              </w:rPr>
              <w:t>试验设计与评价指标</w:t>
            </w:r>
          </w:p>
          <w:p w14:paraId="62124A60" w14:textId="77777777" w:rsidR="00121BB8" w:rsidRDefault="00000000">
            <w:pPr>
              <w:widowControl/>
              <w:spacing w:line="324" w:lineRule="auto"/>
              <w:ind w:firstLine="420"/>
            </w:pPr>
            <w:r>
              <w:rPr>
                <w:rFonts w:cs="Arial Unicode MS"/>
              </w:rPr>
              <w:t>总体实验采用对象类型、网络状态、观测状态和随机种子组成的配对设计。主要比较风险感知协同控制策略与云端时间戳预测补偿，次级比较风险感知协同控制策略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72BC3AE2" w14:textId="77777777" w:rsidR="00121BB8" w:rsidRDefault="00000000">
            <w:pPr>
              <w:widowControl/>
              <w:spacing w:line="324" w:lineRule="auto"/>
              <w:ind w:firstLine="420"/>
            </w:pPr>
            <w:r>
              <w:rPr>
                <w:rFonts w:cs="Arial Unicode MS"/>
              </w:rPr>
              <w:t>主要评价指标为</w:t>
            </w:r>
            <w:r>
              <w:rPr>
                <w:rFonts w:cs="Arial Unicode MS"/>
              </w:rPr>
              <w:t>EC</w:t>
            </w:r>
            <w:r>
              <w:rPr>
                <w:rFonts w:cs="Arial Unicode MS"/>
              </w:rPr>
              <w:t>超出允许带的累计时间</w:t>
            </w:r>
            <w:r>
              <w:rPr>
                <w:rFonts w:cs="Arial Unicode MS"/>
              </w:rPr>
              <w:t>Tout</w:t>
            </w:r>
            <w:r>
              <w:rPr>
                <w:rFonts w:cs="Arial Unicode MS"/>
              </w:rPr>
              <w:t>。辅助指标包括积分绝对误差</w:t>
            </w:r>
            <w:r>
              <w:rPr>
                <w:rFonts w:cs="Arial Unicode MS"/>
              </w:rPr>
              <w:t>IAE</w:t>
            </w:r>
            <w:r>
              <w:rPr>
                <w:rFonts w:cs="Arial Unicode MS"/>
              </w:rPr>
              <w:t>、最大绝对误差、稳定时间、执行器总变差</w:t>
            </w:r>
            <w:r>
              <w:rPr>
                <w:rFonts w:cs="Arial Unicode MS"/>
              </w:rPr>
              <w:t>TV</w:t>
            </w:r>
            <w:r>
              <w:rPr>
                <w:rFonts w:cs="Arial Unicode MS"/>
              </w:rPr>
              <w:t>、模式切换次数和各模式占用率。各方法在相同对象与异常日程下成对运行，以场景配对差为分析单位，报告中位数、</w:t>
            </w:r>
            <w:r>
              <w:rPr>
                <w:rFonts w:cs="Arial Unicode MS"/>
              </w:rPr>
              <w:t>P90</w:t>
            </w:r>
            <w:r>
              <w:rPr>
                <w:rFonts w:cs="Arial Unicode MS"/>
              </w:rPr>
              <w:t>、改善比例、近似比例和恶化比例，并通过按随机种子分块的</w:t>
            </w:r>
            <w:r>
              <w:rPr>
                <w:rFonts w:cs="Arial Unicode MS"/>
              </w:rPr>
              <w:t>bootstrap</w:t>
            </w:r>
            <w:r>
              <w:rPr>
                <w:rFonts w:cs="Arial Unicode MS"/>
              </w:rPr>
              <w:t>估计区间。</w:t>
            </w:r>
          </w:p>
          <w:p w14:paraId="3A2BF387" w14:textId="77777777" w:rsidR="00121BB8" w:rsidRDefault="00000000">
            <w:pPr>
              <w:snapToGrid w:val="0"/>
              <w:spacing w:after="80" w:line="324" w:lineRule="auto"/>
              <w:ind w:firstLine="420"/>
            </w:pPr>
            <w:r>
              <w:t>MQTT</w:t>
            </w:r>
            <w:r>
              <w:t>软件在环将逐点核对风险分量、模式序列、转换事件、状态同步、降级锚点、预测量、</w:t>
            </w:r>
            <w:r>
              <w:t>EC</w:t>
            </w:r>
            <w:r>
              <w:t>和控制动作，并比较</w:t>
            </w:r>
            <w:r>
              <w:t>Tout</w:t>
            </w:r>
            <w:r>
              <w:t>、</w:t>
            </w:r>
            <w:r>
              <w:t>IAE</w:t>
            </w:r>
            <w:r>
              <w:t>和</w:t>
            </w:r>
            <w:r>
              <w:t>TV</w:t>
            </w:r>
            <w:r>
              <w:t>等汇总指标。实体台架验证仅在</w:t>
            </w:r>
            <w:r>
              <w:t>EC</w:t>
            </w:r>
            <w:r>
              <w:t>探头标定、注肥执行联锁和人工接管流程明确后作为扩展环节开展。</w:t>
            </w:r>
          </w:p>
        </w:tc>
      </w:tr>
      <w:tr w:rsidR="00EB31B3" w14:paraId="6F55017F" w14:textId="77777777">
        <w:trPr>
          <w:trHeight w:val="6555"/>
        </w:trPr>
        <w:tc>
          <w:tcPr>
            <w:tcW w:w="8100" w:type="dxa"/>
          </w:tcPr>
          <w:p w14:paraId="48C3996A" w14:textId="77777777" w:rsidR="00121BB8" w:rsidRDefault="00000000">
            <w:pPr>
              <w:widowControl/>
              <w:spacing w:after="80" w:line="324" w:lineRule="auto"/>
              <w:jc w:val="left"/>
            </w:pPr>
            <w:r>
              <w:rPr>
                <w:rFonts w:cs="Arial Unicode MS"/>
              </w:rPr>
              <w:lastRenderedPageBreak/>
              <w:t>五、研究特色和创新之处</w:t>
            </w:r>
          </w:p>
          <w:p w14:paraId="12E155D8" w14:textId="77777777" w:rsidR="00121BB8" w:rsidRDefault="00000000">
            <w:pPr>
              <w:widowControl/>
              <w:spacing w:line="324" w:lineRule="auto"/>
            </w:pPr>
            <w:r>
              <w:rPr>
                <w:rFonts w:cs="Arial Unicode MS"/>
              </w:rPr>
              <w:t>（</w:t>
            </w:r>
            <w:r>
              <w:rPr>
                <w:rFonts w:cs="Arial Unicode MS"/>
              </w:rPr>
              <w:t>1</w:t>
            </w:r>
            <w:r>
              <w:rPr>
                <w:rFonts w:cs="Arial Unicode MS"/>
              </w:rPr>
              <w:t>）拟将通信健康与本地</w:t>
            </w:r>
            <w:r>
              <w:rPr>
                <w:rFonts w:cs="Arial Unicode MS"/>
              </w:rPr>
              <w:t>EC</w:t>
            </w:r>
            <w:r>
              <w:rPr>
                <w:rFonts w:cs="Arial Unicode MS"/>
              </w:rPr>
              <w:t>观测可信度纳入同一监督框架，形成面向水肥一体机的双风险三模式控制权分配方法，使边缘接管同时考虑网络可用性和反馈可靠性。</w:t>
            </w:r>
          </w:p>
          <w:p w14:paraId="69A70D3E" w14:textId="77777777" w:rsidR="00121BB8" w:rsidRDefault="00000000">
            <w:pPr>
              <w:widowControl/>
              <w:spacing w:line="324" w:lineRule="auto"/>
            </w:pPr>
            <w:r>
              <w:rPr>
                <w:rFonts w:cs="Arial Unicode MS"/>
              </w:rPr>
              <w:t>（</w:t>
            </w:r>
            <w:r>
              <w:rPr>
                <w:rFonts w:cs="Arial Unicode MS"/>
              </w:rPr>
              <w:t>2</w:t>
            </w:r>
            <w:r>
              <w:rPr>
                <w:rFonts w:cs="Arial Unicode MS"/>
              </w:rPr>
              <w:t>）拟设计模型锚定降级与控制器状态同步机制，以最后可信观测校正模型递推，并通过滞回、驻留时间和连续恢复确认抑制异常期间的错误闭环与往返切换。</w:t>
            </w:r>
          </w:p>
          <w:p w14:paraId="48B3F231" w14:textId="77777777" w:rsidR="00121BB8" w:rsidRDefault="00000000">
            <w:pPr>
              <w:widowControl/>
              <w:spacing w:line="324" w:lineRule="auto"/>
            </w:pPr>
            <w:r>
              <w:rPr>
                <w:rFonts w:cs="Arial Unicode MS"/>
              </w:rPr>
              <w:t>（</w:t>
            </w:r>
            <w:r>
              <w:rPr>
                <w:rFonts w:cs="Arial Unicode MS"/>
              </w:rPr>
              <w:t>3</w:t>
            </w:r>
            <w:r>
              <w:rPr>
                <w:rFonts w:cs="Arial Unicode MS"/>
              </w:rPr>
              <w:t>）拟建立对象、网络、传感异常和随机日程配对的预冻结评价方法，通过基线比较、机制消融和中断时长扫描识别性能变化及其适用条件。</w:t>
            </w:r>
          </w:p>
          <w:p w14:paraId="3A5F2681" w14:textId="77777777" w:rsidR="00121BB8" w:rsidRDefault="00000000">
            <w:pPr>
              <w:widowControl/>
              <w:spacing w:line="324" w:lineRule="auto"/>
            </w:pPr>
            <w:r>
              <w:rPr>
                <w:rFonts w:cs="Arial Unicode MS"/>
              </w:rPr>
              <w:t>（</w:t>
            </w:r>
            <w:r>
              <w:rPr>
                <w:rFonts w:cs="Arial Unicode MS"/>
              </w:rPr>
              <w:t>4</w:t>
            </w:r>
            <w:r>
              <w:rPr>
                <w:rFonts w:cs="Arial Unicode MS"/>
              </w:rPr>
              <w:t>）拟将风险计算、模式转换、状态同步和任务审计映射到</w:t>
            </w:r>
            <w:r>
              <w:rPr>
                <w:rFonts w:cs="Arial Unicode MS"/>
              </w:rPr>
              <w:t>MQTT</w:t>
            </w:r>
            <w:r>
              <w:rPr>
                <w:rFonts w:cs="Arial Unicode MS"/>
              </w:rPr>
              <w:t>跨进程系统，通过参考算法与软件实现的逐点语义核对，检验系统模块间的一致性和可追溯性。</w:t>
            </w:r>
          </w:p>
        </w:tc>
      </w:tr>
      <w:tr w:rsidR="00EB31B3" w14:paraId="6D664E6C" w14:textId="77777777">
        <w:trPr>
          <w:trHeight w:val="6855"/>
        </w:trPr>
        <w:tc>
          <w:tcPr>
            <w:tcW w:w="8100" w:type="dxa"/>
          </w:tcPr>
          <w:p w14:paraId="2B274ECA" w14:textId="77777777" w:rsidR="00121BB8" w:rsidRDefault="00000000">
            <w:pPr>
              <w:widowControl/>
              <w:spacing w:after="80" w:line="324" w:lineRule="auto"/>
              <w:jc w:val="left"/>
            </w:pPr>
            <w:r>
              <w:rPr>
                <w:rFonts w:cs="Arial Unicode MS"/>
              </w:rPr>
              <w:t>六、研究条件、可能遇到的困难及拟采取的解决方法</w:t>
            </w:r>
          </w:p>
          <w:p w14:paraId="1E065335" w14:textId="77777777" w:rsidR="00121BB8" w:rsidRDefault="00000000">
            <w:pPr>
              <w:widowControl/>
              <w:spacing w:before="60" w:after="20" w:line="324" w:lineRule="auto"/>
            </w:pPr>
            <w:r>
              <w:rPr>
                <w:rFonts w:cs="Arial Unicode MS"/>
              </w:rPr>
              <w:t xml:space="preserve">1. </w:t>
            </w:r>
            <w:r>
              <w:rPr>
                <w:rFonts w:cs="Arial Unicode MS"/>
              </w:rPr>
              <w:t>研究条件与实现基础</w:t>
            </w:r>
          </w:p>
          <w:p w14:paraId="73B2D817" w14:textId="77777777" w:rsidR="00121BB8" w:rsidRDefault="00000000">
            <w:pPr>
              <w:widowControl/>
              <w:spacing w:line="324" w:lineRule="auto"/>
              <w:ind w:firstLine="420"/>
            </w:pPr>
            <w:r>
              <w:rPr>
                <w:rFonts w:cs="Arial Unicode MS"/>
              </w:rPr>
              <w:t>本课题以模型仿真和软件在环作为主要验证载体。混肥对象、控制算法、异常注入、配对评价、消息重放和任务审计均在本地计算环境运行；系统接口采用可替换设计，为</w:t>
            </w:r>
            <w:r>
              <w:rPr>
                <w:rFonts w:cs="Arial Unicode MS"/>
              </w:rPr>
              <w:t>EC</w:t>
            </w:r>
            <w:r>
              <w:rPr>
                <w:rFonts w:cs="Arial Unicode MS"/>
              </w:rPr>
              <w:t>探头、流量反馈和注肥执行器接入保留边界。</w:t>
            </w:r>
          </w:p>
          <w:p w14:paraId="2F18E145" w14:textId="77777777" w:rsidR="00121BB8" w:rsidRDefault="00000000">
            <w:pPr>
              <w:widowControl/>
              <w:spacing w:line="324" w:lineRule="auto"/>
              <w:ind w:firstLine="420"/>
            </w:pPr>
            <w:r>
              <w:rPr>
                <w:rFonts w:cs="Arial Unicode MS"/>
              </w:rPr>
              <w:t>软件实现拟以</w:t>
            </w:r>
            <w:r>
              <w:rPr>
                <w:rFonts w:cs="Arial Unicode MS"/>
              </w:rPr>
              <w:t>Python</w:t>
            </w:r>
            <w:r>
              <w:rPr>
                <w:rFonts w:cs="Arial Unicode MS"/>
              </w:rPr>
              <w:t>承担对象建模、控制算法、统计评价和</w:t>
            </w:r>
            <w:r>
              <w:rPr>
                <w:rFonts w:cs="Arial Unicode MS"/>
              </w:rPr>
              <w:t>MQTT</w:t>
            </w:r>
            <w:r>
              <w:rPr>
                <w:rFonts w:cs="Arial Unicode MS"/>
              </w:rPr>
              <w:t>进程编排，以数据库保存任务与事件，以前端组件呈现实时状态和历史记录。</w:t>
            </w:r>
            <w:r>
              <w:rPr>
                <w:rFonts w:cs="Arial Unicode MS"/>
              </w:rPr>
              <w:t>MATLAB</w:t>
            </w:r>
            <w:r>
              <w:rPr>
                <w:rFonts w:cs="Arial Unicode MS"/>
              </w:rPr>
              <w:t>用于必要的数值交叉检查或</w:t>
            </w:r>
            <w:r>
              <w:rPr>
                <w:rFonts w:cs="Arial Unicode MS"/>
              </w:rPr>
              <w:t>Simulink</w:t>
            </w:r>
            <w:r>
              <w:rPr>
                <w:rFonts w:cs="Arial Unicode MS"/>
              </w:rPr>
              <w:t>展示，</w:t>
            </w:r>
            <w:r>
              <w:rPr>
                <w:rFonts w:cs="Arial Unicode MS"/>
              </w:rPr>
              <w:t>Java</w:t>
            </w:r>
            <w:r>
              <w:rPr>
                <w:rFonts w:cs="Arial Unicode MS"/>
              </w:rPr>
              <w:t>作为可选的平台服务工具。各工具通过明确接口协同，不作为研究结论的前提。</w:t>
            </w:r>
          </w:p>
          <w:p w14:paraId="6886D1BB" w14:textId="77777777" w:rsidR="00121BB8" w:rsidRDefault="00000000">
            <w:pPr>
              <w:keepNext/>
              <w:pageBreakBefore/>
              <w:widowControl/>
              <w:spacing w:before="60" w:after="20" w:line="324" w:lineRule="auto"/>
            </w:pPr>
            <w:r>
              <w:rPr>
                <w:rFonts w:cs="Arial Unicode MS"/>
              </w:rPr>
              <w:t xml:space="preserve">2. </w:t>
            </w:r>
            <w:r>
              <w:rPr>
                <w:rFonts w:cs="Arial Unicode MS"/>
              </w:rPr>
              <w:t>可能困难及解决方法</w:t>
            </w:r>
          </w:p>
          <w:p w14:paraId="1728DF95" w14:textId="77777777" w:rsidR="00121BB8" w:rsidRDefault="00000000">
            <w:pPr>
              <w:widowControl/>
              <w:spacing w:line="324" w:lineRule="auto"/>
            </w:pPr>
            <w:r>
              <w:rPr>
                <w:rFonts w:cs="Arial Unicode MS"/>
              </w:rPr>
              <w:t>（</w:t>
            </w:r>
            <w:r>
              <w:rPr>
                <w:rFonts w:cs="Arial Unicode MS"/>
              </w:rPr>
              <w:t>1</w:t>
            </w:r>
            <w:r>
              <w:rPr>
                <w:rFonts w:cs="Arial Unicode MS"/>
              </w:rPr>
              <w:t>）名义模型可能偏离实际混肥动态。评价对象将覆盖增益、时间常数、纯滞后和参</w:t>
            </w:r>
            <w:r>
              <w:rPr>
                <w:rFonts w:cs="Arial Unicode MS"/>
              </w:rPr>
              <w:lastRenderedPageBreak/>
              <w:t>数切换，并用独立数据确定正常残差范围，避免把一般模型失配判为传感异常。</w:t>
            </w:r>
          </w:p>
          <w:p w14:paraId="16161925" w14:textId="77777777" w:rsidR="00121BB8" w:rsidRDefault="00000000">
            <w:pPr>
              <w:widowControl/>
              <w:spacing w:line="324" w:lineRule="auto"/>
            </w:pPr>
            <w:r>
              <w:rPr>
                <w:rFonts w:cs="Arial Unicode MS"/>
              </w:rPr>
              <w:t>（</w:t>
            </w:r>
            <w:r>
              <w:rPr>
                <w:rFonts w:cs="Arial Unicode MS"/>
              </w:rPr>
              <w:t>2</w:t>
            </w:r>
            <w:r>
              <w:rPr>
                <w:rFonts w:cs="Arial Unicode MS"/>
              </w:rPr>
              <w:t>）双传感器共同漂移难以由通道差识别。研究将其单列为压力场景，并预留参考</w:t>
            </w:r>
            <w:r>
              <w:rPr>
                <w:rFonts w:cs="Arial Unicode MS"/>
              </w:rPr>
              <w:t>EC</w:t>
            </w:r>
            <w:r>
              <w:rPr>
                <w:rFonts w:cs="Arial Unicode MS"/>
              </w:rPr>
              <w:t>、在线校准及流量和配比等异构观测接口，相关结果独立报告。</w:t>
            </w:r>
          </w:p>
          <w:p w14:paraId="68CF54E4" w14:textId="77777777" w:rsidR="00121BB8" w:rsidRDefault="00000000">
            <w:pPr>
              <w:widowControl/>
              <w:spacing w:line="324" w:lineRule="auto"/>
            </w:pPr>
            <w:r>
              <w:rPr>
                <w:rFonts w:cs="Arial Unicode MS"/>
              </w:rPr>
              <w:t>（</w:t>
            </w:r>
            <w:r>
              <w:rPr>
                <w:rFonts w:cs="Arial Unicode MS"/>
              </w:rPr>
              <w:t>3</w:t>
            </w:r>
            <w:r>
              <w:rPr>
                <w:rFonts w:cs="Arial Unicode MS"/>
              </w:rPr>
              <w:t>）模式切换可能造成执行器突变。采用</w:t>
            </w:r>
            <w:r>
              <w:rPr>
                <w:rFonts w:cs="Arial Unicode MS"/>
              </w:rPr>
              <w:t>PI</w:t>
            </w:r>
            <w:r>
              <w:rPr>
                <w:rFonts w:cs="Arial Unicode MS"/>
              </w:rPr>
              <w:t>积分状态反算、云边状态同步、陈旧命令清除、变化率限制和最小驻留时间，并以切换次数和</w:t>
            </w:r>
            <w:r>
              <w:rPr>
                <w:rFonts w:cs="Arial Unicode MS"/>
              </w:rPr>
              <w:t>TV</w:t>
            </w:r>
            <w:r>
              <w:rPr>
                <w:rFonts w:cs="Arial Unicode MS"/>
              </w:rPr>
              <w:t>评价平滑性。</w:t>
            </w:r>
          </w:p>
          <w:p w14:paraId="74F88E5C"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 QoS 1</w:t>
            </w:r>
            <w:r>
              <w:rPr>
                <w:rFonts w:cs="Arial Unicode MS"/>
              </w:rPr>
              <w:t>允许重复投递和消息乱序。消息携带任务标识、逻辑序号和源时间戳，接收端执行幂等、顺序检查和陈旧拒绝，并通过故障代理与重放检验。</w:t>
            </w:r>
          </w:p>
          <w:p w14:paraId="7E7A4FF6" w14:textId="77777777" w:rsidR="00121BB8" w:rsidRDefault="00000000">
            <w:pPr>
              <w:widowControl/>
              <w:spacing w:line="324" w:lineRule="auto"/>
            </w:pPr>
            <w:r>
              <w:rPr>
                <w:rFonts w:cs="Arial Unicode MS"/>
              </w:rPr>
              <w:t>（</w:t>
            </w:r>
            <w:r>
              <w:rPr>
                <w:rFonts w:cs="Arial Unicode MS"/>
              </w:rPr>
              <w:t>5</w:t>
            </w:r>
            <w:r>
              <w:rPr>
                <w:rFonts w:cs="Arial Unicode MS"/>
              </w:rPr>
              <w:t>）平均指标可能掩盖尾部恶化。实验保持场景级配对，报告中位数、</w:t>
            </w:r>
            <w:r>
              <w:rPr>
                <w:rFonts w:cs="Arial Unicode MS"/>
              </w:rPr>
              <w:t>P90</w:t>
            </w:r>
            <w:r>
              <w:rPr>
                <w:rFonts w:cs="Arial Unicode MS"/>
              </w:rPr>
              <w:t>、改善比例、恶化比例和最差工况；参数仅在开发场景选择，独立评价后不再调整。</w:t>
            </w:r>
          </w:p>
          <w:p w14:paraId="355A89D4" w14:textId="77777777" w:rsidR="00121BB8" w:rsidRDefault="00000000">
            <w:pPr>
              <w:widowControl/>
              <w:spacing w:line="324" w:lineRule="auto"/>
            </w:pPr>
            <w:r>
              <w:rPr>
                <w:rFonts w:cs="Arial Unicode MS"/>
              </w:rPr>
              <w:t>（</w:t>
            </w:r>
            <w:r>
              <w:rPr>
                <w:rFonts w:cs="Arial Unicode MS"/>
              </w:rPr>
              <w:t>6</w:t>
            </w:r>
            <w:r>
              <w:rPr>
                <w:rFonts w:cs="Arial Unicode MS"/>
              </w:rPr>
              <w:t>）仿真对象与实体执行存在尺度差异。台架阶段先标定</w:t>
            </w:r>
            <w:r>
              <w:rPr>
                <w:rFonts w:cs="Arial Unicode MS"/>
              </w:rPr>
              <w:t>EC</w:t>
            </w:r>
            <w:r>
              <w:rPr>
                <w:rFonts w:cs="Arial Unicode MS"/>
              </w:rPr>
              <w:t>探头和注肥泵，再检查流量压力联锁、人工接管和异常暂停；不同验证层级分别报告。</w:t>
            </w:r>
          </w:p>
        </w:tc>
      </w:tr>
    </w:tbl>
    <w:p w14:paraId="08DB7F39"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596FACE3"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67AC5617" w14:textId="77777777" w:rsidR="00EB31B3" w:rsidRDefault="00000000">
            <w:pPr>
              <w:rPr>
                <w:b/>
                <w:sz w:val="28"/>
                <w:szCs w:val="28"/>
              </w:rPr>
            </w:pPr>
            <w:r>
              <w:rPr>
                <w:rFonts w:hint="eastAsia"/>
                <w:b/>
                <w:sz w:val="28"/>
                <w:szCs w:val="28"/>
              </w:rPr>
              <w:t>七、研究进度及具体时间安排</w:t>
            </w:r>
          </w:p>
        </w:tc>
      </w:tr>
      <w:tr w:rsidR="00EB31B3" w14:paraId="1123C371" w14:textId="77777777">
        <w:trPr>
          <w:gridAfter w:val="1"/>
          <w:wAfter w:w="360" w:type="dxa"/>
          <w:cantSplit/>
          <w:trHeight w:val="480"/>
        </w:trPr>
        <w:tc>
          <w:tcPr>
            <w:tcW w:w="1985" w:type="dxa"/>
            <w:vAlign w:val="center"/>
          </w:tcPr>
          <w:p w14:paraId="2C4855F6" w14:textId="77777777" w:rsidR="00EB31B3" w:rsidRDefault="00000000">
            <w:pPr>
              <w:jc w:val="center"/>
            </w:pPr>
            <w:r>
              <w:rPr>
                <w:rFonts w:hint="eastAsia"/>
              </w:rPr>
              <w:t>起止日期</w:t>
            </w:r>
          </w:p>
        </w:tc>
        <w:tc>
          <w:tcPr>
            <w:tcW w:w="2977" w:type="dxa"/>
            <w:vAlign w:val="center"/>
          </w:tcPr>
          <w:p w14:paraId="6E167B82" w14:textId="77777777" w:rsidR="00EB31B3" w:rsidRDefault="00000000">
            <w:pPr>
              <w:jc w:val="center"/>
            </w:pPr>
            <w:r>
              <w:rPr>
                <w:rFonts w:hint="eastAsia"/>
              </w:rPr>
              <w:t>主要研究内容</w:t>
            </w:r>
          </w:p>
        </w:tc>
        <w:tc>
          <w:tcPr>
            <w:tcW w:w="3138" w:type="dxa"/>
            <w:vAlign w:val="center"/>
          </w:tcPr>
          <w:p w14:paraId="6F8D0C74" w14:textId="77777777" w:rsidR="00EB31B3" w:rsidRDefault="00000000">
            <w:pPr>
              <w:jc w:val="center"/>
            </w:pPr>
            <w:r>
              <w:rPr>
                <w:rFonts w:hint="eastAsia"/>
              </w:rPr>
              <w:t>预期结果</w:t>
            </w:r>
          </w:p>
        </w:tc>
      </w:tr>
      <w:tr w:rsidR="00EB31B3" w14:paraId="7D1DA1D5" w14:textId="77777777">
        <w:trPr>
          <w:gridAfter w:val="1"/>
          <w:wAfter w:w="360" w:type="dxa"/>
          <w:cantSplit/>
          <w:trHeight w:val="480"/>
        </w:trPr>
        <w:tc>
          <w:tcPr>
            <w:tcW w:w="1985" w:type="dxa"/>
            <w:vAlign w:val="center"/>
          </w:tcPr>
          <w:p w14:paraId="240D7EEC" w14:textId="77777777" w:rsidR="00121BB8" w:rsidRDefault="00000000">
            <w:pPr>
              <w:spacing w:line="276" w:lineRule="auto"/>
              <w:jc w:val="center"/>
            </w:pPr>
            <w:r>
              <w:rPr>
                <w:rFonts w:cs="Arial Unicode MS"/>
                <w:sz w:val="19"/>
              </w:rPr>
              <w:t>2026.09—2026.10</w:t>
            </w:r>
          </w:p>
        </w:tc>
        <w:tc>
          <w:tcPr>
            <w:tcW w:w="2977" w:type="dxa"/>
            <w:vAlign w:val="center"/>
          </w:tcPr>
          <w:p w14:paraId="34CAF868" w14:textId="77777777" w:rsidR="00121BB8" w:rsidRDefault="00000000">
            <w:pPr>
              <w:spacing w:line="276" w:lineRule="auto"/>
              <w:jc w:val="left"/>
            </w:pPr>
            <w:r>
              <w:rPr>
                <w:rFonts w:cs="Arial Unicode MS"/>
                <w:sz w:val="19"/>
              </w:rPr>
              <w:t>完成开题论证，冻结系统范围、控制对象、研究问题和分层验证协议。</w:t>
            </w:r>
          </w:p>
        </w:tc>
        <w:tc>
          <w:tcPr>
            <w:tcW w:w="3138" w:type="dxa"/>
            <w:vAlign w:val="center"/>
          </w:tcPr>
          <w:p w14:paraId="69A86AFF" w14:textId="77777777" w:rsidR="00121BB8" w:rsidRDefault="00000000">
            <w:pPr>
              <w:spacing w:line="276" w:lineRule="auto"/>
              <w:jc w:val="left"/>
            </w:pPr>
            <w:r>
              <w:rPr>
                <w:rFonts w:cs="Arial Unicode MS"/>
                <w:sz w:val="19"/>
              </w:rPr>
              <w:t>开题报告、需求规格和实验协议</w:t>
            </w:r>
          </w:p>
        </w:tc>
      </w:tr>
      <w:tr w:rsidR="00EB31B3" w14:paraId="64BDBAB4" w14:textId="77777777">
        <w:trPr>
          <w:gridAfter w:val="1"/>
          <w:wAfter w:w="360" w:type="dxa"/>
          <w:cantSplit/>
          <w:trHeight w:val="480"/>
        </w:trPr>
        <w:tc>
          <w:tcPr>
            <w:tcW w:w="1985" w:type="dxa"/>
            <w:vAlign w:val="center"/>
          </w:tcPr>
          <w:p w14:paraId="74D6697A" w14:textId="77777777" w:rsidR="00121BB8" w:rsidRDefault="00000000">
            <w:pPr>
              <w:spacing w:line="276" w:lineRule="auto"/>
              <w:jc w:val="center"/>
            </w:pPr>
            <w:r>
              <w:rPr>
                <w:rFonts w:cs="Arial Unicode MS"/>
                <w:sz w:val="19"/>
              </w:rPr>
              <w:t>2026.11—2027.01</w:t>
            </w:r>
          </w:p>
        </w:tc>
        <w:tc>
          <w:tcPr>
            <w:tcW w:w="2977" w:type="dxa"/>
            <w:vAlign w:val="center"/>
          </w:tcPr>
          <w:p w14:paraId="60996C52" w14:textId="77777777" w:rsidR="00121BB8" w:rsidRDefault="00000000">
            <w:pPr>
              <w:spacing w:line="276" w:lineRule="auto"/>
              <w:jc w:val="left"/>
            </w:pPr>
            <w:r>
              <w:rPr>
                <w:rFonts w:cs="Arial Unicode MS"/>
                <w:sz w:val="19"/>
              </w:rPr>
              <w:t>完善混肥对象辨识、公共</w:t>
            </w:r>
            <w:r>
              <w:rPr>
                <w:rFonts w:cs="Arial Unicode MS"/>
                <w:sz w:val="19"/>
              </w:rPr>
              <w:t>PI</w:t>
            </w:r>
            <w:r>
              <w:rPr>
                <w:rFonts w:cs="Arial Unicode MS"/>
                <w:sz w:val="19"/>
              </w:rPr>
              <w:t>、云端预测补偿和对象参数族。</w:t>
            </w:r>
          </w:p>
        </w:tc>
        <w:tc>
          <w:tcPr>
            <w:tcW w:w="3138" w:type="dxa"/>
            <w:vAlign w:val="center"/>
          </w:tcPr>
          <w:p w14:paraId="78DD817E" w14:textId="77777777" w:rsidR="00121BB8" w:rsidRDefault="00000000">
            <w:pPr>
              <w:spacing w:line="276" w:lineRule="auto"/>
              <w:jc w:val="left"/>
            </w:pPr>
            <w:r>
              <w:rPr>
                <w:rFonts w:cs="Arial Unicode MS"/>
                <w:sz w:val="19"/>
              </w:rPr>
              <w:t>对象模型、底层控制器和验证数据</w:t>
            </w:r>
          </w:p>
        </w:tc>
      </w:tr>
      <w:tr w:rsidR="00EB31B3" w14:paraId="0983DAC5" w14:textId="77777777">
        <w:trPr>
          <w:gridAfter w:val="1"/>
          <w:wAfter w:w="360" w:type="dxa"/>
          <w:cantSplit/>
          <w:trHeight w:val="480"/>
        </w:trPr>
        <w:tc>
          <w:tcPr>
            <w:tcW w:w="1985" w:type="dxa"/>
            <w:vAlign w:val="center"/>
          </w:tcPr>
          <w:p w14:paraId="5DB075DD" w14:textId="77777777" w:rsidR="00121BB8" w:rsidRDefault="00000000">
            <w:pPr>
              <w:spacing w:line="276" w:lineRule="auto"/>
              <w:jc w:val="center"/>
            </w:pPr>
            <w:r>
              <w:rPr>
                <w:rFonts w:cs="Arial Unicode MS"/>
                <w:sz w:val="19"/>
              </w:rPr>
              <w:t>2027.02—2027.04</w:t>
            </w:r>
          </w:p>
        </w:tc>
        <w:tc>
          <w:tcPr>
            <w:tcW w:w="2977" w:type="dxa"/>
            <w:vAlign w:val="center"/>
          </w:tcPr>
          <w:p w14:paraId="55A67D65" w14:textId="77777777" w:rsidR="00121BB8" w:rsidRDefault="00000000">
            <w:pPr>
              <w:spacing w:line="276" w:lineRule="auto"/>
              <w:jc w:val="left"/>
            </w:pPr>
            <w:r>
              <w:rPr>
                <w:rFonts w:cs="Arial Unicode MS"/>
                <w:sz w:val="19"/>
              </w:rPr>
              <w:t>实现通信风险、观测风险、三模式状态机和无扰切换，完成开发集参数冻结。</w:t>
            </w:r>
          </w:p>
        </w:tc>
        <w:tc>
          <w:tcPr>
            <w:tcW w:w="3138" w:type="dxa"/>
            <w:vAlign w:val="center"/>
          </w:tcPr>
          <w:p w14:paraId="6F256AEC" w14:textId="77777777" w:rsidR="00121BB8" w:rsidRDefault="00000000">
            <w:pPr>
              <w:spacing w:line="276" w:lineRule="auto"/>
              <w:jc w:val="left"/>
            </w:pPr>
            <w:r>
              <w:rPr>
                <w:rFonts w:cs="Arial Unicode MS"/>
                <w:sz w:val="19"/>
              </w:rPr>
              <w:t>协同控制策略与冻结配置</w:t>
            </w:r>
          </w:p>
        </w:tc>
      </w:tr>
      <w:tr w:rsidR="00EB31B3" w14:paraId="20BDA52D" w14:textId="77777777">
        <w:trPr>
          <w:gridAfter w:val="1"/>
          <w:wAfter w:w="360" w:type="dxa"/>
          <w:cantSplit/>
          <w:trHeight w:val="480"/>
        </w:trPr>
        <w:tc>
          <w:tcPr>
            <w:tcW w:w="1985" w:type="dxa"/>
            <w:vAlign w:val="center"/>
          </w:tcPr>
          <w:p w14:paraId="226C74C9" w14:textId="77777777" w:rsidR="00121BB8" w:rsidRDefault="00000000">
            <w:pPr>
              <w:spacing w:line="276" w:lineRule="auto"/>
              <w:jc w:val="center"/>
            </w:pPr>
            <w:r>
              <w:rPr>
                <w:rFonts w:cs="Arial Unicode MS"/>
                <w:sz w:val="19"/>
              </w:rPr>
              <w:lastRenderedPageBreak/>
              <w:t>2027.05—2027.07</w:t>
            </w:r>
          </w:p>
        </w:tc>
        <w:tc>
          <w:tcPr>
            <w:tcW w:w="2977" w:type="dxa"/>
            <w:vAlign w:val="center"/>
          </w:tcPr>
          <w:p w14:paraId="35C905DB" w14:textId="77777777" w:rsidR="00121BB8" w:rsidRDefault="00000000">
            <w:pPr>
              <w:spacing w:line="276" w:lineRule="auto"/>
              <w:jc w:val="left"/>
            </w:pPr>
            <w:r>
              <w:rPr>
                <w:rFonts w:cs="Arial Unicode MS"/>
                <w:sz w:val="19"/>
              </w:rPr>
              <w:t>开展总体组合评价、主要对照、机制消融和通信中断时长扫描。</w:t>
            </w:r>
          </w:p>
        </w:tc>
        <w:tc>
          <w:tcPr>
            <w:tcW w:w="3138" w:type="dxa"/>
            <w:vAlign w:val="center"/>
          </w:tcPr>
          <w:p w14:paraId="7BF27D4B" w14:textId="77777777" w:rsidR="00121BB8" w:rsidRDefault="00000000">
            <w:pPr>
              <w:spacing w:line="276" w:lineRule="auto"/>
              <w:jc w:val="left"/>
            </w:pPr>
            <w:r>
              <w:rPr>
                <w:rFonts w:cs="Arial Unicode MS"/>
                <w:sz w:val="19"/>
              </w:rPr>
              <w:t>配对评价、区间估计和适用范围</w:t>
            </w:r>
          </w:p>
        </w:tc>
      </w:tr>
      <w:tr w:rsidR="00EB31B3" w14:paraId="08532A51" w14:textId="77777777">
        <w:trPr>
          <w:gridAfter w:val="1"/>
          <w:wAfter w:w="360" w:type="dxa"/>
          <w:cantSplit/>
          <w:trHeight w:val="480"/>
        </w:trPr>
        <w:tc>
          <w:tcPr>
            <w:tcW w:w="1985" w:type="dxa"/>
            <w:vAlign w:val="center"/>
          </w:tcPr>
          <w:p w14:paraId="26767DA6" w14:textId="77777777" w:rsidR="00121BB8" w:rsidRDefault="00000000">
            <w:pPr>
              <w:spacing w:line="276" w:lineRule="auto"/>
              <w:jc w:val="center"/>
            </w:pPr>
            <w:r>
              <w:rPr>
                <w:rFonts w:cs="Arial Unicode MS"/>
                <w:sz w:val="19"/>
              </w:rPr>
              <w:t>2027.08—2027.10</w:t>
            </w:r>
          </w:p>
        </w:tc>
        <w:tc>
          <w:tcPr>
            <w:tcW w:w="2977" w:type="dxa"/>
            <w:vAlign w:val="center"/>
          </w:tcPr>
          <w:p w14:paraId="2ABF1C07" w14:textId="77777777" w:rsidR="00121BB8" w:rsidRDefault="00000000">
            <w:pPr>
              <w:spacing w:line="276" w:lineRule="auto"/>
              <w:jc w:val="left"/>
            </w:pPr>
            <w:r>
              <w:rPr>
                <w:rFonts w:cs="Arial Unicode MS"/>
                <w:sz w:val="19"/>
              </w:rPr>
              <w:t>完成</w:t>
            </w:r>
            <w:r>
              <w:rPr>
                <w:rFonts w:cs="Arial Unicode MS"/>
                <w:sz w:val="19"/>
              </w:rPr>
              <w:t>MQTT</w:t>
            </w:r>
            <w:r>
              <w:rPr>
                <w:rFonts w:cs="Arial Unicode MS"/>
                <w:sz w:val="19"/>
              </w:rPr>
              <w:t>跨进程软件在环、消息异常与进程恢复验证。</w:t>
            </w:r>
          </w:p>
        </w:tc>
        <w:tc>
          <w:tcPr>
            <w:tcW w:w="3138" w:type="dxa"/>
            <w:vAlign w:val="center"/>
          </w:tcPr>
          <w:p w14:paraId="00A30067" w14:textId="77777777" w:rsidR="00121BB8" w:rsidRDefault="00000000">
            <w:pPr>
              <w:spacing w:line="276" w:lineRule="auto"/>
              <w:jc w:val="left"/>
            </w:pPr>
            <w:r>
              <w:rPr>
                <w:rFonts w:cs="Arial Unicode MS"/>
                <w:sz w:val="19"/>
              </w:rPr>
              <w:t>软件在环系统和一致性报告</w:t>
            </w:r>
          </w:p>
        </w:tc>
      </w:tr>
      <w:tr w:rsidR="00EB31B3" w14:paraId="55CB2656" w14:textId="77777777">
        <w:trPr>
          <w:gridAfter w:val="1"/>
          <w:wAfter w:w="360" w:type="dxa"/>
          <w:cantSplit/>
          <w:trHeight w:val="480"/>
        </w:trPr>
        <w:tc>
          <w:tcPr>
            <w:tcW w:w="1985" w:type="dxa"/>
            <w:vAlign w:val="center"/>
          </w:tcPr>
          <w:p w14:paraId="798B100F" w14:textId="77777777" w:rsidR="00121BB8" w:rsidRDefault="00000000">
            <w:pPr>
              <w:spacing w:line="276" w:lineRule="auto"/>
              <w:jc w:val="center"/>
            </w:pPr>
            <w:r>
              <w:rPr>
                <w:rFonts w:cs="Arial Unicode MS"/>
                <w:sz w:val="19"/>
              </w:rPr>
              <w:t>2027.11—2028.01</w:t>
            </w:r>
          </w:p>
        </w:tc>
        <w:tc>
          <w:tcPr>
            <w:tcW w:w="2977" w:type="dxa"/>
            <w:vAlign w:val="center"/>
          </w:tcPr>
          <w:p w14:paraId="66F4025A" w14:textId="77777777" w:rsidR="00121BB8" w:rsidRDefault="00000000">
            <w:pPr>
              <w:spacing w:line="276" w:lineRule="auto"/>
              <w:jc w:val="left"/>
            </w:pPr>
            <w:r>
              <w:rPr>
                <w:rFonts w:cs="Arial Unicode MS"/>
                <w:sz w:val="19"/>
              </w:rPr>
              <w:t>开发数据管理、任务审计、告警与可视化界面，完成系统集成。</w:t>
            </w:r>
          </w:p>
        </w:tc>
        <w:tc>
          <w:tcPr>
            <w:tcW w:w="3138" w:type="dxa"/>
            <w:vAlign w:val="center"/>
          </w:tcPr>
          <w:p w14:paraId="3A0B1255" w14:textId="77777777" w:rsidR="00121BB8" w:rsidRDefault="00000000">
            <w:pPr>
              <w:spacing w:line="276" w:lineRule="auto"/>
              <w:jc w:val="left"/>
            </w:pPr>
            <w:r>
              <w:rPr>
                <w:rFonts w:cs="Arial Unicode MS"/>
                <w:sz w:val="19"/>
              </w:rPr>
              <w:t>可运行原型、接口文档和管理界面</w:t>
            </w:r>
          </w:p>
        </w:tc>
      </w:tr>
      <w:tr w:rsidR="00EB31B3" w14:paraId="097325AB" w14:textId="77777777">
        <w:trPr>
          <w:gridAfter w:val="1"/>
          <w:wAfter w:w="360" w:type="dxa"/>
          <w:cantSplit/>
          <w:trHeight w:val="480"/>
        </w:trPr>
        <w:tc>
          <w:tcPr>
            <w:tcW w:w="1985" w:type="dxa"/>
            <w:vAlign w:val="center"/>
          </w:tcPr>
          <w:p w14:paraId="6D8A9AD0" w14:textId="77777777" w:rsidR="00121BB8" w:rsidRDefault="00000000">
            <w:pPr>
              <w:spacing w:line="276" w:lineRule="auto"/>
              <w:jc w:val="center"/>
            </w:pPr>
            <w:r>
              <w:rPr>
                <w:rFonts w:cs="Arial Unicode MS"/>
                <w:sz w:val="19"/>
              </w:rPr>
              <w:t>2028.02—2028.03</w:t>
            </w:r>
          </w:p>
        </w:tc>
        <w:tc>
          <w:tcPr>
            <w:tcW w:w="2977" w:type="dxa"/>
            <w:vAlign w:val="center"/>
          </w:tcPr>
          <w:p w14:paraId="79621B24" w14:textId="77777777" w:rsidR="00121BB8" w:rsidRDefault="00000000">
            <w:pPr>
              <w:spacing w:line="276" w:lineRule="auto"/>
              <w:jc w:val="left"/>
            </w:pPr>
            <w:r>
              <w:rPr>
                <w:rFonts w:cs="Arial Unicode MS"/>
                <w:sz w:val="19"/>
              </w:rPr>
              <w:t>开展共同漂移扩展、执行器友好约束和可选台架复核。</w:t>
            </w:r>
          </w:p>
        </w:tc>
        <w:tc>
          <w:tcPr>
            <w:tcW w:w="3138" w:type="dxa"/>
            <w:vAlign w:val="center"/>
          </w:tcPr>
          <w:p w14:paraId="43B81E67" w14:textId="77777777" w:rsidR="00121BB8" w:rsidRDefault="00000000">
            <w:pPr>
              <w:spacing w:line="276" w:lineRule="auto"/>
              <w:jc w:val="left"/>
            </w:pPr>
            <w:r>
              <w:rPr>
                <w:rFonts w:cs="Arial Unicode MS"/>
                <w:sz w:val="19"/>
              </w:rPr>
              <w:t>扩展机制、台架记录和综合验证</w:t>
            </w:r>
          </w:p>
        </w:tc>
      </w:tr>
      <w:tr w:rsidR="00EB31B3" w14:paraId="1835C25A" w14:textId="77777777">
        <w:trPr>
          <w:gridAfter w:val="1"/>
          <w:wAfter w:w="360" w:type="dxa"/>
          <w:cantSplit/>
          <w:trHeight w:val="480"/>
        </w:trPr>
        <w:tc>
          <w:tcPr>
            <w:tcW w:w="1985" w:type="dxa"/>
            <w:vAlign w:val="center"/>
          </w:tcPr>
          <w:p w14:paraId="2178D934" w14:textId="77777777" w:rsidR="00121BB8" w:rsidRDefault="00000000">
            <w:pPr>
              <w:spacing w:line="276" w:lineRule="auto"/>
              <w:jc w:val="center"/>
            </w:pPr>
            <w:r>
              <w:rPr>
                <w:rFonts w:cs="Arial Unicode MS"/>
                <w:sz w:val="19"/>
              </w:rPr>
              <w:t>2028.04—2028.06</w:t>
            </w:r>
          </w:p>
        </w:tc>
        <w:tc>
          <w:tcPr>
            <w:tcW w:w="2977" w:type="dxa"/>
            <w:vAlign w:val="center"/>
          </w:tcPr>
          <w:p w14:paraId="34316FB1" w14:textId="77777777" w:rsidR="00121BB8" w:rsidRDefault="00000000">
            <w:pPr>
              <w:spacing w:line="276" w:lineRule="auto"/>
              <w:jc w:val="left"/>
            </w:pPr>
            <w:r>
              <w:rPr>
                <w:rFonts w:cs="Arial Unicode MS"/>
                <w:sz w:val="19"/>
              </w:rPr>
              <w:t>完成论文撰写、预审修改、答辩材料及代码数据归档。</w:t>
            </w:r>
          </w:p>
        </w:tc>
        <w:tc>
          <w:tcPr>
            <w:tcW w:w="3138" w:type="dxa"/>
            <w:vAlign w:val="center"/>
          </w:tcPr>
          <w:p w14:paraId="67969DEF" w14:textId="77777777" w:rsidR="00121BB8" w:rsidRDefault="00000000">
            <w:pPr>
              <w:spacing w:line="276" w:lineRule="auto"/>
              <w:jc w:val="left"/>
            </w:pPr>
            <w:r>
              <w:rPr>
                <w:rFonts w:cs="Arial Unicode MS"/>
                <w:sz w:val="19"/>
              </w:rPr>
              <w:t>论文定稿、答辩材料和研究归档</w:t>
            </w:r>
          </w:p>
        </w:tc>
      </w:tr>
      <w:tr w:rsidR="00EB31B3" w14:paraId="4CDA46CF" w14:textId="77777777">
        <w:trPr>
          <w:gridAfter w:val="1"/>
          <w:wAfter w:w="360" w:type="dxa"/>
          <w:trHeight w:val="480"/>
        </w:trPr>
        <w:tc>
          <w:tcPr>
            <w:tcW w:w="1985" w:type="dxa"/>
            <w:vAlign w:val="center"/>
          </w:tcPr>
          <w:p w14:paraId="616DB914" w14:textId="77777777" w:rsidR="00121BB8" w:rsidRDefault="00121BB8"/>
        </w:tc>
        <w:tc>
          <w:tcPr>
            <w:tcW w:w="2977" w:type="dxa"/>
            <w:vAlign w:val="center"/>
          </w:tcPr>
          <w:p w14:paraId="496231EC" w14:textId="77777777" w:rsidR="00121BB8" w:rsidRDefault="00121BB8"/>
        </w:tc>
        <w:tc>
          <w:tcPr>
            <w:tcW w:w="3138" w:type="dxa"/>
            <w:vAlign w:val="center"/>
          </w:tcPr>
          <w:p w14:paraId="5721F5A9" w14:textId="77777777" w:rsidR="00121BB8" w:rsidRDefault="00121BB8"/>
        </w:tc>
      </w:tr>
      <w:tr w:rsidR="00EB31B3" w14:paraId="2AA50296" w14:textId="77777777">
        <w:trPr>
          <w:gridAfter w:val="1"/>
          <w:wAfter w:w="360" w:type="dxa"/>
          <w:trHeight w:val="480"/>
        </w:trPr>
        <w:tc>
          <w:tcPr>
            <w:tcW w:w="1985" w:type="dxa"/>
            <w:vAlign w:val="center"/>
          </w:tcPr>
          <w:p w14:paraId="6CDB5B0C" w14:textId="77777777" w:rsidR="00121BB8" w:rsidRDefault="00121BB8"/>
        </w:tc>
        <w:tc>
          <w:tcPr>
            <w:tcW w:w="2977" w:type="dxa"/>
            <w:vAlign w:val="center"/>
          </w:tcPr>
          <w:p w14:paraId="3640D21F" w14:textId="77777777" w:rsidR="00121BB8" w:rsidRDefault="00121BB8"/>
        </w:tc>
        <w:tc>
          <w:tcPr>
            <w:tcW w:w="3138" w:type="dxa"/>
            <w:vAlign w:val="center"/>
          </w:tcPr>
          <w:p w14:paraId="6FC9C55A" w14:textId="77777777" w:rsidR="00121BB8" w:rsidRDefault="00121BB8"/>
        </w:tc>
      </w:tr>
      <w:tr w:rsidR="00EB31B3" w14:paraId="308D28D4" w14:textId="77777777">
        <w:trPr>
          <w:gridAfter w:val="1"/>
          <w:wAfter w:w="360" w:type="dxa"/>
          <w:trHeight w:val="480"/>
        </w:trPr>
        <w:tc>
          <w:tcPr>
            <w:tcW w:w="1985" w:type="dxa"/>
            <w:vAlign w:val="center"/>
          </w:tcPr>
          <w:p w14:paraId="1760F5C2" w14:textId="77777777" w:rsidR="00121BB8" w:rsidRDefault="00121BB8"/>
        </w:tc>
        <w:tc>
          <w:tcPr>
            <w:tcW w:w="2977" w:type="dxa"/>
            <w:vAlign w:val="center"/>
          </w:tcPr>
          <w:p w14:paraId="7DC0CEF7" w14:textId="77777777" w:rsidR="00121BB8" w:rsidRDefault="00121BB8"/>
        </w:tc>
        <w:tc>
          <w:tcPr>
            <w:tcW w:w="3138" w:type="dxa"/>
            <w:vAlign w:val="center"/>
          </w:tcPr>
          <w:p w14:paraId="68D0E279" w14:textId="77777777" w:rsidR="00121BB8" w:rsidRDefault="00121BB8"/>
        </w:tc>
      </w:tr>
      <w:tr w:rsidR="00EB31B3" w14:paraId="5A5DDDF8" w14:textId="77777777">
        <w:trPr>
          <w:gridAfter w:val="1"/>
          <w:wAfter w:w="360" w:type="dxa"/>
          <w:trHeight w:val="480"/>
        </w:trPr>
        <w:tc>
          <w:tcPr>
            <w:tcW w:w="1985" w:type="dxa"/>
            <w:vAlign w:val="center"/>
          </w:tcPr>
          <w:p w14:paraId="326423EF" w14:textId="77777777" w:rsidR="00121BB8" w:rsidRDefault="00121BB8"/>
        </w:tc>
        <w:tc>
          <w:tcPr>
            <w:tcW w:w="2977" w:type="dxa"/>
            <w:vAlign w:val="center"/>
          </w:tcPr>
          <w:p w14:paraId="46C35646" w14:textId="77777777" w:rsidR="00121BB8" w:rsidRDefault="00121BB8"/>
        </w:tc>
        <w:tc>
          <w:tcPr>
            <w:tcW w:w="3138" w:type="dxa"/>
            <w:vAlign w:val="center"/>
          </w:tcPr>
          <w:p w14:paraId="4ED19C16" w14:textId="77777777" w:rsidR="00121BB8" w:rsidRDefault="00121BB8"/>
        </w:tc>
      </w:tr>
      <w:tr w:rsidR="00EB31B3" w14:paraId="75419A5E" w14:textId="77777777">
        <w:trPr>
          <w:gridAfter w:val="1"/>
          <w:wAfter w:w="360" w:type="dxa"/>
          <w:trHeight w:val="480"/>
        </w:trPr>
        <w:tc>
          <w:tcPr>
            <w:tcW w:w="1985" w:type="dxa"/>
            <w:vAlign w:val="center"/>
          </w:tcPr>
          <w:p w14:paraId="5E195519" w14:textId="77777777" w:rsidR="00121BB8" w:rsidRDefault="00121BB8"/>
        </w:tc>
        <w:tc>
          <w:tcPr>
            <w:tcW w:w="2977" w:type="dxa"/>
            <w:vAlign w:val="center"/>
          </w:tcPr>
          <w:p w14:paraId="0CE29067" w14:textId="77777777" w:rsidR="00121BB8" w:rsidRDefault="00121BB8"/>
        </w:tc>
        <w:tc>
          <w:tcPr>
            <w:tcW w:w="3138" w:type="dxa"/>
            <w:vAlign w:val="center"/>
          </w:tcPr>
          <w:p w14:paraId="6ACA7D9B" w14:textId="77777777" w:rsidR="00121BB8" w:rsidRDefault="00121BB8"/>
        </w:tc>
      </w:tr>
      <w:tr w:rsidR="00EB31B3" w14:paraId="5C470F03" w14:textId="77777777">
        <w:trPr>
          <w:gridAfter w:val="1"/>
          <w:wAfter w:w="360" w:type="dxa"/>
          <w:trHeight w:val="6240"/>
        </w:trPr>
        <w:tc>
          <w:tcPr>
            <w:tcW w:w="8100" w:type="dxa"/>
            <w:gridSpan w:val="3"/>
            <w:shd w:fill="FFFFFF"/>
          </w:tcPr>
          <w:p w14:paraId="70CBFA1D" w14:textId="77777777" w:rsidR="00121BB8" w:rsidRDefault="00000000">
            <w:pPr>
              <w:widowControl/>
              <w:spacing w:after="80" w:line="324" w:lineRule="auto"/>
            </w:pPr>
            <w:r>
              <w:rPr>
                <w:rFonts w:ascii="Times New Roman" w:hAnsi="Times New Roman" w:eastAsia="黑体"/>
                <w:b/>
                <w:sz w:val="24"/>
              </w:rPr>
              <w:t>八、主要参考文献</w:t>
            </w:r>
          </w:p>
          <w:p>
            <w:pPr>
              <w:spacing w:before="0" w:after="30" w:line="240" w:lineRule="auto"/>
              <w:ind w:left="280" w:hanging="280"/>
            </w:pPr>
            <w:r>
              <w:rPr>
                <w:rFonts w:ascii="Times New Roman" w:hAnsi="Times New Roman" w:eastAsia="宋体"/>
                <w:sz w:val="18"/>
              </w:rPr>
              <w:t>[1] ZHANG Q, ed. Precision Agriculture Technology for Crop Farming[M]. Boca Raton: CRC Press, 2016. DOI或官方链接：https://www.routledge.com/Precision-AgricultureTechnology-for-CropFarming/Zhang/p/book/9781032098272</w:t>
            </w:r>
          </w:p>
          <w:p>
            <w:pPr>
              <w:spacing w:before="0" w:after="30" w:line="240" w:lineRule="auto"/>
              <w:ind w:left="280" w:hanging="280"/>
            </w:pPr>
            <w:r>
              <w:rPr>
                <w:rFonts w:ascii="Times New Roman" w:hAnsi="Times New Roman" w:eastAsia="宋体"/>
                <w:sz w:val="18"/>
              </w:rPr>
              <w:t>[2] CASTRIGNANÒ A, BUTTAFUOCO G, KHOSLA R, et al., eds. Agricultural Internet of Things and Decision Support for Precision Smart Farming[M]. London: Academic Press, 2020. DOI或官方链接：https://shop.elsevier.com/books/agricultural-internet-of-things-and-decision-support-for-precision-smart-farming/castrignano/978-0-12-818373-1</w:t>
            </w:r>
          </w:p>
          <w:p>
            <w:pPr>
              <w:spacing w:before="0" w:after="30" w:line="240" w:lineRule="auto"/>
              <w:ind w:left="280" w:hanging="280"/>
            </w:pPr>
            <w:r>
              <w:rPr>
                <w:rFonts w:ascii="Times New Roman" w:hAnsi="Times New Roman" w:eastAsia="宋体"/>
                <w:sz w:val="18"/>
              </w:rPr>
              <w:t>[3] SRIVASTAVA S K, SRIVASTAVA D, CENGIZ K, et al., eds. Smart Agritech: Robotics, AI, and Internet of Things (IoT) in Agriculture[M]. Hoboken: Wiley, 2024. DOI或官方链接：https://doi.org/10.1002/9781394302994</w:t>
            </w:r>
          </w:p>
          <w:p>
            <w:pPr>
              <w:spacing w:before="0" w:after="30" w:line="240" w:lineRule="auto"/>
              <w:ind w:left="280" w:hanging="280"/>
            </w:pPr>
            <w:r>
              <w:rPr>
                <w:rFonts w:ascii="Times New Roman" w:hAnsi="Times New Roman" w:eastAsia="宋体"/>
                <w:sz w:val="18"/>
              </w:rPr>
              <w:t>[4] CHOUDHURY A, BISWAS A, SINGH T P, et al., eds. Smart Agriculture Automation Using Advanced Technologies[M]. Singapore: Springer, 2021. DOI或官方链接：https://doi.org/10.1007/978-981-16-6124-2</w:t>
            </w:r>
          </w:p>
          <w:p>
            <w:pPr>
              <w:spacing w:before="0" w:after="30" w:line="240" w:lineRule="auto"/>
              <w:ind w:left="280" w:hanging="280"/>
            </w:pPr>
            <w:r>
              <w:rPr>
                <w:rFonts w:ascii="Times New Roman" w:hAnsi="Times New Roman" w:eastAsia="宋体"/>
                <w:sz w:val="18"/>
              </w:rPr>
              <w:t>[5] RAJ P, GAYATHRI N, KATHRINE G J W, eds. Artificial Intelligence for Precision Agriculture[M]. Boca Raton: Auerbach Publications, 2025. DOI或官方链接：https://www.routledge.com/Artificial-Intelligence-for-Precision-Agriculture/Gayathri-Kathrine-Raj/p/book/9781032462349</w:t>
            </w:r>
          </w:p>
          <w:p>
            <w:pPr>
              <w:spacing w:before="0" w:after="30" w:line="240" w:lineRule="auto"/>
              <w:ind w:left="280" w:hanging="280"/>
            </w:pPr>
            <w:r>
              <w:rPr>
                <w:rFonts w:ascii="Times New Roman" w:hAnsi="Times New Roman" w:eastAsia="宋体"/>
                <w:sz w:val="18"/>
              </w:rPr>
              <w:t>[6] WU Y, LI L, LI S, et al. Optimal control algorithm of fertigation system in greenhouse based on EC model[J]. International Journal of Agricultural and Biological Engineering, 2019, 12(3): 118-125. DOI或官方链接：https://doi.org/10.25165/j.ijabe.20191203.4680</w:t>
            </w:r>
          </w:p>
          <w:p>
            <w:pPr>
              <w:spacing w:before="0" w:after="30" w:line="240" w:lineRule="auto"/>
              <w:ind w:left="280" w:hanging="280"/>
            </w:pPr>
            <w:r>
              <w:rPr>
                <w:rFonts w:ascii="Times New Roman" w:hAnsi="Times New Roman" w:eastAsia="宋体"/>
                <w:sz w:val="18"/>
              </w:rPr>
              <w:t>[7] XU Y, JIN Y, SUN Z, et al. PSO-Based System Identification and Fuzzy-PID Control for EC Real-Time Regulation in Fertilizer Mixing System[J]. Agronomy, 2025, 15(5): 1259. DOI或官方链接：https://doi.org/10.3390/agronomy15051259</w:t>
            </w:r>
          </w:p>
          <w:p>
            <w:pPr>
              <w:spacing w:before="0" w:after="30" w:line="240" w:lineRule="auto"/>
              <w:ind w:left="280" w:hanging="280"/>
            </w:pPr>
            <w:r>
              <w:rPr>
                <w:rFonts w:ascii="Times New Roman" w:hAnsi="Times New Roman" w:eastAsia="宋体"/>
                <w:sz w:val="18"/>
              </w:rPr>
              <w:t>[8] YUAN W, ZHANG Z, DAI J, et al. Change-aware online identification and adaptive PI control for robust electrical conductivity regulation in fertigation mixing systems[J]. Smart Agricultural Technology, 2026, 14: 102110. DOI或官方链接：https://doi.org/10.1016/j.atech.2026.102110</w:t>
            </w:r>
          </w:p>
          <w:p>
            <w:pPr>
              <w:spacing w:before="0" w:after="30" w:line="240" w:lineRule="auto"/>
              <w:ind w:left="280" w:hanging="280"/>
            </w:pPr>
            <w:r>
              <w:rPr>
                <w:rFonts w:ascii="Times New Roman" w:hAnsi="Times New Roman" w:eastAsia="宋体"/>
                <w:sz w:val="18"/>
              </w:rPr>
              <w:t>[9] GONZÁLEZ PEREA R, MORENO M A, ORTEGA J F, et al. Dynamic Simulation Tool of fertigation in drip irrigation subunits[J]. Computers and Electronics in Agriculture, 2020, 173: 105434. DOI或官方链接：https://doi.org/10.1016/j.compag.2020.105434</w:t>
            </w:r>
          </w:p>
          <w:p>
            <w:pPr>
              <w:spacing w:before="0" w:after="30" w:line="240" w:lineRule="auto"/>
              <w:ind w:left="280" w:hanging="280"/>
            </w:pPr>
            <w:r>
              <w:rPr>
                <w:rFonts w:ascii="Times New Roman" w:hAnsi="Times New Roman" w:eastAsia="宋体"/>
                <w:sz w:val="18"/>
              </w:rPr>
              <w:t>[10] SULAIMAN H, YUSOF A A, MOHAMED NOR M K. Automated Hydroponic Nutrient Dosing System: A Scoping Review of pH and Electrical Conductivity Dosing Frameworks[J]. AgriEngineering, 2025, 7(2): 43. DOI或官方链接：https://doi.org/10.3390/agriengineering7020043</w:t>
            </w:r>
          </w:p>
          <w:p>
            <w:pPr>
              <w:spacing w:before="0" w:after="30" w:line="240" w:lineRule="auto"/>
              <w:ind w:left="280" w:hanging="280"/>
            </w:pPr>
            <w:r>
              <w:rPr>
                <w:rFonts w:ascii="Times New Roman" w:hAnsi="Times New Roman" w:eastAsia="宋体"/>
                <w:sz w:val="18"/>
              </w:rPr>
              <w:t>[11] SAVAGLIO C, FORTINO G, ZHOU M, et al., eds. Device-Edge-Cloud Continuum: Paradigms, Architectures and Applications[M]. Cham: Springer, 2024. DOI或官方链接：https://doi.org/10.1007/978-3-031-42194-5</w:t>
            </w:r>
          </w:p>
          <w:p>
            <w:pPr>
              <w:spacing w:before="0" w:after="30" w:line="240" w:lineRule="auto"/>
              <w:ind w:left="280" w:hanging="280"/>
            </w:pPr>
            <w:r>
              <w:rPr>
                <w:rFonts w:ascii="Times New Roman" w:hAnsi="Times New Roman" w:eastAsia="宋体"/>
                <w:sz w:val="18"/>
              </w:rPr>
              <w:t>[12] KARAKONSTANTIS G, GILLAN C J, eds. Computing at the EDGE: New Challenges for Service Provision[M]. Cham: Springer, 2022. DOI或官方链接：https://doi.org/10.1007/978-3-030-74536-3</w:t>
            </w:r>
          </w:p>
          <w:p>
            <w:pPr>
              <w:spacing w:before="0" w:after="30" w:line="240" w:lineRule="auto"/>
              <w:ind w:left="280" w:hanging="280"/>
            </w:pPr>
            <w:r>
              <w:rPr>
                <w:rFonts w:ascii="Times New Roman" w:hAnsi="Times New Roman" w:eastAsia="宋体"/>
                <w:sz w:val="18"/>
              </w:rPr>
              <w:t>[13] SRIVATSA M, ABDELZAHER T, HE T, eds. Artificial Intelligence for Edge Computing[M]. Cham: Springer, 2023. DOI或官方链接：https://doi.org/10.1007/978-3-031-40787-1</w:t>
            </w:r>
          </w:p>
          <w:p>
            <w:pPr>
              <w:spacing w:before="0" w:after="30" w:line="240" w:lineRule="auto"/>
              <w:ind w:left="280" w:hanging="280"/>
            </w:pPr>
            <w:r>
              <w:rPr>
                <w:rFonts w:ascii="Times New Roman" w:hAnsi="Times New Roman" w:eastAsia="宋体"/>
                <w:sz w:val="18"/>
              </w:rPr>
              <w:t>[14] SHI W, CAO J, ZHANG Q, et al. Edge Computing: Vision and Challenges[J]. IEEE Internet of Things Journal, 2016, 3(5): 637-646. DOI或官方链接：https://doi.org/10.1109/JIOT.2016.2579198</w:t>
            </w:r>
          </w:p>
          <w:p>
            <w:pPr>
              <w:spacing w:before="0" w:after="30" w:line="240" w:lineRule="auto"/>
              <w:ind w:left="280" w:hanging="280"/>
            </w:pPr>
            <w:r>
              <w:rPr>
                <w:rFonts w:ascii="Times New Roman" w:hAnsi="Times New Roman" w:eastAsia="宋体"/>
                <w:sz w:val="18"/>
              </w:rPr>
              <w:t>[15] MA Y, LU C, SINOPOLI B, et al. Exploring Edge Computing for Multitier Industrial Control[J]. IEEE Transactions on Computer-Aided Design of Integrated Circuits and Systems, 2020, 39(11): 3506-3518. DOI或官方链接：https://doi.org/10.1109/TCAD.2020.3012648</w:t>
            </w:r>
          </w:p>
          <w:p>
            <w:pPr>
              <w:spacing w:before="0" w:after="30" w:line="240" w:lineRule="auto"/>
              <w:ind w:left="280" w:hanging="280"/>
            </w:pPr>
            <w:r>
              <w:rPr>
                <w:rFonts w:ascii="Times New Roman" w:hAnsi="Times New Roman" w:eastAsia="宋体"/>
                <w:sz w:val="18"/>
              </w:rPr>
              <w:t>[16] DENG Y, LÉCHAPPÉ V, MOULAY E, et al. Predictor-based control of time-delay systems: a survey[J]. International Journal of Systems Science, 2022, 53(12): 2496-2534. DOI或官方链接：https://doi.org/10.1080/00207721.2022.2056654</w:t>
            </w:r>
          </w:p>
          <w:p>
            <w:pPr>
              <w:spacing w:before="0" w:after="30" w:line="240" w:lineRule="auto"/>
              <w:ind w:left="280" w:hanging="280"/>
            </w:pPr>
            <w:r>
              <w:rPr>
                <w:rFonts w:ascii="Times New Roman" w:hAnsi="Times New Roman" w:eastAsia="宋体"/>
                <w:sz w:val="18"/>
              </w:rPr>
              <w:t>[17] ZAREI J, MASOUDI E, RAZAVI-FAR R, et al. Fault-tolerant control design for unreliable networked control systems via constrained model predictive control[J]. ISA Transactions, 2023, 134: 171-182. DOI或官方链接：https://doi.org/10.1016/j.isatra.2022.08.019</w:t>
            </w:r>
          </w:p>
          <w:p>
            <w:pPr>
              <w:spacing w:before="0" w:after="30" w:line="240" w:lineRule="auto"/>
              <w:ind w:left="280" w:hanging="280"/>
            </w:pPr>
            <w:r>
              <w:rPr>
                <w:rFonts w:ascii="Times New Roman" w:hAnsi="Times New Roman" w:eastAsia="宋体"/>
                <w:sz w:val="18"/>
              </w:rPr>
              <w:t>[18] OASIS. MQTT Version 3.1.1[S/OL]. OASIS Standard, 2014-10-29. DOI或官方链接：https://docs.oasis-open.org/mqtt/mqtt/v3.1.1/os/mqtt-v3.1.1-os.html</w:t>
            </w:r>
          </w:p>
          <w:p>
            <w:pPr>
              <w:spacing w:before="0" w:after="30" w:line="240" w:lineRule="auto"/>
              <w:ind w:left="280" w:hanging="280"/>
            </w:pPr>
            <w:r>
              <w:rPr>
                <w:rFonts w:ascii="Times New Roman" w:hAnsi="Times New Roman" w:eastAsia="宋体"/>
                <w:sz w:val="18"/>
              </w:rPr>
              <w:t>[19] IMBERNÓN-MULERO A, MAESTRE-VALERO J F, MARTÍNEZ-ALVAREZ V, et al. Evaluation of an autonomous smart system for optimal management of fertigation with variable sources of irrigation water[J]. Frontiers in Plant Science, 2023, 14: 1149956. DOI或官方链接：https://doi.org/10.3389/fpls.2023.1149956</w:t>
            </w:r>
          </w:p>
          <w:p>
            <w:pPr>
              <w:spacing w:before="0" w:after="30" w:line="240" w:lineRule="auto"/>
              <w:ind w:left="280" w:hanging="280"/>
            </w:pPr>
            <w:r>
              <w:rPr>
                <w:rFonts w:ascii="Times New Roman" w:hAnsi="Times New Roman" w:eastAsia="宋体"/>
                <w:sz w:val="18"/>
              </w:rPr>
              <w:t>[20] ADAMO T, CAIVANO D, COLIZZI L, et al. Optimization of irrigation and fertigation in smart agriculture: An IoT-based micro-services framework[J]. Smart Agricultural Technology, 2025, 11: 100885. DOI或官方链接：https://doi.org/10.1016/j.atech.2025.100885</w:t>
            </w:r>
          </w:p>
          <w:p>
            <w:pPr>
              <w:spacing w:before="0" w:after="30" w:line="240" w:lineRule="auto"/>
              <w:ind w:left="280" w:hanging="280"/>
            </w:pPr>
            <w:r>
              <w:rPr>
                <w:rFonts w:ascii="Times New Roman" w:hAnsi="Times New Roman" w:eastAsia="宋体"/>
                <w:sz w:val="18"/>
              </w:rPr>
              <w:t>[21] LIN N, WANG X, ZHANG Y, et al. Fertigation management for sustainable precision agriculture based on Internet of Things[J]. Journal of Cleaner Production, 2020, 277: 124119. DOI或官方链接：https://doi.org/10.1016/j.jclepro.2020.124119</w:t>
            </w:r>
          </w:p>
          <w:p>
            <w:pPr>
              <w:spacing w:before="0" w:after="30" w:line="240" w:lineRule="auto"/>
              <w:ind w:left="280" w:hanging="280"/>
            </w:pPr>
            <w:r>
              <w:rPr>
                <w:rFonts w:ascii="Times New Roman" w:hAnsi="Times New Roman" w:eastAsia="宋体"/>
                <w:sz w:val="18"/>
              </w:rPr>
              <w:t>[22] ZHANG H, HE L, DI GIOIA F, et al. LoRaWAN based internet of things (IoT) system for precision irrigation in plasticulture fresh-market tomato[J]. Smart Agricultural Technology, 2022, 2: 100053. DOI或官方链接：https://doi.org/10.1016/j.atech.2022.100053</w:t>
            </w:r>
          </w:p>
          <w:p>
            <w:pPr>
              <w:spacing w:before="0" w:after="30" w:line="240" w:lineRule="auto"/>
              <w:ind w:left="280" w:hanging="280"/>
            </w:pPr>
            <w:r>
              <w:rPr>
                <w:rFonts w:ascii="Times New Roman" w:hAnsi="Times New Roman" w:eastAsia="宋体"/>
                <w:sz w:val="18"/>
              </w:rPr>
              <w:t>[23] WANG Q, JIA Y, PANG Z, et al. Intelligent fertigation improves tomato yield and quality and water and nutrient use efficiency in solar greenhouse production[J]. Agricultural Water Management, 2024, 298: 108873. DOI或官方链接：https://doi.org/10.1016/j.agwat.2024.108873</w:t>
            </w:r>
          </w:p>
          <w:p>
            <w:pPr>
              <w:spacing w:before="0" w:after="30" w:line="240" w:lineRule="auto"/>
              <w:ind w:left="280" w:hanging="280"/>
            </w:pPr>
            <w:r>
              <w:rPr>
                <w:rFonts w:ascii="Times New Roman" w:hAnsi="Times New Roman" w:eastAsia="宋体"/>
                <w:sz w:val="18"/>
              </w:rPr>
              <w:t>[24] WANG H, ZHAO J, ZHANG L, et al. Application of Disturbance Observer-Based Fast Terminal Sliding Mode Control for Asynchronous Motors in Remote Electrical Conductivity Control of Fertigation Systems[J]. Agriculture, 2024, 14(2): 168. DOI或官方链接：https://doi.org/10.3390/agriculture14020168</w:t>
            </w:r>
          </w:p>
          <w:p>
            <w:pPr>
              <w:spacing w:before="0" w:after="30" w:line="240" w:lineRule="auto"/>
              <w:ind w:left="280" w:hanging="280"/>
            </w:pPr>
            <w:r>
              <w:rPr>
                <w:rFonts w:ascii="Times New Roman" w:hAnsi="Times New Roman" w:eastAsia="宋体"/>
                <w:sz w:val="18"/>
              </w:rPr>
              <w:t>[25] ÅSTRÖM K J, HÄGGLUND T. Advanced PID Control[M]. Hoboken: Wiley, 2026. DOI或官方链接：https://doi.org/10.1002/9781394442102</w:t>
            </w:r>
          </w:p>
          <w:p>
            <w:pPr>
              <w:spacing w:before="0" w:after="30" w:line="240" w:lineRule="auto"/>
              <w:ind w:left="280" w:hanging="280"/>
            </w:pPr>
            <w:r>
              <w:rPr>
                <w:rFonts w:ascii="Times New Roman" w:hAnsi="Times New Roman" w:eastAsia="宋体"/>
                <w:sz w:val="18"/>
              </w:rPr>
              <w:t>[26] RAWLINGS J B, MAYNE D Q, DIEHL M M. Model Predictive Control: Theory, Computation, and Design[M]. 2nd ed. Madison: Nob Hill Publishing, 2026. DOI或官方链接：https://sites.engineering.ucsb.edu/~jbraw/mpc/</w:t>
            </w:r>
          </w:p>
          <w:p>
            <w:pPr>
              <w:spacing w:before="0" w:after="30" w:line="240" w:lineRule="auto"/>
              <w:ind w:left="280" w:hanging="280"/>
            </w:pPr>
            <w:r>
              <w:rPr>
                <w:rFonts w:ascii="Times New Roman" w:hAnsi="Times New Roman" w:eastAsia="宋体"/>
                <w:sz w:val="18"/>
              </w:rPr>
              <w:t>[27] TRAN T C, JUNG J C. Development of Anti-windup PI Control and Bumpless Control Transfer Methodology for Feedwater Control System[J]. Annals of Nuclear Energy, 2019, 131: 233-241. DOI或官方链接：https://doi.org/10.1016/j.anucene.2019.03.030</w:t>
            </w:r>
          </w:p>
          <w:p>
            <w:pPr>
              <w:spacing w:before="0" w:after="30" w:line="240" w:lineRule="auto"/>
              <w:ind w:left="280" w:hanging="280"/>
            </w:pPr>
            <w:r>
              <w:rPr>
                <w:rFonts w:ascii="Times New Roman" w:hAnsi="Times New Roman" w:eastAsia="宋体"/>
                <w:sz w:val="18"/>
              </w:rPr>
              <w:t>[28] ISERMANN R. Fault-Diagnosis Applications: Model-Based Condition Monitoring, Actuators, Drives, Machinery, Plants, Sensors, and Fault-tolerant Systems[M]. Berlin: Springer, 2011. DOI或官方链接：https://doi.org/10.1007/978-3-642-12767-0</w:t>
            </w:r>
          </w:p>
          <w:p>
            <w:pPr>
              <w:spacing w:before="0" w:after="30" w:line="240" w:lineRule="auto"/>
              <w:ind w:left="280" w:hanging="280"/>
            </w:pPr>
            <w:r>
              <w:rPr>
                <w:rFonts w:ascii="Times New Roman" w:hAnsi="Times New Roman" w:eastAsia="宋体"/>
                <w:sz w:val="18"/>
              </w:rPr>
              <w:t>[29] ZOU X, LIU W, HUO Z, et al. Current Status and Prospects of Research on Sensor Fault Diagnosis of Agricultural Internet of Things[J]. Sensors, 2023, 23(5): 2528. DOI或官方链接：https://doi.org/10.3390/s23052528</w:t>
            </w:r>
          </w:p>
          <w:p>
            <w:pPr>
              <w:spacing w:before="0" w:after="30" w:line="240" w:lineRule="auto"/>
              <w:ind w:left="280" w:hanging="280"/>
            </w:pPr>
            <w:r>
              <w:rPr>
                <w:rFonts w:ascii="Times New Roman" w:hAnsi="Times New Roman" w:eastAsia="宋体"/>
                <w:sz w:val="18"/>
              </w:rPr>
              <w:t>[30] SHEKARIAN S M, AMINIAN M, FALLAH A M, et al. AI-powered sensor fault detection for cost-effective smart greenhouses[J]. Computers and Electronics in Agriculture, 2024, 224: 109198. DOI或官方链接：https://doi.org/10.1016/j.compag.2024.109198</w:t>
            </w:r>
          </w:p>
          <w:p>
            <w:pPr>
              <w:spacing w:before="0" w:after="30" w:line="240" w:lineRule="auto"/>
              <w:ind w:left="280" w:hanging="280"/>
            </w:pPr>
            <w:r>
              <w:rPr>
                <w:rFonts w:ascii="Times New Roman" w:hAnsi="Times New Roman" w:eastAsia="宋体"/>
                <w:sz w:val="18"/>
              </w:rPr>
              <w:t>[31] ISERMANN R. Model-based fault-detection and diagnosis: status and applications[J]. Annual Reviews in Control, 2005, 29(1): 71-85. DOI或官方链接：https://doi.org/10.1016/j.arcontrol.2004.12.002</w:t>
            </w:r>
          </w:p>
          <w:p>
            <w:pPr>
              <w:spacing w:before="0" w:after="30" w:line="240" w:lineRule="auto"/>
              <w:ind w:left="280" w:hanging="280"/>
            </w:pPr>
            <w:r>
              <w:rPr>
                <w:rFonts w:ascii="Times New Roman" w:hAnsi="Times New Roman" w:eastAsia="宋体"/>
                <w:sz w:val="18"/>
              </w:rPr>
              <w:t>[32] FENG J, TURKSOY K, SAMADI S, et al. Hybrid online sensor error detection and functional redundancy for systems with time-varying parameters[J]. Journal of Process Control, 2017, 60: 115-127. DOI或官方链接：https://doi.org/10.1016/j.jprocont.2017.04.004</w:t>
            </w:r>
          </w:p>
          <w:p>
            <w:pPr>
              <w:spacing w:before="0" w:after="30" w:line="240" w:lineRule="auto"/>
              <w:ind w:left="280" w:hanging="280"/>
            </w:pPr>
            <w:r>
              <w:rPr>
                <w:rFonts w:ascii="Times New Roman" w:hAnsi="Times New Roman" w:eastAsia="宋体"/>
                <w:sz w:val="18"/>
              </w:rPr>
              <w:t>[33] YETENDJE A, DE DONÁ J A, SERON M M. Multisensor fusion fault tolerant control[J]. Automatica, 2011, 47(7): 1461-1466. DOI或官方链接：https://doi.org/10.1016/j.automatica.2011.02.024</w:t>
            </w:r>
          </w:p>
          <w:p>
            <w:pPr>
              <w:spacing w:before="0" w:after="30" w:line="240" w:lineRule="auto"/>
              <w:ind w:left="280" w:hanging="280"/>
            </w:pPr>
            <w:r>
              <w:rPr>
                <w:rFonts w:ascii="Times New Roman" w:hAnsi="Times New Roman" w:eastAsia="宋体"/>
                <w:sz w:val="18"/>
              </w:rPr>
              <w:t>[34] SERON M M, DE DONÁ J A, OLARU S. Fault Tolerant Control Allowing Sensor Healthy-to-Faulty and Faulty-to-Healthy Transitions[J]. IEEE Transactions on Automatic Control, 2012, 57(7): 1657-1669. DOI或官方链接：https://doi.org/10.1109/TAC.2011.2178716</w:t>
            </w:r>
          </w:p>
          <w:p>
            <w:pPr>
              <w:spacing w:before="0" w:after="30" w:line="240" w:lineRule="auto"/>
              <w:ind w:left="280" w:hanging="280"/>
            </w:pPr>
            <w:r>
              <w:rPr>
                <w:rFonts w:ascii="Times New Roman" w:hAnsi="Times New Roman" w:eastAsia="宋体"/>
                <w:sz w:val="18"/>
              </w:rPr>
              <w:t>[35] DARDER M, VALERA A, NIETO E, et al. Multisensor device based on Case-Based Reasoning (CBR) for monitoring nutrient solutions in fertigation[J]. Sensors and Actuators B: Chemical, 2009, 135(2): 530-536. DOI或官方链接：https://doi.org/10.1016/j.snb.2008.09.034</w:t>
            </w:r>
          </w:p>
          <w:p>
            <w:pPr>
              <w:spacing w:before="0" w:after="30" w:line="240" w:lineRule="auto"/>
              <w:ind w:left="280" w:hanging="280"/>
            </w:pPr>
            <w:r>
              <w:rPr>
                <w:rFonts w:ascii="Times New Roman" w:hAnsi="Times New Roman" w:eastAsia="宋体"/>
                <w:sz w:val="18"/>
              </w:rPr>
              <w:t>[36] KALYANI Y, BERMEO N V, COLLIER R. Digital twin deployment for smart agriculture in Cloud-Fog-Edge infrastructure[J]. International Journal of Parallel, Emergent and Distributed Systems, 2023, 38(6): 461-476. DOI或官方链接：https://doi.org/10.1080/17445760.2023.2235653</w:t>
            </w:r>
          </w:p>
        </w:tc>
      </w:tr>
      <w:tr w:rsidR="00EB31B3" w14:paraId="442F8922" w14:textId="77777777">
        <w:trPr>
          <w:trHeight w:val="13575"/>
        </w:trPr>
        <w:tc>
          <w:tcPr>
            <w:tcW w:w="8460" w:type="dxa"/>
            <w:gridSpan w:val="4"/>
          </w:tcPr>
          <w:p w14:paraId="2D17D642" w14:textId="77777777" w:rsidR="00121BB8" w:rsidRDefault="00000000">
            <w:pPr>
              <w:widowControl/>
              <w:spacing w:after="80" w:line="324" w:lineRule="auto"/>
            </w:pPr>
            <w:r>
              <w:rPr>
                <w:rFonts w:cs="Arial Unicode MS"/>
              </w:rPr>
              <w:lastRenderedPageBreak/>
              <w:t>九、论文详细提纲</w:t>
            </w:r>
          </w:p>
          <w:p w14:paraId="06837899" w14:textId="77777777" w:rsidR="00121BB8" w:rsidRDefault="00000000">
            <w:pPr>
              <w:widowControl/>
              <w:spacing w:line="324" w:lineRule="auto"/>
            </w:pPr>
            <w:r>
              <w:rPr>
                <w:rFonts w:cs="Arial Unicode MS"/>
              </w:rPr>
              <w:t>第</w:t>
            </w:r>
            <w:r>
              <w:rPr>
                <w:rFonts w:cs="Arial Unicode MS"/>
              </w:rPr>
              <w:t>1</w:t>
            </w:r>
            <w:r>
              <w:rPr>
                <w:rFonts w:cs="Arial Unicode MS"/>
              </w:rPr>
              <w:t>章</w:t>
            </w:r>
            <w:r>
              <w:rPr>
                <w:rFonts w:cs="Arial Unicode MS"/>
              </w:rPr>
              <w:t xml:space="preserve"> </w:t>
            </w:r>
            <w:r>
              <w:rPr>
                <w:rFonts w:cs="Arial Unicode MS"/>
              </w:rPr>
              <w:t>绪论：研究背景、国内外进展、研究问题、主要内容与技术路线。</w:t>
            </w:r>
          </w:p>
          <w:p w14:paraId="7CB63828" w14:textId="77777777" w:rsidR="00121BB8" w:rsidRDefault="00000000">
            <w:pPr>
              <w:widowControl/>
              <w:spacing w:line="324" w:lineRule="auto"/>
            </w:pPr>
            <w:r>
              <w:rPr>
                <w:rFonts w:cs="Arial Unicode MS"/>
              </w:rPr>
              <w:t>第</w:t>
            </w:r>
            <w:r>
              <w:rPr>
                <w:rFonts w:cs="Arial Unicode MS"/>
              </w:rPr>
              <w:t>2</w:t>
            </w:r>
            <w:r>
              <w:rPr>
                <w:rFonts w:cs="Arial Unicode MS"/>
              </w:rPr>
              <w:t>章</w:t>
            </w:r>
            <w:r>
              <w:rPr>
                <w:rFonts w:cs="Arial Unicode MS"/>
              </w:rPr>
              <w:t xml:space="preserve"> </w:t>
            </w:r>
            <w:r>
              <w:rPr>
                <w:rFonts w:cs="Arial Unicode MS"/>
              </w:rPr>
              <w:t>智能水肥一体化系统总体设计：需求、分层架构、数据对象、消息协议与任务流程。</w:t>
            </w:r>
          </w:p>
          <w:p w14:paraId="759547AC" w14:textId="77777777" w:rsidR="00121BB8" w:rsidRDefault="00000000">
            <w:pPr>
              <w:widowControl/>
              <w:spacing w:line="324" w:lineRule="auto"/>
            </w:pPr>
            <w:r>
              <w:rPr>
                <w:rFonts w:cs="Arial Unicode MS"/>
              </w:rPr>
              <w:t>第</w:t>
            </w:r>
            <w:r>
              <w:rPr>
                <w:rFonts w:cs="Arial Unicode MS"/>
              </w:rPr>
              <w:t>3</w:t>
            </w:r>
            <w:r>
              <w:rPr>
                <w:rFonts w:cs="Arial Unicode MS"/>
              </w:rPr>
              <w:t>章</w:t>
            </w:r>
            <w:r>
              <w:rPr>
                <w:rFonts w:cs="Arial Unicode MS"/>
              </w:rPr>
              <w:t xml:space="preserve"> </w:t>
            </w:r>
            <w:r>
              <w:rPr>
                <w:rFonts w:cs="Arial Unicode MS"/>
              </w:rPr>
              <w:t>混肥</w:t>
            </w:r>
            <w:r>
              <w:rPr>
                <w:rFonts w:cs="Arial Unicode MS"/>
              </w:rPr>
              <w:t>EC</w:t>
            </w:r>
            <w:r>
              <w:rPr>
                <w:rFonts w:cs="Arial Unicode MS"/>
              </w:rPr>
              <w:t>对象建模与公共底层控制：对象辨识、参数变体、</w:t>
            </w:r>
            <w:r>
              <w:rPr>
                <w:rFonts w:cs="Arial Unicode MS"/>
              </w:rPr>
              <w:t>PI</w:t>
            </w:r>
            <w:r>
              <w:rPr>
                <w:rFonts w:cs="Arial Unicode MS"/>
              </w:rPr>
              <w:t>控制与执行器约束。</w:t>
            </w:r>
          </w:p>
          <w:p w14:paraId="7AEB75F6" w14:textId="77777777" w:rsidR="00121BB8" w:rsidRDefault="00000000">
            <w:pPr>
              <w:widowControl/>
              <w:spacing w:line="324" w:lineRule="auto"/>
            </w:pPr>
            <w:r>
              <w:rPr>
                <w:rFonts w:cs="Arial Unicode MS"/>
              </w:rPr>
              <w:t>第</w:t>
            </w:r>
            <w:r>
              <w:rPr>
                <w:rFonts w:cs="Arial Unicode MS"/>
              </w:rPr>
              <w:t>4</w:t>
            </w:r>
            <w:r>
              <w:rPr>
                <w:rFonts w:cs="Arial Unicode MS"/>
              </w:rPr>
              <w:t>章</w:t>
            </w:r>
            <w:r>
              <w:rPr>
                <w:rFonts w:cs="Arial Unicode MS"/>
              </w:rPr>
              <w:t xml:space="preserve"> </w:t>
            </w:r>
            <w:r>
              <w:rPr>
                <w:rFonts w:cs="Arial Unicode MS"/>
              </w:rPr>
              <w:t>风险感知边云协同控制方法：通信风险、观测风险、三模式状态机和无扰切换。</w:t>
            </w:r>
          </w:p>
          <w:p w14:paraId="36194E89" w14:textId="77777777" w:rsidR="00121BB8" w:rsidRDefault="00000000">
            <w:pPr>
              <w:widowControl/>
              <w:spacing w:line="324" w:lineRule="auto"/>
            </w:pPr>
            <w:r>
              <w:rPr>
                <w:rFonts w:cs="Arial Unicode MS"/>
              </w:rPr>
              <w:t>第</w:t>
            </w:r>
            <w:r>
              <w:rPr>
                <w:rFonts w:cs="Arial Unicode MS"/>
              </w:rPr>
              <w:t>5</w:t>
            </w:r>
            <w:r>
              <w:rPr>
                <w:rFonts w:cs="Arial Unicode MS"/>
              </w:rPr>
              <w:t>章</w:t>
            </w:r>
            <w:r>
              <w:rPr>
                <w:rFonts w:cs="Arial Unicode MS"/>
              </w:rPr>
              <w:t xml:space="preserve"> </w:t>
            </w:r>
            <w:r>
              <w:rPr>
                <w:rFonts w:cs="Arial Unicode MS"/>
              </w:rPr>
              <w:t>通信与传感异常下的控制性能验证：配对场景、对照方法、消融、时长扫描与机制分析。</w:t>
            </w:r>
          </w:p>
          <w:p w14:paraId="03E6B477" w14:textId="77777777" w:rsidR="00121BB8" w:rsidRDefault="00000000">
            <w:pPr>
              <w:widowControl/>
              <w:spacing w:line="324" w:lineRule="auto"/>
            </w:pPr>
            <w:r>
              <w:rPr>
                <w:rFonts w:cs="Arial Unicode MS"/>
              </w:rPr>
              <w:t>第</w:t>
            </w:r>
            <w:r>
              <w:rPr>
                <w:rFonts w:cs="Arial Unicode MS"/>
              </w:rPr>
              <w:t>6</w:t>
            </w:r>
            <w:r>
              <w:rPr>
                <w:rFonts w:cs="Arial Unicode MS"/>
              </w:rPr>
              <w:t>章</w:t>
            </w:r>
            <w:r>
              <w:rPr>
                <w:rFonts w:cs="Arial Unicode MS"/>
              </w:rPr>
              <w:t xml:space="preserve"> MQTT</w:t>
            </w:r>
            <w:r>
              <w:rPr>
                <w:rFonts w:cs="Arial Unicode MS"/>
              </w:rPr>
              <w:t>软件在环与系统实现：跨进程架构、消息一致性、任务审计、管理界面与恢复机制。</w:t>
            </w:r>
          </w:p>
          <w:p w14:paraId="44A5F2C7" w14:textId="77777777" w:rsidR="00121BB8" w:rsidRDefault="00000000">
            <w:pPr>
              <w:widowControl/>
              <w:spacing w:line="324" w:lineRule="auto"/>
            </w:pPr>
            <w:r>
              <w:rPr>
                <w:rFonts w:cs="Arial Unicode MS"/>
              </w:rPr>
              <w:t>第</w:t>
            </w:r>
            <w:r>
              <w:rPr>
                <w:rFonts w:cs="Arial Unicode MS"/>
              </w:rPr>
              <w:t>7</w:t>
            </w:r>
            <w:r>
              <w:rPr>
                <w:rFonts w:cs="Arial Unicode MS"/>
              </w:rPr>
              <w:t>章</w:t>
            </w:r>
            <w:r>
              <w:rPr>
                <w:rFonts w:cs="Arial Unicode MS"/>
              </w:rPr>
              <w:t xml:space="preserve"> </w:t>
            </w:r>
            <w:r>
              <w:rPr>
                <w:rFonts w:cs="Arial Unicode MS"/>
              </w:rPr>
              <w:t>综合分析：适用工况、共同漂移边界、模型失配、执行器代价及实体扩展。</w:t>
            </w:r>
          </w:p>
          <w:p w14:paraId="2D5F82F4" w14:textId="77777777" w:rsidR="00121BB8" w:rsidRDefault="00000000">
            <w:pPr>
              <w:widowControl/>
              <w:spacing w:line="324" w:lineRule="auto"/>
            </w:pPr>
            <w:r>
              <w:rPr>
                <w:rFonts w:cs="Arial Unicode MS"/>
              </w:rPr>
              <w:t>第</w:t>
            </w:r>
            <w:r>
              <w:rPr>
                <w:rFonts w:cs="Arial Unicode MS"/>
              </w:rPr>
              <w:t>8</w:t>
            </w:r>
            <w:r>
              <w:rPr>
                <w:rFonts w:cs="Arial Unicode MS"/>
              </w:rPr>
              <w:t>章</w:t>
            </w:r>
            <w:r>
              <w:rPr>
                <w:rFonts w:cs="Arial Unicode MS"/>
              </w:rPr>
              <w:t xml:space="preserve"> </w:t>
            </w:r>
            <w:r>
              <w:rPr>
                <w:rFonts w:cs="Arial Unicode MS"/>
              </w:rPr>
              <w:t>结论与展望：系统实现、控制方法、验证结论和工程应用方向。</w:t>
            </w:r>
          </w:p>
        </w:tc>
      </w:tr>
    </w:tbl>
    <w:p w14:paraId="6EACA38F"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3F5AA611" w14:textId="77777777">
        <w:trPr>
          <w:trHeight w:val="2794"/>
        </w:trPr>
        <w:tc>
          <w:tcPr>
            <w:tcW w:w="8460" w:type="dxa"/>
          </w:tcPr>
          <w:p w14:paraId="700B865A" w14:textId="77777777" w:rsidR="00EB31B3" w:rsidRDefault="00000000">
            <w:pPr>
              <w:rPr>
                <w:rFonts w:ascii="宋体" w:hAnsi="宋体"/>
                <w:b/>
                <w:bCs/>
                <w:sz w:val="28"/>
                <w:szCs w:val="28"/>
              </w:rPr>
            </w:pPr>
            <w:r>
              <w:rPr>
                <w:rFonts w:hint="eastAsia"/>
                <w:b/>
                <w:bCs/>
                <w:sz w:val="28"/>
                <w:szCs w:val="28"/>
              </w:rPr>
              <w:lastRenderedPageBreak/>
              <w:t>校内导师意见</w:t>
            </w:r>
          </w:p>
          <w:p w14:paraId="052E2FFF" w14:textId="77777777" w:rsidR="00EB31B3" w:rsidRDefault="00EB31B3">
            <w:pPr>
              <w:rPr>
                <w:rFonts w:ascii="宋体" w:hAnsi="宋体"/>
                <w:b/>
                <w:sz w:val="28"/>
                <w:szCs w:val="28"/>
              </w:rPr>
            </w:pPr>
          </w:p>
          <w:p w14:paraId="57F40282" w14:textId="77777777" w:rsidR="00EB31B3" w:rsidRDefault="00EB31B3">
            <w:pPr>
              <w:rPr>
                <w:rFonts w:ascii="宋体" w:hAnsi="宋体"/>
                <w:b/>
                <w:sz w:val="28"/>
                <w:szCs w:val="28"/>
              </w:rPr>
            </w:pPr>
          </w:p>
          <w:p w14:paraId="471109E5" w14:textId="77777777" w:rsidR="00EB31B3" w:rsidRDefault="00EB31B3">
            <w:pPr>
              <w:rPr>
                <w:rFonts w:ascii="宋体" w:hAnsi="宋体"/>
                <w:b/>
                <w:sz w:val="28"/>
                <w:szCs w:val="28"/>
              </w:rPr>
            </w:pPr>
          </w:p>
          <w:p w14:paraId="73B579C5" w14:textId="77777777" w:rsidR="00EB31B3" w:rsidRDefault="00EB31B3">
            <w:pPr>
              <w:rPr>
                <w:rFonts w:ascii="宋体" w:hAnsi="宋体"/>
                <w:b/>
                <w:sz w:val="28"/>
                <w:szCs w:val="28"/>
              </w:rPr>
            </w:pPr>
          </w:p>
          <w:p w14:paraId="140D63C5" w14:textId="77777777" w:rsidR="00EB31B3" w:rsidRDefault="00EB31B3">
            <w:pPr>
              <w:rPr>
                <w:rFonts w:ascii="宋体" w:hAnsi="宋体"/>
                <w:b/>
                <w:sz w:val="28"/>
                <w:szCs w:val="28"/>
              </w:rPr>
            </w:pPr>
          </w:p>
          <w:p w14:paraId="60B930F1" w14:textId="77777777" w:rsidR="00EB31B3" w:rsidRDefault="00EB31B3">
            <w:pPr>
              <w:rPr>
                <w:rFonts w:ascii="宋体" w:hAnsi="宋体"/>
                <w:b/>
                <w:sz w:val="28"/>
                <w:szCs w:val="28"/>
              </w:rPr>
            </w:pPr>
          </w:p>
          <w:p w14:paraId="3B97661E" w14:textId="77777777" w:rsidR="00EB31B3" w:rsidRDefault="00EB31B3">
            <w:pPr>
              <w:rPr>
                <w:rFonts w:ascii="宋体" w:hAnsi="宋体"/>
                <w:b/>
                <w:sz w:val="28"/>
                <w:szCs w:val="28"/>
              </w:rPr>
            </w:pPr>
          </w:p>
          <w:p w14:paraId="3A355B33" w14:textId="77777777" w:rsidR="00EB31B3" w:rsidRDefault="00EB31B3">
            <w:pPr>
              <w:rPr>
                <w:rFonts w:ascii="宋体" w:hAnsi="宋体"/>
                <w:b/>
                <w:sz w:val="28"/>
                <w:szCs w:val="28"/>
              </w:rPr>
            </w:pPr>
          </w:p>
          <w:p w14:paraId="2BF88640" w14:textId="77777777" w:rsidR="00EB31B3" w:rsidRDefault="00000000">
            <w:pPr>
              <w:ind w:firstLineChars="2047" w:firstLine="5732"/>
              <w:rPr>
                <w:rFonts w:ascii="宋体" w:hAnsi="宋体"/>
                <w:b/>
                <w:sz w:val="28"/>
                <w:szCs w:val="28"/>
              </w:rPr>
            </w:pPr>
            <w:r>
              <w:rPr>
                <w:rFonts w:hint="eastAsia"/>
                <w:b/>
                <w:sz w:val="28"/>
                <w:szCs w:val="28"/>
              </w:rPr>
              <w:t>导师签字：</w:t>
            </w:r>
          </w:p>
          <w:p w14:paraId="78430D1A" w14:textId="77777777" w:rsidR="00EB31B3" w:rsidRDefault="00000000">
            <w:pPr>
              <w:ind w:firstLineChars="2003" w:firstLine="5608"/>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tc>
      </w:tr>
      <w:tr w:rsidR="00EB31B3" w14:paraId="148AE5C1" w14:textId="77777777">
        <w:trPr>
          <w:trHeight w:val="1380"/>
        </w:trPr>
        <w:tc>
          <w:tcPr>
            <w:tcW w:w="8460" w:type="dxa"/>
          </w:tcPr>
          <w:p w14:paraId="13A1AB2D" w14:textId="77777777" w:rsidR="00EB31B3" w:rsidRDefault="00000000">
            <w:pPr>
              <w:rPr>
                <w:rFonts w:ascii="宋体" w:hAnsi="宋体"/>
                <w:b/>
                <w:bCs/>
                <w:sz w:val="28"/>
                <w:szCs w:val="28"/>
              </w:rPr>
            </w:pPr>
            <w:r>
              <w:rPr>
                <w:rFonts w:hint="eastAsia"/>
                <w:b/>
                <w:bCs/>
                <w:sz w:val="28"/>
                <w:szCs w:val="28"/>
              </w:rPr>
              <w:t>校外导师意见</w:t>
            </w:r>
          </w:p>
          <w:p w14:paraId="3C309E63" w14:textId="77777777" w:rsidR="00EB31B3" w:rsidRDefault="00EB31B3">
            <w:pPr>
              <w:rPr>
                <w:rFonts w:ascii="宋体" w:hAnsi="宋体"/>
                <w:b/>
                <w:bCs/>
                <w:sz w:val="28"/>
                <w:szCs w:val="28"/>
              </w:rPr>
            </w:pPr>
          </w:p>
          <w:p w14:paraId="303908EB" w14:textId="77777777" w:rsidR="00EB31B3" w:rsidRDefault="00EB31B3">
            <w:pPr>
              <w:rPr>
                <w:rFonts w:ascii="宋体" w:hAnsi="宋体"/>
                <w:b/>
                <w:bCs/>
                <w:sz w:val="28"/>
                <w:szCs w:val="28"/>
              </w:rPr>
            </w:pPr>
          </w:p>
          <w:p w14:paraId="1717E7C1" w14:textId="77777777" w:rsidR="00EB31B3" w:rsidRDefault="00EB31B3">
            <w:pPr>
              <w:rPr>
                <w:rFonts w:ascii="宋体" w:hAnsi="宋体"/>
                <w:b/>
                <w:bCs/>
                <w:sz w:val="28"/>
                <w:szCs w:val="28"/>
              </w:rPr>
            </w:pPr>
          </w:p>
          <w:p w14:paraId="0B229C6D" w14:textId="77777777" w:rsidR="00EB31B3" w:rsidRDefault="00EB31B3">
            <w:pPr>
              <w:rPr>
                <w:rFonts w:ascii="宋体" w:hAnsi="宋体"/>
                <w:b/>
                <w:bCs/>
                <w:sz w:val="28"/>
                <w:szCs w:val="28"/>
              </w:rPr>
            </w:pPr>
          </w:p>
          <w:p w14:paraId="49D7B5BF" w14:textId="77777777" w:rsidR="00EB31B3" w:rsidRDefault="00EB31B3">
            <w:pPr>
              <w:ind w:firstLineChars="2047" w:firstLine="5732"/>
              <w:rPr>
                <w:rFonts w:ascii="宋体" w:hAnsi="宋体"/>
                <w:b/>
                <w:sz w:val="28"/>
                <w:szCs w:val="28"/>
              </w:rPr>
            </w:pPr>
          </w:p>
          <w:p w14:paraId="73644A68" w14:textId="77777777" w:rsidR="00EB31B3" w:rsidRDefault="00000000">
            <w:pPr>
              <w:ind w:firstLineChars="2097" w:firstLine="5872"/>
              <w:rPr>
                <w:rFonts w:ascii="宋体" w:hAnsi="宋体"/>
                <w:b/>
                <w:sz w:val="28"/>
                <w:szCs w:val="28"/>
              </w:rPr>
            </w:pPr>
            <w:r>
              <w:rPr>
                <w:rFonts w:hint="eastAsia"/>
                <w:b/>
                <w:sz w:val="28"/>
                <w:szCs w:val="28"/>
              </w:rPr>
              <w:t>导师签字：</w:t>
            </w:r>
          </w:p>
          <w:p w14:paraId="698778CE" w14:textId="77777777" w:rsidR="00EB31B3" w:rsidRDefault="00000000">
            <w:pPr>
              <w:ind w:firstLineChars="2040" w:firstLine="5712"/>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p w14:paraId="0D326ECD" w14:textId="77777777" w:rsidR="00EB31B3" w:rsidRDefault="00EB31B3">
            <w:pPr>
              <w:rPr>
                <w:rFonts w:ascii="宋体" w:hAnsi="宋体"/>
                <w:b/>
                <w:bCs/>
                <w:sz w:val="28"/>
                <w:szCs w:val="28"/>
              </w:rPr>
            </w:pPr>
          </w:p>
          <w:p w14:paraId="62D15A87" w14:textId="77777777" w:rsidR="00EB31B3" w:rsidRDefault="00EB31B3">
            <w:pPr>
              <w:rPr>
                <w:rFonts w:ascii="宋体" w:hAnsi="宋体"/>
                <w:b/>
                <w:bCs/>
                <w:sz w:val="28"/>
                <w:szCs w:val="28"/>
              </w:rPr>
            </w:pPr>
          </w:p>
        </w:tc>
      </w:tr>
      <w:tr w:rsidR="00EB31B3" w14:paraId="5F8E6C22" w14:textId="77777777">
        <w:trPr>
          <w:trHeight w:val="5462"/>
        </w:trPr>
        <w:tc>
          <w:tcPr>
            <w:tcW w:w="8460" w:type="dxa"/>
          </w:tcPr>
          <w:p w14:paraId="2F9CE87E" w14:textId="77777777" w:rsidR="00EB31B3" w:rsidRDefault="00000000">
            <w:pPr>
              <w:rPr>
                <w:rFonts w:ascii="宋体" w:hAnsi="宋体"/>
                <w:b/>
                <w:sz w:val="28"/>
                <w:szCs w:val="28"/>
              </w:rPr>
            </w:pPr>
            <w:r>
              <w:rPr>
                <w:rFonts w:hint="eastAsia"/>
                <w:b/>
                <w:bCs/>
                <w:sz w:val="28"/>
                <w:szCs w:val="28"/>
              </w:rPr>
              <w:lastRenderedPageBreak/>
              <w:t>开题专家组审查意见</w:t>
            </w:r>
          </w:p>
          <w:p w14:paraId="318FF946" w14:textId="77777777" w:rsidR="00EB31B3" w:rsidRDefault="00EB31B3">
            <w:pPr>
              <w:rPr>
                <w:rFonts w:ascii="宋体" w:hAnsi="宋体"/>
                <w:b/>
                <w:sz w:val="28"/>
                <w:szCs w:val="28"/>
              </w:rPr>
            </w:pPr>
          </w:p>
          <w:p w14:paraId="7B5AC18D" w14:textId="77777777" w:rsidR="00EB31B3" w:rsidRDefault="00EB31B3">
            <w:pPr>
              <w:rPr>
                <w:rFonts w:ascii="宋体" w:hAnsi="宋体"/>
                <w:b/>
                <w:sz w:val="28"/>
                <w:szCs w:val="28"/>
              </w:rPr>
            </w:pPr>
          </w:p>
          <w:p w14:paraId="63C0373B" w14:textId="77777777" w:rsidR="00EB31B3" w:rsidRDefault="00EB31B3">
            <w:pPr>
              <w:rPr>
                <w:rFonts w:ascii="宋体" w:hAnsi="宋体"/>
                <w:b/>
                <w:sz w:val="28"/>
                <w:szCs w:val="28"/>
              </w:rPr>
            </w:pPr>
          </w:p>
          <w:p w14:paraId="6013B9C2" w14:textId="77777777" w:rsidR="00EB31B3" w:rsidRDefault="00EB31B3">
            <w:pPr>
              <w:rPr>
                <w:rFonts w:ascii="宋体" w:hAnsi="宋体"/>
                <w:b/>
                <w:sz w:val="28"/>
                <w:szCs w:val="28"/>
              </w:rPr>
            </w:pPr>
          </w:p>
          <w:p w14:paraId="6FCA33D2" w14:textId="77777777" w:rsidR="00EB31B3" w:rsidRDefault="00EB31B3">
            <w:pPr>
              <w:rPr>
                <w:rFonts w:ascii="宋体" w:hAnsi="宋体"/>
                <w:b/>
                <w:sz w:val="28"/>
                <w:szCs w:val="28"/>
              </w:rPr>
            </w:pPr>
          </w:p>
          <w:p w14:paraId="3B32F228" w14:textId="77777777" w:rsidR="00EB31B3" w:rsidRDefault="00000000">
            <w:pPr>
              <w:rPr>
                <w:rFonts w:ascii="宋体" w:hAnsi="宋体"/>
                <w:b/>
                <w:sz w:val="28"/>
                <w:szCs w:val="28"/>
              </w:rPr>
            </w:pPr>
            <w:r>
              <w:rPr>
                <w:rFonts w:hint="eastAsia"/>
                <w:b/>
                <w:sz w:val="28"/>
                <w:szCs w:val="28"/>
              </w:rPr>
              <w:t>专家组组长签字（签章）：</w:t>
            </w:r>
          </w:p>
          <w:p w14:paraId="2C80AD8B" w14:textId="77777777" w:rsidR="00EB31B3" w:rsidRDefault="00000000">
            <w:pPr>
              <w:ind w:firstLineChars="2053" w:firstLine="5748"/>
              <w:rPr>
                <w:rFonts w:ascii="宋体" w:hAnsi="宋体"/>
                <w:b/>
                <w:bCs/>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r w:rsidR="00EB31B3" w14:paraId="5A8C91C3" w14:textId="77777777">
        <w:trPr>
          <w:trHeight w:val="7752"/>
        </w:trPr>
        <w:tc>
          <w:tcPr>
            <w:tcW w:w="8460" w:type="dxa"/>
          </w:tcPr>
          <w:p w14:paraId="75D74EDB" w14:textId="77777777" w:rsidR="00EB31B3" w:rsidRDefault="00000000">
            <w:pPr>
              <w:rPr>
                <w:rFonts w:ascii="宋体" w:hAnsi="宋体"/>
                <w:b/>
                <w:bCs/>
                <w:sz w:val="28"/>
                <w:szCs w:val="28"/>
              </w:rPr>
            </w:pPr>
            <w:r>
              <w:rPr>
                <w:rFonts w:hint="eastAsia"/>
                <w:b/>
                <w:bCs/>
                <w:sz w:val="28"/>
                <w:szCs w:val="28"/>
              </w:rPr>
              <w:t>学院（中心）审查意见</w:t>
            </w:r>
          </w:p>
          <w:p w14:paraId="5FF92716" w14:textId="77777777" w:rsidR="00EB31B3" w:rsidRDefault="00EB31B3">
            <w:pPr>
              <w:rPr>
                <w:rFonts w:ascii="宋体" w:hAnsi="宋体"/>
                <w:b/>
                <w:sz w:val="28"/>
                <w:szCs w:val="28"/>
              </w:rPr>
            </w:pPr>
          </w:p>
          <w:p w14:paraId="745D56AC" w14:textId="77777777" w:rsidR="00EB31B3" w:rsidRDefault="00EB31B3">
            <w:pPr>
              <w:rPr>
                <w:rFonts w:ascii="宋体" w:hAnsi="宋体"/>
                <w:b/>
                <w:sz w:val="28"/>
                <w:szCs w:val="28"/>
              </w:rPr>
            </w:pPr>
          </w:p>
          <w:p w14:paraId="3BD302F7" w14:textId="77777777" w:rsidR="00EB31B3" w:rsidRDefault="00EB31B3">
            <w:pPr>
              <w:rPr>
                <w:rFonts w:ascii="宋体" w:hAnsi="宋体"/>
                <w:b/>
                <w:sz w:val="28"/>
                <w:szCs w:val="28"/>
              </w:rPr>
            </w:pPr>
          </w:p>
          <w:p w14:paraId="29258896" w14:textId="77777777" w:rsidR="00EB31B3" w:rsidRDefault="00EB31B3">
            <w:pPr>
              <w:rPr>
                <w:rFonts w:ascii="宋体" w:hAnsi="宋体"/>
                <w:b/>
                <w:sz w:val="28"/>
                <w:szCs w:val="28"/>
              </w:rPr>
            </w:pPr>
          </w:p>
          <w:p w14:paraId="1FF5A794" w14:textId="77777777" w:rsidR="00EB31B3" w:rsidRDefault="00000000">
            <w:pPr>
              <w:ind w:firstLine="1275"/>
              <w:jc w:val="center"/>
              <w:rPr>
                <w:rFonts w:ascii="宋体" w:hAnsi="宋体"/>
                <w:b/>
                <w:sz w:val="28"/>
                <w:szCs w:val="28"/>
              </w:rPr>
            </w:pPr>
            <w:r>
              <w:rPr>
                <w:rFonts w:hint="eastAsia"/>
                <w:b/>
                <w:sz w:val="28"/>
                <w:szCs w:val="28"/>
              </w:rPr>
              <w:t xml:space="preserve">                          </w:t>
            </w:r>
          </w:p>
          <w:p w14:paraId="2E2A9E60" w14:textId="77777777" w:rsidR="00EB31B3" w:rsidRDefault="00EB31B3">
            <w:pPr>
              <w:ind w:firstLine="1275"/>
              <w:jc w:val="center"/>
              <w:rPr>
                <w:rFonts w:ascii="宋体" w:hAnsi="宋体"/>
                <w:b/>
                <w:sz w:val="28"/>
                <w:szCs w:val="28"/>
              </w:rPr>
            </w:pPr>
          </w:p>
          <w:p w14:paraId="340A98E6" w14:textId="77777777" w:rsidR="00EB31B3" w:rsidRDefault="00EB31B3">
            <w:pPr>
              <w:ind w:firstLine="1275"/>
              <w:jc w:val="center"/>
              <w:rPr>
                <w:rFonts w:ascii="宋体" w:hAnsi="宋体"/>
                <w:b/>
                <w:sz w:val="28"/>
                <w:szCs w:val="28"/>
              </w:rPr>
            </w:pPr>
          </w:p>
          <w:p w14:paraId="15988919" w14:textId="77777777" w:rsidR="00EB31B3" w:rsidRDefault="00EB31B3">
            <w:pPr>
              <w:ind w:firstLine="1275"/>
              <w:jc w:val="center"/>
              <w:rPr>
                <w:rFonts w:ascii="宋体" w:hAnsi="宋体"/>
                <w:b/>
                <w:sz w:val="28"/>
                <w:szCs w:val="28"/>
              </w:rPr>
            </w:pPr>
          </w:p>
          <w:p w14:paraId="17D039E2" w14:textId="77777777" w:rsidR="00EB31B3" w:rsidRDefault="00000000">
            <w:pPr>
              <w:ind w:firstLine="1275"/>
              <w:jc w:val="center"/>
              <w:rPr>
                <w:rFonts w:ascii="宋体" w:hAnsi="宋体"/>
                <w:b/>
                <w:sz w:val="28"/>
                <w:szCs w:val="28"/>
              </w:rPr>
            </w:pPr>
            <w:r>
              <w:rPr>
                <w:rFonts w:hint="eastAsia"/>
                <w:b/>
                <w:sz w:val="28"/>
                <w:szCs w:val="28"/>
              </w:rPr>
              <w:t xml:space="preserve">              </w:t>
            </w:r>
            <w:r>
              <w:rPr>
                <w:rFonts w:hint="eastAsia"/>
                <w:b/>
                <w:sz w:val="28"/>
                <w:szCs w:val="28"/>
              </w:rPr>
              <w:t>公</w:t>
            </w:r>
            <w:r>
              <w:rPr>
                <w:rFonts w:hint="eastAsia"/>
                <w:b/>
                <w:sz w:val="28"/>
                <w:szCs w:val="28"/>
              </w:rPr>
              <w:t xml:space="preserve">    </w:t>
            </w:r>
            <w:r>
              <w:rPr>
                <w:rFonts w:hint="eastAsia"/>
                <w:b/>
                <w:sz w:val="28"/>
                <w:szCs w:val="28"/>
              </w:rPr>
              <w:t>章</w:t>
            </w:r>
          </w:p>
          <w:p w14:paraId="2A49569D" w14:textId="77777777" w:rsidR="00EB31B3" w:rsidRDefault="00000000">
            <w:pPr>
              <w:ind w:firstLineChars="2110" w:firstLine="5908"/>
              <w:rPr>
                <w:rFonts w:ascii="宋体" w:hAnsi="宋体"/>
                <w:b/>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bl>
    <w:p w14:paraId="5DC0BFAD"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25021"/>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B61"/>
    <w:rsid w:val="00810F38"/>
    <w:rsid w:val="008A0CFA"/>
    <w:rsid w:val="00900DF8"/>
    <w:rsid w:val="00962980"/>
    <w:rsid w:val="009B068F"/>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65AEA"/>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98AE"/>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1068</Words>
  <Characters>6093</Characters>
  <Application>Microsoft Office Word</Application>
  <DocSecurity>0</DocSecurity>
  <Lines>50</Lines>
  <Paragraphs>14</Paragraphs>
  <ScaleCrop>false</ScaleCrop>
  <Company>we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6</cp:revision>
  <dcterms:created xsi:type="dcterms:W3CDTF">2026-08-25T01:50:00Z</dcterms:created>
  <dcterms:modified xsi:type="dcterms:W3CDTF">2026-09-20T08:56:00Z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