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0"/>
        </w:rPr>
        <w:t>论文题目：基于MPC的智能水肥一体化系统设计研究</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设施水肥一体化系统正在由单机配肥和定时灌溉转向土壤、环境、设备与作物信息协同驱动。水肥设备能够完成混配、输送和分区执行，但作物根区水分仍受灌溉输入、蒸散、排水、土壤差异和设备波动共同影响。固定时长、阈值启停或经验PID便于现场部署，却难以同时利用未来环境变化、根区状态和泵阀约束。智慧农业、水肥一体化设备、微灌工程和设施园艺物联网相关政策与标准[1-4]，为多源感知、设备互联和精准作业提供了建设依据。</w:t>
            </w:r>
          </w:p>
          <w:p w14:paraId="473EB425" w14:textId="77777777" w:rsidR="00121BB8" w:rsidRDefault="00000000">
            <w:pPr>
              <w:widowControl/>
              <w:spacing w:line="324" w:lineRule="auto"/>
              <w:ind w:firstLine="420"/>
            </w:pPr>
            <w:r>
              <w:rPr>
                <w:rFonts w:ascii="Times New Roman" w:eastAsia="Songti SC" w:hAnsi="Times New Roman" w:cs="Arial Unicode MS"/>
              </w:rPr>
              <w:t>本课题拟设计基于模型预测控制（Model Predictive Control，MPC）的智能水肥一体化系统，贯通土壤墒情、温度、EC、pH，环境光照与温湿度，以及流量、压力、液位、泵阀状态和水肥执行反馈。系统负责数据接入、模型管理、灌溉决策、执行联锁和过程追溯；MPC当前以根区水分调控为算法主线，EC、pH和配肥通道作为设备监测、安全约束与水肥协同扩展接口。</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后续拟参与的红壤丘陵区智能水肥一体化项目将建设环境感知、水肥自动控制和云端数据管理链，为根区模型提供现场数据来源。鉴于项目尚未启动，传感器数量、安装位置、采样周期和控制权限尚不确定，本研究不预设固定观测深度，而由数据质量、灌溉激励和独立预测能力决定状态维度。现场墒情、灌溉记录、实际流量和气象数据通过准入后用于辨识控制模型，并以现场初始状态、扰动和设备范围构造闭环仿真场景。</w:t>
            </w:r>
          </w:p>
          <w:p w14:paraId="2845DCA1" w14:textId="77777777" w:rsidR="00121BB8" w:rsidRDefault="00000000">
            <w:pPr>
              <w:widowControl/>
              <w:spacing w:line="324" w:lineRule="auto"/>
              <w:ind w:firstLine="420"/>
            </w:pPr>
            <w:r>
              <w:rPr>
                <w:rFonts w:ascii="Times New Roman" w:eastAsia="Songti SC" w:hAnsi="Times New Roman" w:cs="Arial Unicode MS"/>
              </w:rPr>
              <w:t>研究评价采用控制模型与虚拟对象分离的思路。低阶灰箱或状态空间模型供MPC滚动预测，独立虚拟对象由预留现场数据、非线性机理或数据驱动方法构建，用于模拟真实根区响应。阈值控制、PID和MPC共享相同的初始状态、环境扰动与执行约束，从而检验水分保持、灌溉投入和动作代价之间的关系。</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的价值在于把现场数据转化为可验证的控制证据。数据先经过字段语义映射、时间对齐和辨识信息准入，模型通过独立灌溉事件验证后才能进入控制器，最终由任务、模型版本、控制配置和仿真结果形成可追溯记录。由此，智能水肥一体化系统既承担设备和数据管理，也成为根区模型构建、控制策略比较和后续现场升级的统一研究载体。</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设施水肥管控与信息平台</w:t>
            </w:r>
          </w:p>
          <w:p w14:paraId="6E1700BB" w14:textId="77777777" w:rsidR="00121BB8" w:rsidRDefault="00000000">
            <w:pPr>
              <w:widowControl/>
              <w:spacing w:line="324" w:lineRule="auto"/>
              <w:ind w:firstLine="420"/>
            </w:pPr>
            <w:r>
              <w:rPr>
                <w:rFonts w:ascii="Times New Roman" w:eastAsia="Songti SC" w:hAnsi="Times New Roman" w:cs="Arial Unicode MS"/>
              </w:rPr>
              <w:t>设施水肥管控已由单机混配发展到环境感知、远程管理和设备联动。国内研究覆盖水肥一体化装备、温室监测、人机交互和物联网系统[6-12]；国外在营养液混配、自动灌溉施肥及滴灌动态仿真方面形成了较完整的技术基础[13-15]。这些成果解决了数据采集和水肥执行问题，也使研究重点转向现场数据能否支撑模型、算法输出能否满足设备约束，以及运行过程能否被复核。</w:t>
            </w:r>
          </w:p>
          <w:p w14:paraId="03840025" w14:textId="77777777" w:rsidR="00121BB8" w:rsidRDefault="00000000">
            <w:pPr>
              <w:widowControl/>
              <w:spacing w:before="60" w:after="20" w:line="324" w:lineRule="auto"/>
            </w:pPr>
            <w:r>
              <w:rPr>
                <w:rFonts w:ascii="Times New Roman" w:eastAsia="Songti SC" w:hAnsi="Times New Roman" w:cs="Arial Unicode MS"/>
              </w:rPr>
              <w:t>2. 根区水分建模与模型预测控制</w:t>
            </w:r>
          </w:p>
          <w:p w14:paraId="7A0648CE" w14:textId="77777777" w:rsidR="00121BB8" w:rsidRDefault="00000000">
            <w:pPr>
              <w:widowControl/>
              <w:spacing w:line="324" w:lineRule="auto"/>
              <w:ind w:firstLine="420"/>
            </w:pPr>
            <w:r>
              <w:rPr>
                <w:rFonts w:ascii="Times New Roman" w:eastAsia="Songti SC" w:hAnsi="Times New Roman" w:cs="Arial Unicode MS"/>
              </w:rPr>
              <w:t>MPC通过过程模型预测未来响应，并在每个控制周期滚动求解受约束优化问题[23]。精准灌溉研究已从数据驱动控制[24]、天气预报不确定性[25]、根区含水率区间调节[26]和水能成本优化[27]等方向展开，说明MPC能够把根区状态、环境扰动、灌溉投入与执行约束纳入同一决策框架。其工程应用的关键已经从控制器形式本身，转向现场模型可信度、数据效率和跨工况稳定性。</w:t>
            </w:r>
          </w:p>
          <w:p w14:paraId="5E23FDF8" w14:textId="77777777" w:rsidR="00121BB8" w:rsidRDefault="00000000">
            <w:pPr>
              <w:widowControl/>
              <w:spacing w:line="324" w:lineRule="auto"/>
              <w:ind w:firstLine="420"/>
            </w:pPr>
            <w:r>
              <w:rPr>
                <w:rFonts w:ascii="Times New Roman" w:eastAsia="Songti SC" w:hAnsi="Times New Roman" w:cs="Arial Unicode MS"/>
              </w:rPr>
              <w:t>现场记录数量并不等于具有足够辨识信息。若灌水输入缺失、阀门命令与实际流量不一致，或者相邻时间点被随机拆分到训练集和验证集，模型可能取得较小误差，却无法说明灌溉作用被正确识别。因此，需要按完整灌溉—干燥事件划分数据用途，以实际流量或经标定的阀门输入驱动模型，并通过独立事件检查单步预测、整段动态、方向偏差和物理边界。</w:t>
            </w:r>
          </w:p>
          <w:p w14:paraId="25D30BF4" w14:textId="77777777" w:rsidR="00121BB8" w:rsidRDefault="00000000">
            <w:pPr>
              <w:widowControl/>
              <w:spacing w:before="60" w:after="20" w:line="324" w:lineRule="auto"/>
            </w:pPr>
            <w:r>
              <w:rPr>
                <w:rFonts w:ascii="Times New Roman" w:eastAsia="Songti SC" w:hAnsi="Times New Roman" w:cs="Arial Unicode MS"/>
              </w:rPr>
              <w:t>3. 控制策略与闭环评价</w:t>
            </w:r>
          </w:p>
          <w:p w14:paraId="2C7E68F5" w14:textId="77777777" w:rsidR="00121BB8" w:rsidRDefault="00000000">
            <w:pPr>
              <w:widowControl/>
              <w:spacing w:line="324" w:lineRule="auto"/>
              <w:ind w:firstLine="420"/>
            </w:pPr>
            <w:r>
              <w:rPr>
                <w:rFonts w:ascii="Times New Roman" w:eastAsia="Songti SC" w:hAnsi="Times New Roman" w:cs="Arial Unicode MS"/>
              </w:rPr>
              <w:t>项目技术路线中的阈值触发和PID闭环构成MPC的工程基线。阈值控制强调规则透明，PID反映基于误差的闭环调节，MPC则进一步利用预测模型和约束优化。三类方法应在相同虚拟对象、天气扰动、设备能力和初始状态下比较，主要评价根区水分亏缺、过湿、实际灌水量、动作次数和约束违反，而不以单一综合分数替代控制权衡。</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装备、平台与MPC研究分别提供了感知执行、信息管理和优化决策基础，但现场数据到控制证据之间仍存在接口缺口：异构字段如何形成统一语义，有限观测能支持何种复杂度的根区模型，控制模型如何与评价对象分离，以及闭环仿真如何保持可追溯。本课题据此构建以现场数据准入、最低充分模型、独立虚拟对象和冻结对照为主线的智能水肥一体化系统。</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设计基于MPC的智能水肥一体化系统，形成从土壤、环境和设备数据接入，到模型辨识、灌溉决策、执行约束和结果追溯的完整功能链。利用项目现场数据建立经过独立验证的根区水分控制模型，根据数据可辨识性确定单状态或多状态结构；进一步构建独立虚拟对象，在现场初始状态、环境扰动和设备范围约束下比较阈值控制、PID与MPC的闭环性能。</w:t>
            </w:r>
          </w:p>
          <w:p w14:paraId="78C39A31" w14:textId="77777777" w:rsidR="00121BB8" w:rsidRDefault="00000000">
            <w:pPr>
              <w:snapToGrid w:val="0"/>
              <w:spacing w:after="80" w:line="324" w:lineRule="auto"/>
              <w:ind w:firstLine="420"/>
            </w:pPr>
            <w:r>
              <w:rPr>
                <w:rFonts w:ascii="Times New Roman" w:eastAsia="Songti SC" w:hAnsi="Times New Roman"/>
              </w:rPr>
              <w:t>系统总体架构如图1所示。Python承担数据处理、模型辨识、控制计算与统计评价，SQLite保存任务和版本状态，MQTT/REST连接消息与服务接口。土壤、环境和设备数据经过语义映射后进入模型服务；控制结果作为仿真任务或候选指令，由联锁、版本和反馈机制统一管理。</w:t>
            </w:r>
          </w:p>
          <w:p w14:paraId="02FF4669" w14:textId="4E4E2D41" w:rsidR="00121BB8" w:rsidRDefault="00000000">
            <w:pPr>
              <w:keepLines/>
              <w:snapToGrid w:val="0"/>
              <w:spacing w:before="120" w:after="80"/>
              <w:jc w:val="center"/>
            </w:pPr>
            <w:r w:rsidRPr="006930B7">
              <w:rPr>
                <w:rFonts w:ascii="Times New Roman" w:hAnsi="Times New Roman" w:eastAsia="Songti SC"/>
                <w:noProof/>
              </w:rPr>
              <w:t>图1  智能水肥一体化系统总体架构</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智能水肥一体化系统总体设计。围绕棚室、分区、作物、土壤、环境、设备、算法和任务建立对象关系，设计数据接入、模型服务、控制仿真、安全联锁、消息通信和证据审计模块，形成可运行的系统内核、需求规格与数据字典。</w:t>
            </w:r>
          </w:p>
          <w:p w14:paraId="31C4ECC8" w14:textId="77777777" w:rsidR="00121BB8" w:rsidRDefault="00000000">
            <w:pPr>
              <w:widowControl/>
              <w:spacing w:line="324" w:lineRule="auto"/>
            </w:pPr>
            <w:r>
              <w:rPr>
                <w:rFonts w:ascii="Times New Roman" w:eastAsia="Songti SC" w:hAnsi="Times New Roman" w:cs="Arial Unicode MS"/>
              </w:rPr>
              <w:t>（2）现场数据接入与根区模型辨识。接入项目实际形成的墒情、环境、灌溉、流量、压力、液位、EC和pH数据，不限定原始字段名称，通过元数据映射统一变量含义、单位、时间戳、分区和传感器标识。数据依次接受结构质量、动态信息和独立预测检查；根据准入结果建立单状态、多传感器融合或分层根区模型。</w:t>
            </w:r>
          </w:p>
          <w:p w14:paraId="6ABC874D" w14:textId="77777777" w:rsidR="00121BB8" w:rsidRDefault="00000000">
            <w:pPr>
              <w:widowControl/>
              <w:spacing w:line="324" w:lineRule="auto"/>
            </w:pPr>
            <w:r>
              <w:rPr>
                <w:rFonts w:ascii="Times New Roman" w:eastAsia="Songti SC" w:hAnsi="Times New Roman" w:cs="Arial Unicode MS"/>
              </w:rPr>
              <w:t>（3）MPC设计与独立闭环仿真。以根区水分目标区间、灌溉投入、过湿风险和动作变化构造控制目标，结合项目设备的流量、压力、阀门和运行边界设置约束。控制模型用于MPC预测，独立虚拟对象用于闭环评价；阈值控制和PID作为工程基线，所有方法共享现场来源的初始状态、环境序列和设备范围。</w:t>
            </w:r>
          </w:p>
          <w:p w14:paraId="5D9F7C39" w14:textId="77777777" w:rsidR="00121BB8" w:rsidRDefault="00000000">
            <w:pPr>
              <w:widowControl/>
              <w:spacing w:line="324" w:lineRule="auto"/>
            </w:pPr>
            <w:r>
              <w:rPr>
                <w:rFonts w:ascii="Times New Roman" w:eastAsia="Songti SC" w:hAnsi="Times New Roman" w:cs="Arial Unicode MS"/>
              </w:rPr>
              <w:t>（4）水肥设备与任务过程管理。建立配肥、灌溉、阀门和监测设备接口，记录模型版本、控制模式、候选动作、约束检查、仿真轨迹和结果。EC、pH用于肥液状态监测和安全检查；获得可靠的注肥与根区养分数据后，再扩展水肥协同优化。</w:t>
            </w:r>
          </w:p>
          <w:p w14:paraId="4A6D7C16" w14:textId="77777777" w:rsidR="00121BB8" w:rsidRDefault="00000000">
            <w:pPr>
              <w:widowControl/>
              <w:spacing w:line="324" w:lineRule="auto"/>
            </w:pPr>
            <w:r>
              <w:rPr>
                <w:rFonts w:ascii="Times New Roman" w:eastAsia="Songti SC" w:hAnsi="Times New Roman" w:cs="Arial Unicode MS"/>
              </w:rPr>
              <w:t>（5）分阶段验证与适用范围分析。使用合成对象完成算法和软件烟雾试验，使用现场数据完成模型辨识与独立验证，再在独立虚拟对象上开展阈值、PID和MPC冻结对照。异常场景覆盖传感缺失或偏移、流量衰减、压力异常、通信中断和求解失败，分析性能下降与回退条件。</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（1）异构现场数据在什么条件下能够支撑可用于MPC的根区水分模型。</w:t>
            </w:r>
          </w:p>
          <w:p w14:paraId="198A0D90" w14:textId="77777777" w:rsidR="00121BB8" w:rsidRDefault="00000000">
            <w:pPr>
              <w:widowControl/>
              <w:spacing w:line="324" w:lineRule="auto"/>
            </w:pPr>
            <w:r>
              <w:rPr>
                <w:rFonts w:ascii="Times New Roman" w:eastAsia="Songti SC" w:hAnsi="Times New Roman" w:cs="Arial Unicode MS"/>
              </w:rPr>
              <w:t>（2）如何根据数据可辨识性选择最低充分状态结构，并避免用同一模型同时完成控制器设计与最终评价。</w:t>
            </w:r>
          </w:p>
          <w:p w14:paraId="603713D2" w14:textId="77777777" w:rsidR="00121BB8" w:rsidRDefault="00000000">
            <w:pPr>
              <w:widowControl/>
              <w:spacing w:line="324" w:lineRule="auto"/>
            </w:pPr>
            <w:r>
              <w:rPr>
                <w:rFonts w:ascii="Times New Roman" w:eastAsia="Songti SC" w:hAnsi="Times New Roman" w:cs="Arial Unicode MS"/>
              </w:rPr>
              <w:t>（3）如何在相同现场扰动和设备约束下公平比较阈值控制、PID与MPC的水分保持、灌溉投入和动作代价。</w:t>
            </w:r>
          </w:p>
          <w:p w14:paraId="3C003635" w14:textId="77777777" w:rsidR="00121BB8" w:rsidRDefault="00000000">
            <w:pPr>
              <w:widowControl/>
              <w:spacing w:line="324" w:lineRule="auto"/>
            </w:pPr>
            <w:r>
              <w:rPr>
                <w:rFonts w:ascii="Times New Roman" w:eastAsia="Songti SC" w:hAnsi="Times New Roman" w:cs="Arial Unicode MS"/>
              </w:rPr>
              <w:t>（4）如何通过任务和版本机制连接现场数据、模型、控制配置、仿真轨迹和设备接口，为研究结论和后续部署提供同一证据来源。</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沿“系统对象定义—现场数据接入—数据与模型准入—控制模型辨识—独立虚拟对象构建—控制器冻结—闭环仿真评价—平台追溯”展开。项目现场数据提供状态、扰动和设备范围，合成数据用于前期链路检查；最终控制结论来自配置冻结后的独立场景，不由现场闭环权限决定。</w:t>
            </w:r>
          </w:p>
          <w:p w14:paraId="703F2684" w14:textId="77777777" w:rsidR="00121BB8" w:rsidRDefault="00000000">
            <w:pPr>
              <w:widowControl/>
              <w:spacing w:before="60" w:after="20" w:line="324" w:lineRule="auto"/>
            </w:pPr>
            <w:r>
              <w:rPr>
                <w:rFonts w:ascii="Times New Roman" w:eastAsia="Songti SC" w:hAnsi="Times New Roman" w:cs="Arial Unicode MS"/>
              </w:rPr>
              <w:t>2. 现场数据准入与根区模型</w:t>
            </w:r>
          </w:p>
          <w:p w14:paraId="41B593FC" w14:textId="77777777" w:rsidR="00121BB8" w:rsidRDefault="00000000">
            <w:pPr>
              <w:widowControl/>
              <w:spacing w:line="324" w:lineRule="auto"/>
              <w:ind w:firstLine="420"/>
            </w:pPr>
            <w:r>
              <w:rPr>
                <w:rFonts w:ascii="Times New Roman" w:eastAsia="Songti SC" w:hAnsi="Times New Roman" w:cs="Arial Unicode MS"/>
              </w:rPr>
              <w:t>现场数据首先按变量语义而非原始字段名称进行映射，统一时间戳、单位、棚室与分区、传感器标识、灌溉命令、实际流量和累计水量。模型状态维度由实际观测决定：单个有效墒情观测形成单状态模型，多个同层观测可融合为分区状态，不同深度观测通过准入后再形成分层状态。若缺少实际流量，则必须先建立阀门时长、压力与水量之间的标定关系。</w:t>
            </w:r>
          </w:p>
          <w:p w14:paraId="6DFAF1F3" w14:textId="77777777" w:rsidR="00121BB8" w:rsidRDefault="00000000">
            <w:pPr>
              <w:snapToGrid w:val="0"/>
              <w:spacing w:after="80" w:line="324" w:lineRule="auto"/>
              <w:ind w:firstLine="420"/>
            </w:pPr>
            <w:r>
              <w:rPr>
                <w:rFonts w:ascii="Times New Roman" w:eastAsia="Songti SC" w:hAnsi="Times New Roman"/>
              </w:rPr>
              <w:t>完整灌溉—干燥事件按用途划分为辨识、开发和独立验证集合，不随机拆分相邻时间点。结构质量检查关注缺失、重复、时间间断、物理范围和水量一致性；辨识信息检查关注灌溉输入是否产生可区分动态、参数是否受边界支配以及预测不确定性。未通过准入的数据用于平台运行分析，不进入MPC模型结论。</w:t>
            </w:r>
          </w:p>
          <w:p w14:paraId="4F20FB73" w14:textId="77777777" w:rsidR="00121BB8" w:rsidRDefault="00000000">
            <w:pPr>
              <w:keepNext/>
              <w:widowControl/>
              <w:spacing w:before="60" w:after="20" w:line="324" w:lineRule="auto"/>
            </w:pPr>
            <w:r>
              <w:rPr>
                <w:rFonts w:ascii="Times New Roman" w:eastAsia="Songti SC" w:hAnsi="Times New Roman" w:cs="Arial Unicode MS"/>
              </w:rPr>
              <w:t>3. MPC设计与独立闭环仿真</w:t>
            </w:r>
          </w:p>
          <w:p w14:paraId="3F5B5480" w14:textId="77777777" w:rsidR="00121BB8" w:rsidRDefault="00000000">
            <w:pPr>
              <w:widowControl/>
              <w:spacing w:line="324" w:lineRule="auto"/>
              <w:ind w:firstLine="420"/>
            </w:pPr>
            <w:r>
              <w:rPr>
                <w:rFonts w:ascii="Times New Roman" w:eastAsia="Songti SC" w:hAnsi="Times New Roman" w:cs="Arial Unicode MS"/>
              </w:rPr>
              <w:t>控制导向模型优先采用可解释、计算开销低的灰箱或状态空间结构。另以预留现场数据、非线性水量平衡或数据驱动方法构建独立虚拟对象；数据量不足时不把LSTM列为必选模型。MPC在滚动时域内优化根区水分偏差、灌溉量、过湿和动作变化，约束由现场流量、压力、阀门能力及水分安全区间确定。</w:t>
            </w:r>
          </w:p>
          <w:p w14:paraId="2DC597A8" w14:textId="77777777" w:rsidR="00121BB8" w:rsidRDefault="00000000">
            <w:pPr>
              <w:widowControl/>
              <w:spacing w:line="324" w:lineRule="auto"/>
              <w:ind w:firstLine="420"/>
            </w:pPr>
            <w:r>
              <w:rPr>
                <w:rFonts w:ascii="Times New Roman" w:eastAsia="Songti SC" w:hAnsi="Times New Roman" w:cs="Arial Unicode MS"/>
              </w:rPr>
              <w:t>阈值控制、PID和MPC在同一虚拟对象上运行，共享现场来源的初始墒情、环境序列、设备能力和扰动种子。控制器参数只在开发场景中选择，随后冻结模型版本、代价权重、预测时域、约束和评价指标，再进入独立锁定场景。该设计避免根据最终结果反复调整控制器。</w:t>
            </w:r>
          </w:p>
          <w:p w14:paraId="1057C3C1" w14:textId="77777777" w:rsidR="00121BB8" w:rsidRDefault="00000000">
            <w:pPr>
              <w:snapToGrid w:val="0"/>
              <w:spacing w:after="80" w:line="324" w:lineRule="auto"/>
              <w:ind w:firstLine="420"/>
            </w:pPr>
            <w:r>
              <w:rPr>
                <w:rFonts w:ascii="Times New Roman" w:eastAsia="Songti SC" w:hAnsi="Times New Roman"/>
              </w:rPr>
              <w:t>图2给出了灌溉决策与执行流程。系统每个周期读取当前状态与预测扰动，生成控制动作并检查水量、压力、阀门和数据有效性；仿真模式把动作发送给独立虚拟对象，现场扩展模式则先经过联锁和人工许可。两种模式均记录任务、控制器版本、候选动作、最终动作和状态反馈。</w:t>
            </w:r>
          </w:p>
          <w:p w14:paraId="11FD6DAD" w14:textId="0A238963" w:rsidR="00121BB8" w:rsidRDefault="00000000">
            <w:pPr>
              <w:keepLines/>
              <w:snapToGrid w:val="0"/>
              <w:spacing w:before="120" w:after="80"/>
              <w:jc w:val="center"/>
            </w:pPr>
            <w:r w:rsidRPr="00C8619C">
              <w:rPr>
                <w:rFonts w:ascii="Times New Roman" w:hAnsi="Times New Roman" w:eastAsia="Songti SC"/>
                <w:noProof/>
              </w:rPr>
              <w:t>图2  灌溉决策与仿真执行流程</w:t>
            </w:r>
          </w:p>
          <w:p w14:paraId="42653FEB" w14:textId="77777777" w:rsidR="00121BB8" w:rsidRDefault="00000000">
            <w:pPr>
              <w:widowControl/>
              <w:spacing w:before="60" w:after="20" w:line="324" w:lineRule="auto"/>
            </w:pPr>
            <w:r>
              <w:rPr>
                <w:rFonts w:ascii="Times New Roman" w:eastAsia="Songti SC" w:hAnsi="Times New Roman" w:cs="Arial Unicode MS"/>
              </w:rPr>
              <w:t>4. 平台实现方法</w:t>
            </w:r>
          </w:p>
          <w:p w14:paraId="4151EB72" w14:textId="77777777" w:rsidR="00121BB8" w:rsidRDefault="00000000">
            <w:pPr>
              <w:widowControl/>
              <w:spacing w:line="324" w:lineRule="auto"/>
              <w:ind w:firstLine="420"/>
            </w:pPr>
            <w:r>
              <w:rPr>
                <w:rFonts w:ascii="Times New Roman" w:eastAsia="Songti SC" w:hAnsi="Times New Roman" w:cs="Arial Unicode MS"/>
              </w:rPr>
              <w:t>平台采用Python实现数据映射、质量准入、模型辨识、阈值控制、PID、MPC、闭环仿真和统计评价；SQLite负责任务与版本审计，MQTT/REST承担消息及服务接口。MATLAB/Simulink用于控制框图展示或独立数值复核，Java、MySQL和Vue可在管理端需求明确后扩展。</w:t>
            </w:r>
          </w:p>
          <w:p w14:paraId="7EC23C6B" w14:textId="77777777" w:rsidR="00121BB8" w:rsidRDefault="00000000">
            <w:pPr>
              <w:widowControl/>
              <w:spacing w:line="324" w:lineRule="auto"/>
              <w:ind w:firstLine="420"/>
            </w:pPr>
            <w:r>
              <w:rPr>
                <w:rFonts w:ascii="Times New Roman" w:eastAsia="Songti SC" w:hAnsi="Times New Roman" w:cs="Arial Unicode MS"/>
              </w:rPr>
              <w:t>系统同时管理数据生命周期、模型生命周期和仿真任务生命周期。现场原始数据保持只读，清洗数据记录转换规则；每个模型绑定训练事件、验证事件、参数和代码版本；每次控制仿真绑定虚拟对象、控制器、初始条件、扰动和结果文件，使系统设计与算法证据共用同一任务账目。</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实验分为四层：合成对象烟雾试验验证计算链；现场数据实验检验根区模型的独立预测能力；现场数据参数化闭环仿真比较阈值、PID和MPC；异常仿真分析传感、执行与通信失效。主要对照的统计单位为独立场景或完整灌溉事件，不把时间步数量当作独立重复。</w:t>
            </w:r>
          </w:p>
          <w:p w14:paraId="17BBFAB0" w14:textId="77777777" w:rsidR="00121BB8" w:rsidRDefault="00000000">
            <w:pPr>
              <w:widowControl/>
              <w:spacing w:line="324" w:lineRule="auto"/>
              <w:ind w:firstLine="420"/>
            </w:pPr>
            <w:r>
              <w:rPr>
                <w:rFonts w:ascii="Times New Roman" w:eastAsia="Songti SC" w:hAnsi="Times New Roman" w:cs="Arial Unicode MS"/>
              </w:rPr>
              <w:t>主要指标包括根区水分亏缺、过湿积分、命令与实际灌溉量、动作次数和安全约束违反；模型评价报告单步误差、整事件误差、方向偏差和相对基线技能；控制评价报告场景级配对差异、区间估计、联合不劣比例和最差场景。EC、pH、压力和液位用于解释设备工况，不在缺少养分响应数据时推导作物吸收效果。</w:t>
            </w:r>
          </w:p>
          <w:p w14:paraId="218CFEE4" w14:textId="77777777" w:rsidR="00121BB8" w:rsidRDefault="00000000">
            <w:pPr>
              <w:snapToGrid w:val="0"/>
              <w:spacing w:after="80" w:line="324" w:lineRule="auto"/>
              <w:ind w:firstLine="420"/>
            </w:pPr>
            <w:r>
              <w:rPr>
                <w:rFonts w:ascii="Times New Roman" w:eastAsia="Songti SC" w:hAnsi="Times New Roman"/>
              </w:rPr>
              <w:t>图3展示现场数据驱动的仿真验证关系。辨识数据建立最低充分控制模型，独立数据检验模型后构建虚拟对象与现场约束场景；阈值、PID和MPC在冻结条件下完成闭环比较。若后续开放实时数据流，可增加影子控制验证，但不作为本研究完成的必要前提。</w:t>
            </w:r>
          </w:p>
          <w:p w14:paraId="391B3936" w14:textId="255631B0" w:rsidR="00121BB8" w:rsidRDefault="00000000" w:rsidP="00C97EDC">
            <w:pPr>
              <w:keepLines/>
              <w:snapToGrid w:val="0"/>
              <w:spacing w:before="120" w:after="80"/>
              <w:jc w:val="center"/>
            </w:pPr>
            <w:r w:rsidRPr="003E0A8F">
              <w:rPr>
                <w:rFonts w:ascii="Times New Roman" w:hAnsi="Times New Roman" w:eastAsia="Songti SC"/>
                <w:noProof/>
              </w:rPr>
              <w:t>图3  现场数据驱动的闭环仿真验证流程</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（1）提出面向水肥一体化项目异构数据的语义映射与数据—模型准入方法，使字段名称、设备来源和观测数量变化能够转化为明确的数据用途与模型选择决策。</w:t>
            </w:r>
          </w:p>
          <w:p w14:paraId="65230C54" w14:textId="77777777" w:rsidR="00121BB8" w:rsidRDefault="00000000">
            <w:pPr>
              <w:widowControl/>
              <w:spacing w:line="324" w:lineRule="auto"/>
            </w:pPr>
            <w:r>
              <w:rPr>
                <w:rFonts w:ascii="Times New Roman" w:eastAsia="Songti SC" w:hAnsi="Times New Roman" w:cs="Arial Unicode MS"/>
              </w:rPr>
              <w:t>（2）建立由数据可辨识性决定状态维度的最低充分根区模型，并通过控制模型与独立虚拟对象分离，减少在同一假设模型上设计和评价MPC造成的乐观偏差。</w:t>
            </w:r>
          </w:p>
          <w:p w14:paraId="0C9CCF94" w14:textId="77777777" w:rsidR="00121BB8" w:rsidRDefault="00000000">
            <w:pPr>
              <w:widowControl/>
              <w:spacing w:line="324" w:lineRule="auto"/>
            </w:pPr>
            <w:r>
              <w:rPr>
                <w:rFonts w:ascii="Times New Roman" w:eastAsia="Songti SC" w:hAnsi="Times New Roman" w:cs="Arial Unicode MS"/>
              </w:rPr>
              <w:t>（3）把阈值控制、PID和MPC置于统一的现场初始状态、环境扰动和设备约束下，以多终点冻结配对评价揭示水分保持、灌溉投入与动作代价之间的关系。</w:t>
            </w:r>
          </w:p>
          <w:p w14:paraId="76D42B2B" w14:textId="77777777" w:rsidR="00121BB8" w:rsidRDefault="00000000">
            <w:pPr>
              <w:widowControl/>
              <w:spacing w:line="324" w:lineRule="auto"/>
            </w:pPr>
            <w:r>
              <w:rPr>
                <w:rFonts w:ascii="Times New Roman" w:eastAsia="Songti SC" w:hAnsi="Times New Roman" w:cs="Arial Unicode MS"/>
              </w:rPr>
              <w:t>（4）以任务和版本为主线贯通现场数据、模型、虚拟对象、控制器、仿真轨迹及水肥设备接口，使系统同时承担运行管理、算法验证和研究证据追溯。</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六、已具备的研究条件、可能遇到的困难及拟采取的解决方法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已具备的研究条件</w:t>
            </w:r>
          </w:p>
          <w:p w14:paraId="5A9F363A" w14:textId="77777777" w:rsidR="00121BB8" w:rsidRDefault="00000000">
            <w:pPr>
              <w:widowControl/>
              <w:spacing w:line="324" w:lineRule="auto"/>
              <w:ind w:firstLine="420"/>
            </w:pPr>
            <w:r>
              <w:rPr>
                <w:rFonts w:ascii="Times New Roman" w:eastAsia="Songti SC" w:hAnsi="Times New Roman" w:cs="Arial Unicode MS"/>
              </w:rPr>
              <w:t>目前已建成可重复运行的Python研究工程，覆盖数据与模型准入、灰箱辨识、阈值规则和区间MPC、异常监督、SQLite审计及MQTT软件在环，99项自动测试全部通过。在90个独立锁定合成场景中，现有双层MPC相对规则的命令灌水配对中位差为−6.5 mm，加权亏缺配对中位差为−0.000314，联合不劣比例为75.56%，两类方法均未出现安全违反；MPC动作变化配对中位增加130次。该结果用于说明研究链已经可运行，并为现场数据驱动模型和执行器友好约束提供开发基础。</w:t>
            </w:r>
          </w:p>
          <w:p w14:paraId="28F033C7" w14:textId="77777777" w:rsidR="00121BB8" w:rsidRDefault="00000000">
            <w:pPr>
              <w:widowControl/>
              <w:spacing w:line="324" w:lineRule="auto"/>
              <w:ind w:firstLine="420"/>
            </w:pPr>
            <w:r>
              <w:rPr>
                <w:rFonts w:ascii="Times New Roman" w:eastAsia="Songti SC" w:hAnsi="Times New Roman" w:cs="Arial Unicode MS"/>
              </w:rPr>
              <w:t>后续拟参与的红壤丘陵区智能水肥一体化项目规划建设土壤墒情、温度、EC、pH，环境光照与温湿度，以及流量、压力和液位采集链，并集成配肥、泵阀和云端管理平台。项目尚未启动，具体传感器布置、采样周期、原始数据权限和控制权限将在实施后确认。因此，本研究把现场数据作为模型真实性和场景参数的增强来源，不把现场自主闭环设为毕业成立的前提。</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数据配置尚未确定。项目启动后先完成传感器、分区、安装位置、采样周期、单位、时间戳和数据权限盘点，建立项目字段到研究统一变量的映射；字段名称变化不影响算法，缺少变量语义、分区标识或灌溉输入则触发数据准入拒绝。</w:t>
            </w:r>
          </w:p>
          <w:p w14:paraId="45187D8D" w14:textId="77777777" w:rsidR="00121BB8" w:rsidRDefault="00000000">
            <w:pPr>
              <w:widowControl/>
              <w:spacing w:line="324" w:lineRule="auto"/>
            </w:pPr>
            <w:r>
              <w:rPr>
                <w:rFonts w:ascii="Times New Roman" w:eastAsia="Songti SC" w:hAnsi="Times New Roman" w:cs="Arial Unicode MS"/>
              </w:rPr>
              <w:t>（2）现场数据可能缺乏有效激励。按完整灌溉事件检查初始墒情、灌溉输入和后续响应，不以记录行数代替动态信息量；当参数不可辨识时缩减状态维度或改用预测型低阶模型，不强行训练复杂网络。</w:t>
            </w:r>
          </w:p>
          <w:p w14:paraId="5795706C" w14:textId="77777777" w:rsidR="00121BB8" w:rsidRDefault="00000000">
            <w:pPr>
              <w:widowControl/>
              <w:spacing w:line="324" w:lineRule="auto"/>
            </w:pPr>
            <w:r>
              <w:rPr>
                <w:rFonts w:ascii="Times New Roman" w:eastAsia="Songti SC" w:hAnsi="Times New Roman" w:cs="Arial Unicode MS"/>
              </w:rPr>
              <w:t>（3）仿真评价可能过度乐观。控制模型只承担MPC预测，独立虚拟对象使用预留数据和不同结构构建，并通过参数扰动、测量噪声、流量变化和环境偏差形成对象集合，检验控制器对模型失配的稳定性。</w:t>
            </w:r>
          </w:p>
          <w:p w14:paraId="1B06D626" w14:textId="77777777" w:rsidR="00121BB8" w:rsidRDefault="00000000">
            <w:pPr>
              <w:widowControl/>
              <w:spacing w:line="324" w:lineRule="auto"/>
            </w:pPr>
            <w:r>
              <w:rPr>
                <w:rFonts w:ascii="Times New Roman" w:eastAsia="Songti SC" w:hAnsi="Times New Roman" w:cs="Arial Unicode MS"/>
              </w:rPr>
              <w:t>（4）设备输入可能只有命令而缺少实际水量。优先使用流量或累计水量；只有阀门时长时，结合压力和设备标定建立水量估计，同时把输入不确定性纳入虚拟对象，不把估算命令直接解释为节水量。</w:t>
            </w:r>
          </w:p>
          <w:p w14:paraId="70522D65" w14:textId="77777777" w:rsidR="00121BB8" w:rsidRDefault="00000000">
            <w:pPr>
              <w:widowControl/>
              <w:spacing w:line="324" w:lineRule="auto"/>
            </w:pPr>
            <w:r>
              <w:rPr>
                <w:rFonts w:ascii="Times New Roman" w:eastAsia="Songti SC" w:hAnsi="Times New Roman" w:cs="Arial Unicode MS"/>
              </w:rPr>
              <w:t>（5）水肥系统范围大于当前MPC对象。研究以根区水分MPC为主，EC、pH和配肥通道用于监测、约束和接口验证；只有在注肥输入与根区养分响应数据通过准入后，才启动水肥协同控制扩展。</w:t>
            </w:r>
          </w:p>
          <w:p w14:paraId="1BA4615F" w14:textId="77777777" w:rsidR="00121BB8" w:rsidRDefault="00000000">
            <w:pPr>
              <w:widowControl/>
              <w:spacing w:line="324" w:lineRule="auto"/>
            </w:pPr>
            <w:r>
              <w:rPr>
                <w:rFonts w:ascii="Times New Roman" w:eastAsia="Songti SC" w:hAnsi="Times New Roman" w:cs="Arial Unicode MS"/>
              </w:rPr>
              <w:t>（6）现场控制权限可能无法开放。正式成果以现场数据辨识、独立模型验证、闭环仿真和平台追溯完整收口；实时数据流可用于影子控制，实体闭环仅在联锁、人工接管和试验许可具备后实施。</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完成开题论证，明确水肥系统范围、根区水分MPC主线及现场数据驱动仿真协议。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开题报告、数据需求清单和实验协议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对接项目建设，盘点传感器、设备和数据接口，建立字段语义映射、时间对齐与原始数据归档。</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项目数据字典、接口映射和质量审计入口</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提取完整灌溉事件，开展数据—模型准入；根据可辨识性确定单状态、多传感器融合或分层模型。</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现场数据集、准入判定和候选模型</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完成控制模型辨识与独立验证，构建不同结构或参数扰动的独立虚拟对象。</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冻结控制模型、虚拟对象和验证报告</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在开发场景中配置阈值、PID和MPC，冻结后开展现场数据参数化的闭环对照。</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控制器配置、确认性评价和适用范围</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完善平台任务、模型、仿真、消息和结果追溯功能，并开展异常场景软件在环验证。</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可运行系统、接口文档和审计报告</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完成综合复核；条件允许时增加实时影子控制，不以现场自主闭环作为必要交付。</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可复现实验包和分层验证结果</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完成论文撰写、预审修改、答辩材料与代码数据归档。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论文定稿、答辩材料和项目归档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八、主要参考文献（共36项）</w:t>
            </w:r>
          </w:p>
          <w:p w14:paraId="08CB30A6" w14:textId="77777777" w:rsidR="00121BB8" w:rsidRDefault="00000000">
            <w:pPr>
              <w:widowControl/>
              <w:spacing w:line="276" w:lineRule="auto"/>
              <w:ind w:left="420" w:hanging="420"/>
            </w:pPr>
            <w:r>
              <w:rPr>
                <w:rFonts w:ascii="Times New Roman" w:eastAsia="Songti SC" w:hAnsi="Times New Roman" w:cs="Arial Unicode MS"/>
                <w:sz w:val="18"/>
              </w:rPr>
              <w:t>[1] 中华人民共和国农业农村部. 关于大力发展智慧农业的指导意见[EB/OL]. 2024-10-25. https://www.moa.gov.cn/ztzl/zhnyzxd/gdlj/202411/P020241120580056183041.pdf.</w:t>
            </w:r>
          </w:p>
          <w:p w14:paraId="761600B5" w14:textId="77777777" w:rsidR="00121BB8" w:rsidRDefault="00000000">
            <w:pPr>
              <w:widowControl/>
              <w:spacing w:line="276" w:lineRule="auto"/>
              <w:ind w:left="420" w:hanging="420"/>
            </w:pPr>
            <w:r>
              <w:rPr>
                <w:rFonts w:ascii="Times New Roman" w:eastAsia="Songti SC" w:hAnsi="Times New Roman" w:cs="Arial Unicode MS"/>
                <w:sz w:val="18"/>
              </w:rPr>
              <w:t>[2] 国家市场监督管理总局, 国家标准化管理委员会. GB/T 43908—2024 水肥一体化设备[S]. 北京: 中国标准出版社, 2024. https://std.samr.gov.cn/gb/search/gbDetailed?id=173829859CFB1AA5E06397BE0A0AA311.</w:t>
            </w:r>
          </w:p>
          <w:p w14:paraId="452606A1" w14:textId="77777777" w:rsidR="00121BB8" w:rsidRDefault="00000000">
            <w:pPr>
              <w:widowControl/>
              <w:spacing w:line="276" w:lineRule="auto"/>
              <w:ind w:left="420" w:hanging="420"/>
            </w:pPr>
            <w:r>
              <w:rPr>
                <w:rFonts w:ascii="Times New Roman" w:eastAsia="Songti SC" w:hAnsi="Times New Roman" w:cs="Arial Unicode MS"/>
                <w:sz w:val="18"/>
              </w:rPr>
              <w:t>[3] 中华人民共和国住房和城乡建设部. GB/T 50485—2020 微灌工程技术标准[S]. 北京: 中国计划出版社, 2020. https://www.yzbzpt.cn/BzInfoDetail/9ff8b622-6c5a-467a-8873-94600350225d.</w:t>
            </w:r>
          </w:p>
          <w:p w14:paraId="5ED93776" w14:textId="77777777" w:rsidR="00121BB8" w:rsidRDefault="00000000">
            <w:pPr>
              <w:widowControl/>
              <w:spacing w:line="276" w:lineRule="auto"/>
              <w:ind w:left="420" w:hanging="420"/>
            </w:pPr>
            <w:r>
              <w:rPr>
                <w:rFonts w:ascii="Times New Roman" w:eastAsia="Songti SC" w:hAnsi="Times New Roman" w:cs="Arial Unicode MS"/>
                <w:sz w:val="18"/>
              </w:rPr>
              <w:t>[4] 国家市场监督管理总局, 国家标准化管理委员会. GB/T 44985.2—2025 农业物联网通用技术要求 第2部分：设施园艺[S]. 北京: 中国标准出版社, 2025. https://std.samr.gov.cn/gb/search/gbDetailed?id=BW0y8PrL6qs%3D&amp;mode=p.</w:t>
            </w:r>
          </w:p>
          <w:p w14:paraId="4E319610" w14:textId="77777777" w:rsidR="00121BB8" w:rsidRDefault="00000000">
            <w:pPr>
              <w:widowControl/>
              <w:spacing w:line="276" w:lineRule="auto"/>
              <w:ind w:left="420" w:hanging="420"/>
            </w:pPr>
            <w:r>
              <w:rPr>
                <w:rFonts w:ascii="Times New Roman" w:eastAsia="Songti SC" w:hAnsi="Times New Roman" w:cs="Arial Unicode MS"/>
                <w:sz w:val="18"/>
              </w:rPr>
              <w:t>[5] 黄昌勇, 徐建明. 土壤学[M]. 3版. 北京: 中国农业出版社, 2010. ISBN 978-7-109-14759-1. https://www.ccap.com.cn/upload/resources/file/2018/03/29/1522309081525.pdf.</w:t>
            </w:r>
          </w:p>
          <w:p w14:paraId="5F56C8BD" w14:textId="77777777" w:rsidR="00121BB8" w:rsidRDefault="00000000">
            <w:pPr>
              <w:widowControl/>
              <w:spacing w:line="276" w:lineRule="auto"/>
              <w:ind w:left="420" w:hanging="420"/>
            </w:pPr>
            <w:r>
              <w:rPr>
                <w:rFonts w:ascii="Times New Roman" w:eastAsia="Songti SC" w:hAnsi="Times New Roman" w:cs="Arial Unicode MS"/>
                <w:sz w:val="18"/>
              </w:rPr>
              <w:t>[6] 张秀明, 陈芳, 江张军, 等. 温室作物水肥一体化智能调控系统研究进展与展望[J]. 农业工程, 2026, 16(7): 57-63. DOI:10.19998/j.cnki.2095-1795.202603001.</w:t>
            </w:r>
          </w:p>
          <w:p w14:paraId="1F5FEE34" w14:textId="77777777" w:rsidR="00121BB8" w:rsidRDefault="00000000">
            <w:pPr>
              <w:widowControl/>
              <w:spacing w:line="276" w:lineRule="auto"/>
              <w:ind w:left="420" w:hanging="420"/>
            </w:pPr>
            <w:r>
              <w:rPr>
                <w:rFonts w:ascii="Times New Roman" w:eastAsia="Songti SC" w:hAnsi="Times New Roman" w:cs="Arial Unicode MS"/>
                <w:sz w:val="18"/>
              </w:rPr>
              <w:t>[7] 夏文豪, 蒋媛, 王旭峰, 等. 水肥一体化技术研究现状与发展动态[J]. 中国农机化学报, 2025, 46(3): 295-304. DOI:10.13733/j.jcam.issn.2095-5553.2025.03.042.</w:t>
            </w:r>
          </w:p>
          <w:p w14:paraId="3E41F7D0" w14:textId="77777777" w:rsidR="00121BB8" w:rsidRDefault="00000000">
            <w:pPr>
              <w:widowControl/>
              <w:spacing w:line="276" w:lineRule="auto"/>
              <w:ind w:left="420" w:hanging="420"/>
            </w:pPr>
            <w:r>
              <w:rPr>
                <w:rFonts w:ascii="Times New Roman" w:eastAsia="Songti SC" w:hAnsi="Times New Roman" w:cs="Arial Unicode MS"/>
                <w:sz w:val="18"/>
              </w:rPr>
              <w:t>[8] 张宝峰, 陈枭, 朱均超, 等. 基于物联网的水肥一体化系统设计与试验[J]. 中国农机化学报, 2021, 42(3): 98-104. DOI:10.13733/j.jcam.issn.2095-5553.2021.03.014.</w:t>
            </w:r>
          </w:p>
          <w:p w14:paraId="03CCC5E0" w14:textId="77777777" w:rsidR="00121BB8" w:rsidRDefault="00000000">
            <w:pPr>
              <w:widowControl/>
              <w:spacing w:line="276" w:lineRule="auto"/>
              <w:ind w:left="420" w:hanging="420"/>
            </w:pPr>
            <w:r>
              <w:rPr>
                <w:rFonts w:ascii="Times New Roman" w:eastAsia="Songti SC" w:hAnsi="Times New Roman" w:cs="Arial Unicode MS"/>
                <w:sz w:val="18"/>
              </w:rPr>
              <w:t>[9] 袁洪波, 李莉, 王俊衡, 等. 温室水肥一体化营养液调控装备设计与试验[J]. 农业工程学报, 2016, 32(8): 27-32. DOI:10.11975/j.issn.1002-6819.2016.08.004.</w:t>
            </w:r>
          </w:p>
          <w:p w14:paraId="61CFD7A6" w14:textId="77777777" w:rsidR="00121BB8" w:rsidRDefault="00000000">
            <w:pPr>
              <w:widowControl/>
              <w:spacing w:line="276" w:lineRule="auto"/>
              <w:ind w:left="420" w:hanging="420"/>
            </w:pPr>
            <w:r>
              <w:rPr>
                <w:rFonts w:ascii="Times New Roman" w:eastAsia="Songti SC" w:hAnsi="Times New Roman" w:cs="Arial Unicode MS"/>
                <w:sz w:val="18"/>
              </w:rPr>
              <w:t xml:space="preserve">[10] 赵鹏飞, 王旭峰, 胡灿, 等. 智能温室水肥一体化装备设计与试验[J]. 农机化研究, 2022, 44(9): </w:t>
            </w:r>
            <w:r>
              <w:rPr>
                <w:rFonts w:ascii="Times New Roman" w:eastAsia="Songti SC" w:hAnsi="Times New Roman" w:cs="Arial Unicode MS"/>
                <w:sz w:val="18"/>
              </w:rPr>
              <w:lastRenderedPageBreak/>
              <w:t>224-228. DOI:10.13427/j.cnki.njyi.2022.09.028.</w:t>
            </w:r>
          </w:p>
          <w:p w14:paraId="7D90DAC3" w14:textId="77777777" w:rsidR="00121BB8" w:rsidRDefault="00000000">
            <w:pPr>
              <w:widowControl/>
              <w:spacing w:line="276" w:lineRule="auto"/>
              <w:ind w:left="420" w:hanging="420"/>
            </w:pPr>
            <w:r>
              <w:rPr>
                <w:rFonts w:ascii="Times New Roman" w:eastAsia="Songti SC" w:hAnsi="Times New Roman" w:cs="Arial Unicode MS"/>
                <w:sz w:val="18"/>
              </w:rPr>
              <w:t>[11] 熊钦, 肖丽萍, 蔡金平, 等. 基于物联网的果园药水肥一体化控制系统设计与实现[J]. 中国农机化学报, 2023, 44(3): 73-81. DOI:10.13733/j.jcam.issn.2095-5553.2023.03.011.</w:t>
            </w:r>
          </w:p>
          <w:p w14:paraId="3925546A" w14:textId="77777777" w:rsidR="00121BB8" w:rsidRDefault="00000000">
            <w:pPr>
              <w:widowControl/>
              <w:spacing w:line="276" w:lineRule="auto"/>
              <w:ind w:left="420" w:hanging="420"/>
            </w:pPr>
            <w:r>
              <w:rPr>
                <w:rFonts w:ascii="Times New Roman" w:eastAsia="Songti SC" w:hAnsi="Times New Roman" w:cs="Arial Unicode MS"/>
                <w:sz w:val="18"/>
              </w:rPr>
              <w:t>[12] 冯倩, 尹义蕾, 王柳, 等. 基于作物表型的温室精准灌溉策略研究进展[J]. 节水灌溉, 2023(6): 34-40. DOI:10.12396/jsgg.2023073.</w:t>
            </w:r>
          </w:p>
          <w:p w14:paraId="68243DCC" w14:textId="77777777" w:rsidR="00121BB8" w:rsidRDefault="00000000">
            <w:pPr>
              <w:widowControl/>
              <w:spacing w:line="276" w:lineRule="auto"/>
              <w:ind w:left="420" w:hanging="420"/>
            </w:pPr>
            <w:r>
              <w:rPr>
                <w:rFonts w:ascii="Times New Roman" w:eastAsia="Songti SC" w:hAnsi="Times New Roman" w:cs="Arial Unicode MS"/>
                <w:sz w:val="18"/>
              </w:rPr>
              <w:t>[13] SUN G, LI X, WANG X, et al. Design and testing of a nutrient mixing machine for greenhouse fertigation[J]. Engineering in Agriculture, Environment and Food, 2015, 8(2): 114-121. DOI:10.1016/j.eaef.2014.12.001.</w:t>
            </w:r>
          </w:p>
          <w:p w14:paraId="5163AC66" w14:textId="77777777" w:rsidR="00121BB8" w:rsidRDefault="00000000">
            <w:pPr>
              <w:widowControl/>
              <w:spacing w:line="276" w:lineRule="auto"/>
              <w:ind w:left="420" w:hanging="420"/>
            </w:pPr>
            <w:r>
              <w:rPr>
                <w:rFonts w:ascii="Times New Roman" w:eastAsia="Songti SC" w:hAnsi="Times New Roman" w:cs="Arial Unicode MS"/>
                <w:sz w:val="18"/>
              </w:rPr>
              <w:t>[14] STEIDLE NETO A J, ZOLNIER S, DE CARVALHO LOPES D. Development and evaluation of an automated system for fertigation control in soilless tomato production[J]. Computers and Electronics in Agriculture, 2014, 103: 17-25. DOI:10.1016/j.compag.2014.02.001.</w:t>
            </w:r>
          </w:p>
          <w:p w14:paraId="77D9B778" w14:textId="77777777" w:rsidR="00121BB8" w:rsidRDefault="00000000">
            <w:pPr>
              <w:widowControl/>
              <w:spacing w:line="276" w:lineRule="auto"/>
              <w:ind w:left="420" w:hanging="420"/>
            </w:pPr>
            <w:r>
              <w:rPr>
                <w:rFonts w:ascii="Times New Roman" w:eastAsia="Songti SC" w:hAnsi="Times New Roman" w:cs="Arial Unicode MS"/>
                <w:sz w:val="18"/>
              </w:rPr>
              <w:t>[15] GONZÁLEZ PEREA R, MORENO M A, ORTEGA J F, et al. Dynamic simulation tool of fertigation in drip irrigation subunits[J]. Computers and Electronics in Agriculture, 2020, 173: 105434. DOI:10.1016/j.compag.2020.105434.</w:t>
            </w:r>
          </w:p>
          <w:p w14:paraId="76605E71" w14:textId="77777777" w:rsidR="00121BB8" w:rsidRDefault="00000000">
            <w:pPr>
              <w:widowControl/>
              <w:spacing w:line="276" w:lineRule="auto"/>
              <w:ind w:left="420" w:hanging="420"/>
            </w:pPr>
            <w:r>
              <w:rPr>
                <w:rFonts w:ascii="Times New Roman" w:eastAsia="Songti SC" w:hAnsi="Times New Roman" w:cs="Arial Unicode MS"/>
                <w:sz w:val="18"/>
              </w:rPr>
              <w:t>[16] ALLEN R G, PEREIRA L S, RAES D, SMITH M. Crop Evapotranspiration: Guidelines for Computing Crop Water Requirements[M]. Rome: FAO, 1998. ISBN 92-5-104219-5. https://www.fao.org/4/x0490e/x0490e00.htm.</w:t>
            </w:r>
          </w:p>
          <w:p w14:paraId="6A140BCF" w14:textId="77777777" w:rsidR="00121BB8" w:rsidRDefault="00000000">
            <w:pPr>
              <w:widowControl/>
              <w:spacing w:line="276" w:lineRule="auto"/>
              <w:ind w:left="420" w:hanging="420"/>
            </w:pPr>
            <w:r>
              <w:rPr>
                <w:rFonts w:ascii="Times New Roman" w:eastAsia="Songti SC" w:hAnsi="Times New Roman" w:cs="Arial Unicode MS"/>
                <w:sz w:val="18"/>
              </w:rPr>
              <w:t>[17] KELLER J, BLIESNER R D. Sprinkle and Trickle Irrigation[M]. New York: Van Nostrand Reinhold, 1990. DOI:10.1007/978-1-4757-1425-8.</w:t>
            </w:r>
          </w:p>
          <w:p w14:paraId="1E1600A8" w14:textId="77777777" w:rsidR="00121BB8" w:rsidRDefault="00000000">
            <w:pPr>
              <w:widowControl/>
              <w:spacing w:line="276" w:lineRule="auto"/>
              <w:ind w:left="420" w:hanging="420"/>
            </w:pPr>
            <w:r>
              <w:rPr>
                <w:rFonts w:ascii="Times New Roman" w:eastAsia="Songti SC" w:hAnsi="Times New Roman" w:cs="Arial Unicode MS"/>
                <w:sz w:val="18"/>
              </w:rPr>
              <w:t>[18] LAMM F R, AYARS J E, NAKAYAMA F S, eds. Microirrigation for Crop Production: Design, Operation, and Management[M]. Amsterdam: Elsevier, 2006. ISBN 978-0-444-50607-8. https://www.ars.usda.gov/research/publications/publication/?seqNo115=197482.</w:t>
            </w:r>
          </w:p>
          <w:p w14:paraId="4D23FB8E" w14:textId="77777777" w:rsidR="00121BB8" w:rsidRDefault="00000000">
            <w:pPr>
              <w:widowControl/>
              <w:spacing w:line="276" w:lineRule="auto"/>
              <w:ind w:left="420" w:hanging="420"/>
            </w:pPr>
            <w:r>
              <w:rPr>
                <w:rFonts w:ascii="Times New Roman" w:eastAsia="Songti SC" w:hAnsi="Times New Roman" w:cs="Arial Unicode MS"/>
                <w:sz w:val="18"/>
              </w:rPr>
              <w:lastRenderedPageBreak/>
              <w:t>[19] NAKAYAMA F S, BUCKS D A, eds. Trickle Irrigation for Crop Production: Design, Operation and Management[M]. Amsterdam: Elsevier, 1986. ISBN 978-0-444-42615-4. https://books.google.com/books/about/Trickle_Irrigation_for_Crop_Production.html?id=K4sdAQAAMAAJ.</w:t>
            </w:r>
          </w:p>
          <w:p w14:paraId="78765E35" w14:textId="77777777" w:rsidR="00121BB8" w:rsidRDefault="00000000">
            <w:pPr>
              <w:widowControl/>
              <w:spacing w:line="276" w:lineRule="auto"/>
              <w:ind w:left="420" w:hanging="420"/>
            </w:pPr>
            <w:r>
              <w:rPr>
                <w:rFonts w:ascii="Times New Roman" w:eastAsia="Songti SC" w:hAnsi="Times New Roman" w:cs="Arial Unicode MS"/>
                <w:sz w:val="18"/>
              </w:rPr>
              <w:t>[20] HILLEL D. Environmental Soil Physics: Fundamentals, Applications, and Environmental Considerations[M]. San Diego: Academic Press, 1998. ISBN 978-0-12-348525-0. https://www.educate.elsevier.com/book/details/9780123485250.</w:t>
            </w:r>
          </w:p>
          <w:p w14:paraId="70091F79" w14:textId="77777777" w:rsidR="00121BB8" w:rsidRDefault="00000000">
            <w:pPr>
              <w:widowControl/>
              <w:spacing w:line="276" w:lineRule="auto"/>
              <w:ind w:left="420" w:hanging="420"/>
            </w:pPr>
            <w:r>
              <w:rPr>
                <w:rFonts w:ascii="Times New Roman" w:eastAsia="Songti SC" w:hAnsi="Times New Roman" w:cs="Arial Unicode MS"/>
                <w:sz w:val="18"/>
              </w:rPr>
              <w:t>[21] JURY W A, HORTON R. Soil Physics[M]. 6th ed. Hoboken: Wiley, 2004. ISBN 978-0-471-05965-3. https://books.google.com/books/about/Soil_Physics.html?id=E5HZDwAAQBAJ.</w:t>
            </w:r>
          </w:p>
          <w:p w14:paraId="29094757" w14:textId="77777777" w:rsidR="00121BB8" w:rsidRDefault="00000000">
            <w:pPr>
              <w:widowControl/>
              <w:spacing w:line="276" w:lineRule="auto"/>
              <w:ind w:left="420" w:hanging="420"/>
            </w:pPr>
            <w:r>
              <w:rPr>
                <w:rFonts w:ascii="Times New Roman" w:eastAsia="Songti SC" w:hAnsi="Times New Roman" w:cs="Arial Unicode MS"/>
                <w:sz w:val="18"/>
              </w:rPr>
              <w:t>[22] KIRKHAM M B. Principles of Soil and Plant Water Relations[M]. 2nd ed. Amsterdam: Elsevier, 2014. ISBN 978-0-12-420022-7. https://shop.elsevier.com/books/principles-of-soil-and-plant-water-relations/kirkham/978-0-12-420022-7.</w:t>
            </w:r>
          </w:p>
          <w:p w14:paraId="64029B1C" w14:textId="77777777" w:rsidR="00121BB8" w:rsidRDefault="00000000">
            <w:pPr>
              <w:widowControl/>
              <w:spacing w:line="276" w:lineRule="auto"/>
              <w:ind w:left="420" w:hanging="420"/>
            </w:pPr>
            <w:r>
              <w:rPr>
                <w:rFonts w:ascii="Times New Roman" w:eastAsia="Songti SC" w:hAnsi="Times New Roman" w:cs="Arial Unicode MS"/>
                <w:sz w:val="18"/>
              </w:rPr>
              <w:t>[23] QIN S J, BADGWELL T A. A survey of industrial model predictive control technology[J]. Control Engineering Practice, 2003, 11(7): 733-764. DOI:10.1016/S0967-0661(02)00186-7.</w:t>
            </w:r>
          </w:p>
          <w:p w14:paraId="53057E73" w14:textId="77777777" w:rsidR="00121BB8" w:rsidRDefault="00000000">
            <w:pPr>
              <w:widowControl/>
              <w:spacing w:line="276" w:lineRule="auto"/>
              <w:ind w:left="420" w:hanging="420"/>
            </w:pPr>
            <w:r>
              <w:rPr>
                <w:rFonts w:ascii="Times New Roman" w:eastAsia="Songti SC" w:hAnsi="Times New Roman" w:cs="Arial Unicode MS"/>
                <w:sz w:val="18"/>
              </w:rPr>
              <w:t>[24] BWAMBALE E, ABAGALE F K, ANORNU G K. Data-driven model predictive control for precision irrigation management[J]. Smart Agricultural Technology, 2023, 3: 100074. DOI:10.1016/j.atech.2022.100074.</w:t>
            </w:r>
          </w:p>
          <w:p w14:paraId="14D0F698" w14:textId="77777777" w:rsidR="00121BB8" w:rsidRDefault="00000000">
            <w:pPr>
              <w:widowControl/>
              <w:spacing w:line="276" w:lineRule="auto"/>
              <w:ind w:left="420" w:hanging="420"/>
            </w:pPr>
            <w:r>
              <w:rPr>
                <w:rFonts w:ascii="Times New Roman" w:eastAsia="Songti SC" w:hAnsi="Times New Roman" w:cs="Arial Unicode MS"/>
                <w:sz w:val="18"/>
              </w:rPr>
              <w:t>[25] DELGODA D, MALANO H, SALEEM S K, et al. Irrigation control based on model predictive control (MPC): Formulation of theory and validation using weather forecast data and AQUACROP model[J]. Environmental Modelling &amp; Software, 2016, 78: 40-53. DOI:10.1016/j.envsoft.2015.12.012.</w:t>
            </w:r>
          </w:p>
          <w:p w14:paraId="2F90DF84" w14:textId="77777777" w:rsidR="00121BB8" w:rsidRDefault="00000000">
            <w:pPr>
              <w:widowControl/>
              <w:spacing w:line="276" w:lineRule="auto"/>
              <w:ind w:left="420" w:hanging="420"/>
            </w:pPr>
            <w:r>
              <w:rPr>
                <w:rFonts w:ascii="Times New Roman" w:eastAsia="Songti SC" w:hAnsi="Times New Roman" w:cs="Arial Unicode MS"/>
                <w:sz w:val="18"/>
              </w:rPr>
              <w:t>[26] MAO Y, LIU S, NAHAR J, et al. Soil moisture regulation of agro-hydrological systems using zone model predictive control[J]. Computers and Electronics in Agriculture, 2018, 154: 239-247. DOI:10.1016/j.compag.2018.09.011.</w:t>
            </w:r>
          </w:p>
          <w:p w14:paraId="63DB8A91" w14:textId="77777777" w:rsidR="00121BB8" w:rsidRDefault="00000000">
            <w:pPr>
              <w:widowControl/>
              <w:spacing w:line="276" w:lineRule="auto"/>
              <w:ind w:left="420" w:hanging="420"/>
            </w:pPr>
            <w:r>
              <w:rPr>
                <w:rFonts w:ascii="Times New Roman" w:eastAsia="Songti SC" w:hAnsi="Times New Roman" w:cs="Arial Unicode MS"/>
                <w:sz w:val="18"/>
              </w:rPr>
              <w:t>[27] CÁCERES G, MILLÁN P, PEREIRA M, et al. Smart Farm Irrigation: Model Predictive Control for Economic Optimal Irrigation in Agriculture[J]. Agronomy, 2021, 11(9): 1810. DOI:10.3390/agronomy11091810.</w:t>
            </w:r>
          </w:p>
          <w:p w14:paraId="785FBEAE" w14:textId="77777777" w:rsidR="00121BB8" w:rsidRDefault="00000000">
            <w:pPr>
              <w:widowControl/>
              <w:spacing w:line="276" w:lineRule="auto"/>
              <w:ind w:left="420" w:hanging="420"/>
            </w:pPr>
            <w:r>
              <w:rPr>
                <w:rFonts w:ascii="Times New Roman" w:eastAsia="Songti SC" w:hAnsi="Times New Roman" w:cs="Arial Unicode MS"/>
                <w:sz w:val="18"/>
              </w:rPr>
              <w:t>[28] SHI W, CAO J, ZHANG Q, et al. Edge computing: Vision and challenges[J]. IEEE Internet of Things Journal, 2016, 3(5): 637-646. DOI:10.1109/JIOT.2016.2579198.</w:t>
            </w:r>
          </w:p>
          <w:p w14:paraId="0C230988" w14:textId="77777777" w:rsidR="00121BB8" w:rsidRDefault="00000000">
            <w:pPr>
              <w:widowControl/>
              <w:spacing w:line="276" w:lineRule="auto"/>
              <w:ind w:left="420" w:hanging="420"/>
            </w:pPr>
            <w:r>
              <w:rPr>
                <w:rFonts w:ascii="Times New Roman" w:eastAsia="Songti SC" w:hAnsi="Times New Roman" w:cs="Arial Unicode MS"/>
                <w:sz w:val="18"/>
              </w:rPr>
              <w:t>[29] HESPANHA J P, NAGHSHTABRIZI P, XU Y. A survey of recent results in networked control systems[J]. Proceedings of the IEEE, 2007, 95(1): 138-162. DOI:10.1109/JPROC.2006.887288.</w:t>
            </w:r>
          </w:p>
          <w:p w14:paraId="373164AC" w14:textId="77777777" w:rsidR="00121BB8" w:rsidRDefault="00000000">
            <w:pPr>
              <w:widowControl/>
              <w:spacing w:line="276" w:lineRule="auto"/>
              <w:ind w:left="420" w:hanging="420"/>
            </w:pPr>
            <w:r>
              <w:rPr>
                <w:rFonts w:ascii="Times New Roman" w:eastAsia="Songti SC" w:hAnsi="Times New Roman" w:cs="Arial Unicode MS"/>
                <w:sz w:val="18"/>
              </w:rPr>
              <w:t>[30] MA Y, LU C, SINOPOLI B, et al. Exploring edge computing for multitier industrial control[J]. IEEE Transactions on Computer-Aided Design of Integrated Circuits and Systems, 2020, 39(11): 3506-3518. DOI:10.1109/TCAD.2020.3012648.</w:t>
            </w:r>
          </w:p>
          <w:p w14:paraId="7CEFF226" w14:textId="77777777" w:rsidR="00121BB8" w:rsidRDefault="00000000">
            <w:pPr>
              <w:widowControl/>
              <w:spacing w:line="276" w:lineRule="auto"/>
              <w:ind w:left="420" w:hanging="420"/>
            </w:pPr>
            <w:r>
              <w:rPr>
                <w:rFonts w:ascii="Times New Roman" w:eastAsia="Songti SC" w:hAnsi="Times New Roman" w:cs="Arial Unicode MS"/>
                <w:sz w:val="18"/>
              </w:rPr>
              <w:t>[31] ISERMANN R. Fault-Diagnosis Systems: An Introduction from Fault Detection to Fault Tolerance[M]. Berlin: Springer, 2006. DOI:10.1007/3-540-30368-5.</w:t>
            </w:r>
          </w:p>
          <w:p w14:paraId="1C298994" w14:textId="77777777" w:rsidR="00121BB8" w:rsidRDefault="00000000">
            <w:pPr>
              <w:widowControl/>
              <w:spacing w:line="276" w:lineRule="auto"/>
              <w:ind w:left="420" w:hanging="420"/>
            </w:pPr>
            <w:r>
              <w:rPr>
                <w:rFonts w:ascii="Times New Roman" w:eastAsia="Songti SC" w:hAnsi="Times New Roman" w:cs="Arial Unicode MS"/>
                <w:sz w:val="18"/>
              </w:rPr>
              <w:t>[32] ISERMANN R. Model-based fault-detection and diagnosis—status and applications[J]. Annual Reviews in Control, 2005, 29(1): 71-85. DOI:10.1016/j.arcontrol.2004.12.002.</w:t>
            </w:r>
          </w:p>
          <w:p w14:paraId="008FAA4B" w14:textId="77777777" w:rsidR="00121BB8" w:rsidRDefault="00000000">
            <w:pPr>
              <w:widowControl/>
              <w:spacing w:line="276" w:lineRule="auto"/>
              <w:ind w:left="420" w:hanging="420"/>
            </w:pPr>
            <w:r>
              <w:rPr>
                <w:rFonts w:ascii="Times New Roman" w:eastAsia="Songti SC" w:hAnsi="Times New Roman" w:cs="Arial Unicode MS"/>
                <w:sz w:val="18"/>
              </w:rPr>
              <w:t>[33] HWANG I, KIM S, KIM Y, et al. A survey of fault detection, isolation, and reconfiguration methods[J]. IEEE Transactions on Control Systems Technology, 2010, 18(3): 636-653. DOI:10.1109/TCST.2009.2026285.</w:t>
            </w:r>
          </w:p>
          <w:p w14:paraId="2284A337" w14:textId="77777777" w:rsidR="00121BB8" w:rsidRDefault="00000000">
            <w:pPr>
              <w:widowControl/>
              <w:spacing w:line="276" w:lineRule="auto"/>
              <w:ind w:left="420" w:hanging="420"/>
            </w:pPr>
            <w:r>
              <w:rPr>
                <w:rFonts w:ascii="Times New Roman" w:eastAsia="Songti SC" w:hAnsi="Times New Roman" w:cs="Arial Unicode MS"/>
                <w:sz w:val="18"/>
              </w:rPr>
              <w:t xml:space="preserve">[34] YETENDJE A, DE DONÁ J A, SERON M M. Multisensor fusion fault tolerant control[J]. </w:t>
            </w:r>
            <w:r>
              <w:rPr>
                <w:rFonts w:ascii="Times New Roman" w:eastAsia="Songti SC" w:hAnsi="Times New Roman" w:cs="Arial Unicode MS"/>
                <w:sz w:val="18"/>
              </w:rPr>
              <w:lastRenderedPageBreak/>
              <w:t>Automatica, 2011, 47(7): 1461-1466. DOI:10.1016/j.automatica.2011.02.024.</w:t>
            </w:r>
          </w:p>
          <w:p w14:paraId="55762FA6" w14:textId="77777777" w:rsidR="00121BB8" w:rsidRDefault="00000000">
            <w:pPr>
              <w:widowControl/>
              <w:spacing w:line="276" w:lineRule="auto"/>
              <w:ind w:left="420" w:hanging="420"/>
            </w:pPr>
            <w:r>
              <w:rPr>
                <w:rFonts w:ascii="Times New Roman" w:eastAsia="Songti SC" w:hAnsi="Times New Roman" w:cs="Arial Unicode MS"/>
                <w:sz w:val="18"/>
              </w:rPr>
              <w:t>[35] ZACCARIAN L, TEEL A R. The L2 (l2) bumpless transfer problem for linear plants: Its definition and solution[J]. Automatica, 2005, 41(7): 1273-1280. DOI:10.1016/j.automatica.2005.02.003.</w:t>
            </w:r>
          </w:p>
          <w:p w14:paraId="320EE143" w14:textId="77777777" w:rsidR="00121BB8" w:rsidRDefault="00000000">
            <w:pPr>
              <w:widowControl/>
              <w:spacing w:line="276" w:lineRule="auto"/>
              <w:ind w:left="420" w:hanging="420"/>
            </w:pPr>
            <w:r>
              <w:rPr>
                <w:rFonts w:ascii="Times New Roman" w:eastAsia="Songti SC" w:hAnsi="Times New Roman" w:cs="Arial Unicode MS"/>
                <w:sz w:val="18"/>
              </w:rPr>
              <w:t>[36] OASIS. MQTT Version 3.1.1[S/OL]. 2014. https://docs.oasis-open.org/mqtt/mqtt/v3.1.1/mqtt-v3.1.1.html.</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绪论：研究背景、国内外进展、关键问题、研究内容与技术路线。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智能水肥一体化系统总体设计：需求分析、数据对象、系统架构、设备接口与任务流程。</w:t>
            </w:r>
          </w:p>
          <w:p w14:paraId="5A6EAFD3" w14:textId="77777777" w:rsidR="00121BB8" w:rsidRDefault="00000000">
            <w:pPr>
              <w:widowControl/>
              <w:spacing w:line="324" w:lineRule="auto"/>
            </w:pPr>
            <w:r>
              <w:rPr>
                <w:rFonts w:ascii="Times New Roman" w:eastAsia="Songti SC" w:hAnsi="Times New Roman" w:cs="Arial Unicode MS"/>
              </w:rPr>
              <w:t>第3章 现场数据准入与根区水分模型：字段语义、时间对齐、动态信息、模型选择和独立验证。</w:t>
            </w:r>
          </w:p>
          <w:p w14:paraId="635C07F8" w14:textId="77777777" w:rsidR="00121BB8" w:rsidRDefault="00000000">
            <w:pPr>
              <w:widowControl/>
              <w:spacing w:line="324" w:lineRule="auto"/>
            </w:pPr>
            <w:r>
              <w:rPr>
                <w:rFonts w:ascii="Times New Roman" w:eastAsia="Songti SC" w:hAnsi="Times New Roman" w:cs="Arial Unicode MS"/>
              </w:rPr>
              <w:t>第4章 根区水分MPC与闭环仿真方法：控制目标、约束、独立虚拟对象、阈值和PID基线。</w:t>
            </w:r>
          </w:p>
          <w:p w14:paraId="5CAA9886" w14:textId="77777777" w:rsidR="00121BB8" w:rsidRDefault="00000000">
            <w:pPr>
              <w:widowControl/>
              <w:spacing w:line="324" w:lineRule="auto"/>
            </w:pPr>
            <w:r>
              <w:rPr>
                <w:rFonts w:ascii="Times New Roman" w:eastAsia="Songti SC" w:hAnsi="Times New Roman" w:cs="Arial Unicode MS"/>
              </w:rPr>
              <w:t>第5章 现场数据参数化的控制对照：场景构建、冻结协议、多终点评价和模型失配分析。</w:t>
            </w:r>
          </w:p>
          <w:p w14:paraId="17AA27F2" w14:textId="77777777" w:rsidR="00121BB8" w:rsidRDefault="00000000">
            <w:pPr>
              <w:widowControl/>
              <w:spacing w:line="324" w:lineRule="auto"/>
            </w:pPr>
            <w:r>
              <w:rPr>
                <w:rFonts w:ascii="Times New Roman" w:eastAsia="Songti SC" w:hAnsi="Times New Roman" w:cs="Arial Unicode MS"/>
              </w:rPr>
              <w:t>第6章 系统实现与软件在环验证：算法服务、任务账目、可靠消息、设备接口和结果追溯。</w:t>
            </w:r>
          </w:p>
          <w:p w14:paraId="75CB2B87" w14:textId="77777777" w:rsidR="00121BB8" w:rsidRDefault="00000000">
            <w:pPr>
              <w:widowControl/>
              <w:spacing w:line="324" w:lineRule="auto"/>
            </w:pPr>
            <w:r>
              <w:rPr>
                <w:rFonts w:ascii="Times New Roman" w:eastAsia="Songti SC" w:hAnsi="Times New Roman" w:cs="Arial Unicode MS"/>
              </w:rPr>
              <w:t>第7章 综合分析：数据条件、模型复杂度、控制权衡、水肥扩展边界与部署路径。</w:t>
            </w:r>
          </w:p>
          <w:p w14:paraId="0E51D83A" w14:textId="77777777" w:rsidR="00121BB8" w:rsidRDefault="00000000">
            <w:pPr>
              <w:widowControl/>
              <w:spacing w:line="324" w:lineRule="auto"/>
            </w:pPr>
            <w:r>
              <w:rPr>
                <w:rFonts w:ascii="Times New Roman" w:eastAsia="Songti SC" w:hAnsi="Times New Roman" w:cs="Arial Unicode MS"/>
              </w:rPr>
              <w:t>第8章 结论与展望：主要研究结论、系统与算法贡献及后续现场应用。</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