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168CA3" w14:textId="77777777" w:rsidR="00EB31B3" w:rsidRDefault="00000000">
      <w:pPr>
        <w:rPr>
          <w:color w:val="4A4A4A"/>
          <w:sz w:val="84"/>
          <w:szCs w:val="84"/>
        </w:rPr>
      </w:pPr>
      <w:r>
        <w:rPr>
          <w:rFonts w:hint="eastAsia" w:ascii="Times New Roman" w:hAnsi="Times New Roman" w:eastAsia="Songti SC"/>
          <w:color w:val="4A4A4A"/>
          <w:sz w:val="84"/>
          <w:szCs w:val="84"/>
        </w:rPr>
        <w:t xml:space="preserve">     </w:t>
      </w:r>
    </w:p>
    <w:p w14:paraId="2C1E4F57" w14:textId="77777777" w:rsidR="00EB31B3" w:rsidRDefault="004E45A7">
      <w:pPr>
        <w:jc w:val="center"/>
        <w:rPr>
          <w:rFonts w:ascii="华文新魏" w:eastAsia="华文新魏"/>
          <w:sz w:val="48"/>
          <w:szCs w:val="48"/>
        </w:rPr>
      </w:pPr>
      <w:r w:rsidRPr="004E45A7">
        <w:rPr>
          <w:rFonts w:ascii="Times New Roman" w:eastAsia="Songti SC" w:hAnsi="Times New Roman"/>
          <w:noProof/>
          <w:sz w:val="48"/>
          <w:szCs w:val="48"/>
        </w:rPr>
        <w:pict w14:anchorId="61C4CD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170.9pt;height:41.05pt;visibility:visible;mso-wrap-style:square">
            <v:imagedata r:id="rId4" o:title=""/>
            <o:lock v:ext="edit" rotation="t" cropping="t" verticies="t"/>
          </v:shape>
        </w:pict>
      </w:r>
    </w:p>
    <w:p w14:paraId="21D67554" w14:textId="77777777" w:rsidR="00EB31B3" w:rsidRDefault="00EB31B3">
      <w:pPr>
        <w:jc w:val="center"/>
        <w:rPr>
          <w:rFonts w:ascii="华文新魏" w:eastAsia="华文新魏"/>
          <w:sz w:val="48"/>
          <w:szCs w:val="48"/>
        </w:rPr>
      </w:pPr>
    </w:p>
    <w:p w14:paraId="3B5FDE40" w14:textId="77777777" w:rsidR="00EB31B3" w:rsidRDefault="00000000">
      <w:pPr>
        <w:jc w:val="center"/>
        <w:rPr>
          <w:rFonts w:ascii="宋体" w:hAnsi="宋体"/>
          <w:b/>
          <w:sz w:val="52"/>
          <w:szCs w:val="52"/>
        </w:rPr>
      </w:pPr>
      <w:r>
        <w:rPr>
          <w:rFonts w:ascii="Times New Roman" w:hAnsi="Times New Roman" w:hint="eastAsia" w:eastAsia="Songti SC"/>
          <w:b/>
          <w:sz w:val="52"/>
          <w:szCs w:val="52"/>
        </w:rPr>
        <w:t>专业硕士学位研究生</w:t>
      </w:r>
    </w:p>
    <w:p w14:paraId="67DE02B5" w14:textId="77777777" w:rsidR="00EB31B3" w:rsidRDefault="00000000">
      <w:pPr>
        <w:jc w:val="center"/>
        <w:rPr>
          <w:rFonts w:ascii="宋体" w:hAnsi="宋体"/>
          <w:b/>
          <w:sz w:val="52"/>
          <w:szCs w:val="52"/>
        </w:rPr>
      </w:pPr>
      <w:r>
        <w:rPr>
          <w:rFonts w:ascii="Times New Roman" w:hAnsi="Times New Roman" w:hint="eastAsia" w:eastAsia="Songti SC"/>
          <w:b/>
          <w:sz w:val="52"/>
          <w:szCs w:val="52"/>
        </w:rPr>
        <w:t>学位论文开题报告</w:t>
      </w:r>
    </w:p>
    <w:p w14:paraId="4B1AC234" w14:textId="77777777" w:rsidR="00EB31B3" w:rsidRDefault="00EB31B3">
      <w:pPr>
        <w:spacing w:line="860" w:lineRule="exact"/>
        <w:ind w:firstLineChars="345" w:firstLine="1247"/>
        <w:rPr>
          <w:b/>
          <w:sz w:val="36"/>
          <w:szCs w:val="36"/>
        </w:rPr>
      </w:pPr>
    </w:p>
    <w:p w14:paraId="5C9926AC" w14:textId="77777777" w:rsidR="00EB31B3" w:rsidRDefault="00000000">
      <w:pPr>
        <w:spacing w:line="860" w:lineRule="exact"/>
        <w:ind w:firstLineChars="400" w:firstLine="1200"/>
        <w:jc w:val="center"/>
        <w:rPr>
          <w:b/>
          <w:sz w:val="36"/>
          <w:szCs w:val="36"/>
        </w:rPr>
      </w:pPr>
      <w:r>
        <w:rPr>
          <w:rFonts w:ascii="Times New Roman" w:eastAsia="Songti SC" w:hAnsi="Times New Roman" w:cs="仿宋_GB2312"/>
          <w:b/>
          <w:sz w:val="30"/>
        </w:rPr>
        <w:t>论文题目：基于根区MPC的红壤大棚管控平台研究</w:t>
      </w:r>
    </w:p>
    <w:p w14:paraId="7A6D6FE5" w14:textId="77777777" w:rsidR="00EB31B3" w:rsidRDefault="00000000">
      <w:pPr>
        <w:tabs>
          <w:tab w:val="left" w:pos="2370"/>
        </w:tabs>
        <w:spacing w:line="860" w:lineRule="exact"/>
        <w:rPr>
          <w:b/>
          <w:sz w:val="36"/>
          <w:szCs w:val="36"/>
          <w:u w:val="single"/>
        </w:rPr>
      </w:pPr>
      <w:r>
        <w:rPr>
          <w:rFonts w:hint="eastAsia" w:ascii="Times New Roman" w:hAnsi="Times New Roman" w:eastAsia="Songti SC"/>
          <w:b/>
          <w:sz w:val="36"/>
          <w:szCs w:val="36"/>
        </w:rPr>
        <w:t xml:space="preserve">          </w:t>
      </w:r>
      <w:r>
        <w:rPr>
          <w:rFonts w:hint="eastAsia" w:ascii="Times New Roman" w:hAnsi="Times New Roman" w:eastAsia="Songti SC"/>
          <w:b/>
          <w:sz w:val="36"/>
          <w:szCs w:val="36"/>
        </w:rPr>
        <w:t>研究生姓名：</w:t>
      </w:r>
      <w:r>
        <w:rPr>
          <w:rFonts w:hint="eastAsia" w:ascii="Times New Roman" w:hAnsi="Times New Roman" w:eastAsia="Songti SC"/>
          <w:b/>
          <w:sz w:val="36"/>
          <w:szCs w:val="36"/>
          <w:u w:val="single"/>
        </w:rPr>
        <w:t xml:space="preserve">     </w:t>
      </w:r>
      <w:r w:rsidR="00CA6625">
        <w:rPr>
          <w:rFonts w:hint="eastAsia" w:ascii="Times New Roman" w:hAnsi="Times New Roman" w:eastAsia="Songti SC"/>
          <w:b/>
          <w:sz w:val="36"/>
          <w:szCs w:val="36"/>
          <w:u w:val="single"/>
        </w:rPr>
        <w:t>郭众鑫</w:t>
      </w:r>
      <w:r>
        <w:rPr>
          <w:rFonts w:hint="eastAsia" w:ascii="Times New Roman" w:hAnsi="Times New Roman" w:eastAsia="Songti SC"/>
          <w:b/>
          <w:sz w:val="36"/>
          <w:szCs w:val="36"/>
          <w:u w:val="single"/>
        </w:rPr>
        <w:t xml:space="preserve">     </w:t>
      </w:r>
      <w:r w:rsidR="00CA6625">
        <w:rPr>
          <w:rFonts w:hint="eastAsia" w:ascii="Times New Roman" w:hAnsi="Times New Roman" w:eastAsia="Songti SC"/>
          <w:b/>
          <w:sz w:val="36"/>
          <w:szCs w:val="36"/>
          <w:u w:val="single"/>
        </w:rPr>
        <w:t xml:space="preserve">  </w:t>
      </w:r>
    </w:p>
    <w:p w14:paraId="536A951C" w14:textId="77777777" w:rsidR="00EB31B3" w:rsidRDefault="00000000">
      <w:pPr>
        <w:spacing w:line="860" w:lineRule="exact"/>
        <w:rPr>
          <w:b/>
          <w:sz w:val="36"/>
          <w:szCs w:val="36"/>
          <w:u w:val="single"/>
        </w:rPr>
      </w:pPr>
      <w:r>
        <w:rPr>
          <w:rFonts w:hint="eastAsia" w:ascii="Times New Roman" w:hAnsi="Times New Roman" w:eastAsia="Songti SC"/>
          <w:b/>
          <w:sz w:val="36"/>
          <w:szCs w:val="36"/>
        </w:rPr>
        <w:t xml:space="preserve">          </w:t>
      </w:r>
      <w:r>
        <w:rPr>
          <w:rFonts w:hint="eastAsia" w:ascii="Times New Roman" w:hAnsi="Times New Roman" w:eastAsia="Songti SC"/>
          <w:b/>
          <w:spacing w:val="30"/>
          <w:kern w:val="0"/>
          <w:sz w:val="36"/>
          <w:szCs w:val="36"/>
          <w:fitText w:val="2166" w:id="355804416"/>
        </w:rPr>
        <w:t>学</w:t>
      </w:r>
      <w:r>
        <w:rPr>
          <w:rFonts w:hint="eastAsia" w:ascii="Times New Roman" w:hAnsi="Times New Roman" w:eastAsia="Songti SC"/>
          <w:b/>
          <w:spacing w:val="30"/>
          <w:kern w:val="0"/>
          <w:sz w:val="36"/>
          <w:szCs w:val="36"/>
          <w:fitText w:val="2166" w:id="355804416"/>
        </w:rPr>
        <w:t xml:space="preserve">    </w:t>
      </w:r>
      <w:r>
        <w:rPr>
          <w:rFonts w:hint="eastAsia" w:ascii="Times New Roman" w:hAnsi="Times New Roman" w:eastAsia="Songti SC"/>
          <w:b/>
          <w:spacing w:val="30"/>
          <w:kern w:val="0"/>
          <w:sz w:val="36"/>
          <w:szCs w:val="36"/>
          <w:fitText w:val="2166" w:id="355804416"/>
        </w:rPr>
        <w:t>号</w:t>
      </w:r>
      <w:r>
        <w:rPr>
          <w:rFonts w:hint="eastAsia" w:ascii="Times New Roman" w:hAnsi="Times New Roman" w:eastAsia="Songti SC"/>
          <w:b/>
          <w:spacing w:val="3"/>
          <w:kern w:val="0"/>
          <w:sz w:val="36"/>
          <w:szCs w:val="36"/>
          <w:fitText w:val="2166" w:id="355804416"/>
        </w:rPr>
        <w:t>：</w:t>
      </w:r>
      <w:r>
        <w:rPr>
          <w:rFonts w:hint="eastAsia" w:ascii="Times New Roman" w:hAnsi="Times New Roman" w:eastAsia="Songti SC"/>
          <w:b/>
          <w:sz w:val="36"/>
          <w:szCs w:val="36"/>
          <w:u w:val="single"/>
        </w:rPr>
        <w:t xml:space="preserve">    </w:t>
      </w:r>
      <w:r w:rsidR="00CA6625">
        <w:rPr>
          <w:rFonts w:hint="eastAsia" w:ascii="Times New Roman" w:hAnsi="Times New Roman" w:eastAsia="Songti SC"/>
          <w:b/>
          <w:sz w:val="36"/>
          <w:szCs w:val="36"/>
          <w:u w:val="single"/>
        </w:rPr>
        <w:t>2506301006</w:t>
      </w:r>
      <w:r>
        <w:rPr>
          <w:rFonts w:hint="eastAsia" w:ascii="Times New Roman" w:hAnsi="Times New Roman" w:eastAsia="Songti SC"/>
          <w:b/>
          <w:sz w:val="36"/>
          <w:szCs w:val="36"/>
          <w:u w:val="single"/>
        </w:rPr>
        <w:t xml:space="preserve">  </w:t>
      </w:r>
      <w:r w:rsidR="00CA6625">
        <w:rPr>
          <w:rFonts w:hint="eastAsia" w:ascii="Times New Roman" w:hAnsi="Times New Roman" w:eastAsia="Songti SC"/>
          <w:b/>
          <w:sz w:val="36"/>
          <w:szCs w:val="36"/>
          <w:u w:val="single"/>
        </w:rPr>
        <w:t xml:space="preserve">  </w:t>
      </w:r>
    </w:p>
    <w:p w14:paraId="3AE722D2" w14:textId="77777777" w:rsidR="00EB31B3" w:rsidRDefault="00000000">
      <w:pPr>
        <w:spacing w:line="860" w:lineRule="exact"/>
        <w:rPr>
          <w:b/>
          <w:sz w:val="36"/>
          <w:szCs w:val="36"/>
          <w:u w:val="single"/>
        </w:rPr>
      </w:pPr>
      <w:r>
        <w:rPr>
          <w:rFonts w:hint="eastAsia" w:ascii="Times New Roman" w:hAnsi="Times New Roman" w:eastAsia="Songti SC"/>
          <w:b/>
          <w:sz w:val="36"/>
          <w:szCs w:val="36"/>
        </w:rPr>
        <w:t xml:space="preserve">          </w:t>
      </w:r>
      <w:r>
        <w:rPr>
          <w:rFonts w:hint="eastAsia" w:ascii="Times New Roman" w:hAnsi="Times New Roman" w:eastAsia="Songti SC"/>
          <w:b/>
          <w:spacing w:val="45"/>
          <w:kern w:val="0"/>
          <w:sz w:val="36"/>
          <w:szCs w:val="36"/>
          <w:fitText w:val="2166" w:id="355804416"/>
        </w:rPr>
        <w:t>校内导师</w:t>
      </w:r>
      <w:r>
        <w:rPr>
          <w:rFonts w:hint="eastAsia" w:ascii="Times New Roman" w:hAnsi="Times New Roman" w:eastAsia="Songti SC"/>
          <w:b/>
          <w:spacing w:val="3"/>
          <w:kern w:val="0"/>
          <w:sz w:val="36"/>
          <w:szCs w:val="36"/>
          <w:fitText w:val="2166" w:id="355804416"/>
        </w:rPr>
        <w:t>：</w:t>
      </w:r>
      <w:r>
        <w:rPr>
          <w:rFonts w:hint="eastAsia" w:ascii="Times New Roman" w:hAnsi="Times New Roman" w:eastAsia="Songti SC"/>
          <w:b/>
          <w:sz w:val="36"/>
          <w:szCs w:val="36"/>
          <w:u w:val="single"/>
        </w:rPr>
        <w:t xml:space="preserve">     </w:t>
      </w:r>
      <w:r w:rsidR="00CA6625">
        <w:rPr>
          <w:rFonts w:hint="eastAsia" w:ascii="Times New Roman" w:hAnsi="Times New Roman" w:eastAsia="Songti SC"/>
          <w:b/>
          <w:sz w:val="36"/>
          <w:szCs w:val="36"/>
          <w:u w:val="single"/>
        </w:rPr>
        <w:t>罗志扬</w:t>
      </w:r>
      <w:r>
        <w:rPr>
          <w:rFonts w:hint="eastAsia" w:ascii="Times New Roman" w:hAnsi="Times New Roman" w:eastAsia="Songti SC"/>
          <w:b/>
          <w:sz w:val="36"/>
          <w:szCs w:val="36"/>
          <w:u w:val="single"/>
        </w:rPr>
        <w:t xml:space="preserve">     </w:t>
      </w:r>
      <w:r w:rsidR="00CA6625">
        <w:rPr>
          <w:rFonts w:hint="eastAsia" w:ascii="Times New Roman" w:hAnsi="Times New Roman" w:eastAsia="Songti SC"/>
          <w:b/>
          <w:sz w:val="36"/>
          <w:szCs w:val="36"/>
          <w:u w:val="single"/>
        </w:rPr>
        <w:t xml:space="preserve"> </w:t>
      </w:r>
      <w:r>
        <w:rPr>
          <w:rFonts w:hint="eastAsia" w:ascii="Times New Roman" w:hAnsi="Times New Roman" w:eastAsia="Songti SC"/>
          <w:b/>
          <w:sz w:val="36"/>
          <w:szCs w:val="36"/>
          <w:u w:val="single"/>
        </w:rPr>
        <w:t xml:space="preserve"> </w:t>
      </w:r>
    </w:p>
    <w:p w14:paraId="502FAF59" w14:textId="77777777" w:rsidR="00EB31B3" w:rsidRDefault="00000000">
      <w:pPr>
        <w:spacing w:line="860" w:lineRule="exact"/>
        <w:ind w:firstLineChars="400" w:firstLine="1806"/>
        <w:rPr>
          <w:b/>
          <w:sz w:val="36"/>
          <w:szCs w:val="36"/>
        </w:rPr>
      </w:pPr>
      <w:r>
        <w:rPr>
          <w:rFonts w:hint="eastAsia" w:ascii="Times New Roman" w:hAnsi="Times New Roman" w:eastAsia="Songti SC"/>
          <w:b/>
          <w:spacing w:val="45"/>
          <w:kern w:val="0"/>
          <w:sz w:val="36"/>
          <w:szCs w:val="36"/>
          <w:fitText w:val="2166" w:id="355804416"/>
        </w:rPr>
        <w:t>校外导师</w:t>
      </w:r>
      <w:r>
        <w:rPr>
          <w:rFonts w:hint="eastAsia" w:ascii="Times New Roman" w:hAnsi="Times New Roman" w:eastAsia="Songti SC"/>
          <w:b/>
          <w:spacing w:val="3"/>
          <w:kern w:val="0"/>
          <w:sz w:val="36"/>
          <w:szCs w:val="36"/>
          <w:fitText w:val="2166" w:id="355804416"/>
        </w:rPr>
        <w:t>：</w:t>
      </w:r>
      <w:r>
        <w:rPr>
          <w:rFonts w:hint="eastAsia" w:ascii="Times New Roman" w:hAnsi="Times New Roman" w:eastAsia="Songti SC"/>
          <w:b/>
          <w:sz w:val="36"/>
          <w:szCs w:val="36"/>
          <w:u w:val="single"/>
        </w:rPr>
        <w:t xml:space="preserve">                </w:t>
      </w:r>
      <w:r w:rsidR="00CA6625">
        <w:rPr>
          <w:rFonts w:hint="eastAsia" w:ascii="Times New Roman" w:hAnsi="Times New Roman" w:eastAsia="Songti SC"/>
          <w:b/>
          <w:sz w:val="36"/>
          <w:szCs w:val="36"/>
          <w:u w:val="single"/>
        </w:rPr>
        <w:t xml:space="preserve"> </w:t>
      </w:r>
      <w:r>
        <w:rPr>
          <w:rFonts w:hint="eastAsia" w:ascii="Times New Roman" w:hAnsi="Times New Roman" w:eastAsia="Songti SC"/>
          <w:b/>
          <w:sz w:val="36"/>
          <w:szCs w:val="36"/>
          <w:u w:val="single"/>
        </w:rPr>
        <w:t xml:space="preserve"> </w:t>
      </w:r>
    </w:p>
    <w:p w14:paraId="5066DA19" w14:textId="77777777" w:rsidR="00EB31B3" w:rsidRDefault="00000000">
      <w:pPr>
        <w:spacing w:line="860" w:lineRule="exact"/>
        <w:rPr>
          <w:b/>
          <w:sz w:val="36"/>
          <w:szCs w:val="36"/>
          <w:u w:val="single"/>
        </w:rPr>
      </w:pPr>
      <w:r>
        <w:rPr>
          <w:rFonts w:hint="eastAsia" w:ascii="Times New Roman" w:hAnsi="Times New Roman" w:eastAsia="Songti SC"/>
          <w:b/>
          <w:sz w:val="36"/>
          <w:szCs w:val="36"/>
        </w:rPr>
        <w:t xml:space="preserve">          </w:t>
      </w:r>
      <w:r>
        <w:rPr>
          <w:rFonts w:hint="eastAsia" w:ascii="Times New Roman" w:hAnsi="Times New Roman" w:eastAsia="Songti SC"/>
          <w:b/>
          <w:spacing w:val="45"/>
          <w:kern w:val="0"/>
          <w:sz w:val="36"/>
          <w:szCs w:val="36"/>
          <w:fitText w:val="2166" w:id="355804416"/>
        </w:rPr>
        <w:t>研究方向</w:t>
      </w:r>
      <w:r>
        <w:rPr>
          <w:rFonts w:hint="eastAsia" w:ascii="Times New Roman" w:hAnsi="Times New Roman" w:eastAsia="Songti SC"/>
          <w:b/>
          <w:spacing w:val="3"/>
          <w:kern w:val="0"/>
          <w:sz w:val="36"/>
          <w:szCs w:val="36"/>
          <w:fitText w:val="2166" w:id="355804416"/>
        </w:rPr>
        <w:t>：</w:t>
      </w:r>
      <w:r>
        <w:rPr>
          <w:rFonts w:hint="eastAsia" w:ascii="Times New Roman" w:hAnsi="Times New Roman" w:eastAsia="Songti SC"/>
          <w:b/>
          <w:sz w:val="36"/>
          <w:szCs w:val="36"/>
          <w:u w:val="single"/>
        </w:rPr>
        <w:t xml:space="preserve">                  </w:t>
      </w:r>
    </w:p>
    <w:p w14:paraId="14C9D916" w14:textId="77777777" w:rsidR="00EB31B3" w:rsidRDefault="00000000">
      <w:pPr>
        <w:spacing w:line="860" w:lineRule="exact"/>
        <w:ind w:firstLineChars="400" w:firstLine="1806"/>
        <w:rPr>
          <w:b/>
          <w:sz w:val="36"/>
          <w:szCs w:val="36"/>
          <w:u w:val="single"/>
        </w:rPr>
      </w:pPr>
      <w:r>
        <w:rPr>
          <w:rFonts w:hint="eastAsia" w:ascii="Times New Roman" w:hAnsi="Times New Roman" w:eastAsia="Songti SC"/>
          <w:b/>
          <w:spacing w:val="45"/>
          <w:kern w:val="0"/>
          <w:sz w:val="36"/>
          <w:szCs w:val="36"/>
          <w:fitText w:val="2166" w:id="355804416"/>
        </w:rPr>
        <w:t>入学年月</w:t>
      </w:r>
      <w:r>
        <w:rPr>
          <w:rFonts w:hint="eastAsia" w:ascii="Times New Roman" w:hAnsi="Times New Roman" w:eastAsia="Songti SC"/>
          <w:b/>
          <w:spacing w:val="3"/>
          <w:kern w:val="0"/>
          <w:sz w:val="36"/>
          <w:szCs w:val="36"/>
          <w:fitText w:val="2166" w:id="355804416"/>
        </w:rPr>
        <w:t>：</w:t>
      </w:r>
      <w:r>
        <w:rPr>
          <w:rFonts w:hint="eastAsia" w:ascii="Times New Roman" w:hAnsi="Times New Roman" w:eastAsia="Songti SC"/>
          <w:b/>
          <w:sz w:val="36"/>
          <w:szCs w:val="36"/>
          <w:u w:val="single"/>
        </w:rPr>
        <w:t xml:space="preserve">    </w:t>
      </w:r>
      <w:r w:rsidR="00CA6625">
        <w:rPr>
          <w:rFonts w:hint="eastAsia" w:ascii="Times New Roman" w:hAnsi="Times New Roman" w:eastAsia="Songti SC"/>
          <w:b/>
          <w:sz w:val="36"/>
          <w:szCs w:val="36"/>
          <w:u w:val="single"/>
        </w:rPr>
        <w:t>2025</w:t>
      </w:r>
      <w:r w:rsidR="00CA6625">
        <w:rPr>
          <w:rFonts w:hint="eastAsia" w:ascii="Times New Roman" w:hAnsi="Times New Roman" w:eastAsia="Songti SC"/>
          <w:b/>
          <w:sz w:val="36"/>
          <w:szCs w:val="36"/>
          <w:u w:val="single"/>
        </w:rPr>
        <w:t>年</w:t>
      </w:r>
      <w:r w:rsidR="00CA6625">
        <w:rPr>
          <w:rFonts w:hint="eastAsia" w:ascii="Times New Roman" w:hAnsi="Times New Roman" w:eastAsia="Songti SC"/>
          <w:b/>
          <w:sz w:val="36"/>
          <w:szCs w:val="36"/>
          <w:u w:val="single"/>
        </w:rPr>
        <w:t>9</w:t>
      </w:r>
      <w:r w:rsidR="00CA6625">
        <w:rPr>
          <w:rFonts w:hint="eastAsia" w:ascii="Times New Roman" w:hAnsi="Times New Roman" w:eastAsia="Songti SC"/>
          <w:b/>
          <w:sz w:val="36"/>
          <w:szCs w:val="36"/>
          <w:u w:val="single"/>
        </w:rPr>
        <w:t>月</w:t>
      </w:r>
      <w:r>
        <w:rPr>
          <w:rFonts w:hint="eastAsia" w:ascii="Times New Roman" w:hAnsi="Times New Roman" w:eastAsia="Songti SC"/>
          <w:b/>
          <w:sz w:val="36"/>
          <w:szCs w:val="36"/>
          <w:u w:val="single"/>
        </w:rPr>
        <w:t xml:space="preserve">   </w:t>
      </w:r>
    </w:p>
    <w:p w14:paraId="1E99D8F7" w14:textId="77777777" w:rsidR="00EB31B3" w:rsidRDefault="00000000">
      <w:pPr>
        <w:spacing w:line="860" w:lineRule="exact"/>
        <w:ind w:firstLineChars="500" w:firstLine="1807"/>
        <w:rPr>
          <w:b/>
          <w:sz w:val="36"/>
          <w:szCs w:val="36"/>
        </w:rPr>
      </w:pPr>
      <w:r>
        <w:rPr>
          <w:rFonts w:hint="eastAsia" w:ascii="Times New Roman" w:hAnsi="Times New Roman" w:eastAsia="Songti SC"/>
          <w:b/>
          <w:sz w:val="36"/>
          <w:szCs w:val="36"/>
        </w:rPr>
        <w:t xml:space="preserve">                   </w:t>
      </w:r>
    </w:p>
    <w:p w14:paraId="0F254982" w14:textId="77777777" w:rsidR="00EB31B3" w:rsidRDefault="00000000">
      <w:pPr>
        <w:jc w:val="center"/>
        <w:rPr>
          <w:b/>
          <w:sz w:val="28"/>
        </w:rPr>
      </w:pPr>
      <w:r>
        <w:rPr>
          <w:rFonts w:ascii="Times New Roman" w:eastAsia="Songti SC" w:hAnsi="Times New Roman" w:cs="仿宋_GB2312"/>
          <w:sz w:val="28"/>
        </w:rPr>
        <w:lastRenderedPageBreak/>
        <w:t>填表日期       2026年  9 月    日</w:t>
      </w:r>
    </w:p>
    <w:p w14:paraId="2481C889" w14:textId="77777777" w:rsidR="00EB31B3" w:rsidRPr="00CA6625" w:rsidRDefault="00EB31B3">
      <w:pPr>
        <w:spacing w:line="480" w:lineRule="auto"/>
        <w:jc w:val="center"/>
        <w:rPr>
          <w:rFonts w:eastAsia="华文新魏"/>
          <w:sz w:val="44"/>
          <w:szCs w:val="44"/>
        </w:rPr>
      </w:pPr>
    </w:p>
    <w:p w14:paraId="21F6EE1D" w14:textId="77777777" w:rsidR="00EB31B3" w:rsidRDefault="00EB31B3">
      <w:pPr>
        <w:spacing w:line="480" w:lineRule="auto"/>
        <w:jc w:val="center"/>
        <w:rPr>
          <w:rFonts w:eastAsia="华文新魏"/>
          <w:sz w:val="44"/>
          <w:szCs w:val="44"/>
        </w:rPr>
      </w:pPr>
    </w:p>
    <w:p w14:paraId="191986CF" w14:textId="77777777" w:rsidR="00EB31B3" w:rsidRDefault="00000000">
      <w:pPr>
        <w:spacing w:line="480" w:lineRule="auto"/>
        <w:jc w:val="center"/>
        <w:rPr>
          <w:rFonts w:eastAsia="华文新魏"/>
          <w:sz w:val="44"/>
          <w:szCs w:val="44"/>
        </w:rPr>
      </w:pPr>
      <w:r>
        <w:rPr>
          <w:rFonts w:eastAsia="Songti SC" w:hint="eastAsia" w:ascii="Times New Roman" w:hAnsi="Times New Roman"/>
          <w:sz w:val="44"/>
          <w:szCs w:val="44"/>
        </w:rPr>
        <w:t>填</w:t>
      </w:r>
      <w:r>
        <w:rPr>
          <w:rFonts w:eastAsia="Songti SC" w:hint="eastAsia" w:ascii="Times New Roman" w:hAnsi="Times New Roman"/>
          <w:sz w:val="44"/>
          <w:szCs w:val="44"/>
        </w:rPr>
        <w:t xml:space="preserve">   </w:t>
      </w:r>
      <w:r>
        <w:rPr>
          <w:rFonts w:eastAsia="Songti SC" w:hint="eastAsia" w:ascii="Times New Roman" w:hAnsi="Times New Roman"/>
          <w:sz w:val="44"/>
          <w:szCs w:val="44"/>
        </w:rPr>
        <w:t>表</w:t>
      </w:r>
      <w:r>
        <w:rPr>
          <w:rFonts w:eastAsia="Songti SC" w:hint="eastAsia" w:ascii="Times New Roman" w:hAnsi="Times New Roman"/>
          <w:sz w:val="44"/>
          <w:szCs w:val="44"/>
        </w:rPr>
        <w:t xml:space="preserve">   </w:t>
      </w:r>
      <w:r>
        <w:rPr>
          <w:rFonts w:eastAsia="Songti SC" w:hint="eastAsia" w:ascii="Times New Roman" w:hAnsi="Times New Roman"/>
          <w:sz w:val="44"/>
          <w:szCs w:val="44"/>
        </w:rPr>
        <w:t>说</w:t>
      </w:r>
      <w:r>
        <w:rPr>
          <w:rFonts w:eastAsia="Songti SC" w:hint="eastAsia" w:ascii="Times New Roman" w:hAnsi="Times New Roman"/>
          <w:sz w:val="44"/>
          <w:szCs w:val="44"/>
        </w:rPr>
        <w:t xml:space="preserve">   </w:t>
      </w:r>
      <w:r>
        <w:rPr>
          <w:rFonts w:eastAsia="Songti SC" w:hint="eastAsia" w:ascii="Times New Roman" w:hAnsi="Times New Roman"/>
          <w:sz w:val="44"/>
          <w:szCs w:val="44"/>
        </w:rPr>
        <w:t>明</w:t>
      </w:r>
    </w:p>
    <w:p w14:paraId="0355767D" w14:textId="77777777" w:rsidR="00EB31B3" w:rsidRDefault="00000000">
      <w:pPr>
        <w:ind w:left="420" w:hangingChars="150" w:hanging="420"/>
        <w:rPr>
          <w:rFonts w:ascii="仿宋_GB2312" w:eastAsia="仿宋_GB2312" w:hAnsi="华文仿宋"/>
          <w:kern w:val="6"/>
          <w:sz w:val="28"/>
          <w:szCs w:val="28"/>
        </w:rPr>
      </w:pPr>
      <w:r>
        <w:rPr>
          <w:rFonts w:ascii="Times New Roman" w:eastAsia="Songti SC" w:hAnsi="Times New Roman" w:hint="eastAsia"/>
          <w:kern w:val="6"/>
          <w:sz w:val="28"/>
          <w:szCs w:val="28"/>
        </w:rPr>
        <w:t>1. 专业硕士学位研究生的学位论文一般应</w:t>
      </w:r>
      <w:r>
        <w:rPr>
          <w:rFonts w:ascii="Times New Roman" w:eastAsia="Songti SC" w:hAnsi="Times New Roman"/>
          <w:kern w:val="6"/>
          <w:sz w:val="28"/>
          <w:szCs w:val="28"/>
        </w:rPr>
        <w:t>是</w:t>
      </w:r>
      <w:r>
        <w:rPr>
          <w:rFonts w:ascii="Times New Roman" w:eastAsia="Songti SC" w:hAnsi="Times New Roman" w:hint="eastAsia"/>
          <w:kern w:val="6"/>
          <w:sz w:val="28"/>
          <w:szCs w:val="28"/>
        </w:rPr>
        <w:t>解决科学问题或工程实际应用问题的研究。</w:t>
      </w:r>
    </w:p>
    <w:p w14:paraId="00AF513C" w14:textId="77777777" w:rsidR="00EB31B3" w:rsidRDefault="00000000">
      <w:pPr>
        <w:spacing w:line="480" w:lineRule="auto"/>
        <w:rPr>
          <w:rFonts w:ascii="仿宋_GB2312" w:eastAsia="仿宋_GB2312" w:hAnsi="华文仿宋"/>
          <w:sz w:val="28"/>
          <w:szCs w:val="28"/>
        </w:rPr>
      </w:pPr>
      <w:r>
        <w:rPr>
          <w:rFonts w:ascii="Times New Roman" w:eastAsia="Songti SC" w:hAnsi="Times New Roman" w:hint="eastAsia"/>
          <w:sz w:val="28"/>
          <w:szCs w:val="28"/>
        </w:rPr>
        <w:t>2. 本表应在导师指导下独立完成。</w:t>
      </w:r>
    </w:p>
    <w:p w14:paraId="60CC2AA2" w14:textId="77777777" w:rsidR="00EB31B3" w:rsidRDefault="00000000">
      <w:pPr>
        <w:pStyle w:val="a3"/>
        <w:tabs>
          <w:tab w:val="left" w:pos="900"/>
        </w:tabs>
        <w:ind w:left="420" w:rightChars="231" w:right="485" w:hangingChars="150" w:hanging="420"/>
        <w:rPr>
          <w:rFonts w:ascii="仿宋_GB2312" w:eastAsia="仿宋_GB2312" w:hAnsi="华文仿宋"/>
          <w:sz w:val="28"/>
          <w:szCs w:val="28"/>
        </w:rPr>
      </w:pPr>
      <w:r>
        <w:rPr>
          <w:rFonts w:ascii="Times New Roman" w:eastAsia="Songti SC" w:hAnsi="Times New Roman" w:hint="eastAsia"/>
          <w:sz w:val="28"/>
          <w:szCs w:val="28"/>
        </w:rPr>
        <w:t>3. 开题报告作为学位论文撰写和学位申请的重要材料，应及时完成，不得随意更改。</w:t>
      </w:r>
    </w:p>
    <w:p w14:paraId="138C7FC4" w14:textId="77777777" w:rsidR="00EB31B3" w:rsidRDefault="00000000">
      <w:pPr>
        <w:pStyle w:val="a3"/>
        <w:tabs>
          <w:tab w:val="left" w:pos="900"/>
        </w:tabs>
        <w:ind w:left="420" w:rightChars="231" w:right="485" w:hangingChars="150" w:hanging="420"/>
        <w:rPr>
          <w:rFonts w:ascii="仿宋_GB2312" w:eastAsia="仿宋_GB2312" w:hAnsi="华文仿宋"/>
          <w:sz w:val="28"/>
          <w:szCs w:val="28"/>
        </w:rPr>
      </w:pPr>
      <w:r>
        <w:rPr>
          <w:rFonts w:ascii="Times New Roman" w:eastAsia="Songti SC" w:hAnsi="Times New Roman" w:hint="eastAsia"/>
          <w:kern w:val="2"/>
          <w:sz w:val="28"/>
          <w:szCs w:val="28"/>
        </w:rPr>
        <w:t>4. 本表一式三份，研究生本人一份，学院（中心）一份，研究生院一份。</w:t>
      </w:r>
    </w:p>
    <w:p w14:paraId="100E4B43" w14:textId="77777777" w:rsidR="00EB31B3" w:rsidRDefault="00000000">
      <w:pPr>
        <w:spacing w:line="480" w:lineRule="auto"/>
        <w:rPr>
          <w:rFonts w:ascii="仿宋_GB2312" w:eastAsia="仿宋_GB2312" w:hAnsi="华文仿宋"/>
          <w:sz w:val="28"/>
          <w:szCs w:val="28"/>
        </w:rPr>
      </w:pPr>
      <w:r>
        <w:rPr>
          <w:rFonts w:ascii="Times New Roman" w:eastAsia="Songti SC" w:hAnsi="Times New Roman" w:hint="eastAsia"/>
          <w:sz w:val="28"/>
          <w:szCs w:val="28"/>
        </w:rPr>
        <w:t>5．本表用A4纸张</w:t>
      </w:r>
      <w:r>
        <w:rPr>
          <w:rFonts w:ascii="Times New Roman" w:eastAsia="Songti SC" w:hAnsi="Times New Roman" w:hint="eastAsia"/>
          <w:iCs/>
          <w:sz w:val="28"/>
          <w:szCs w:val="28"/>
        </w:rPr>
        <w:t>双面</w:t>
      </w:r>
      <w:r>
        <w:rPr>
          <w:rFonts w:ascii="Times New Roman" w:eastAsia="Songti SC" w:hAnsi="Times New Roman" w:hint="eastAsia"/>
          <w:sz w:val="28"/>
          <w:szCs w:val="28"/>
        </w:rPr>
        <w:t>填写或打印。</w:t>
      </w:r>
    </w:p>
    <w:p w14:paraId="0F6A00A4" w14:textId="77777777" w:rsidR="00EB31B3" w:rsidRDefault="00000000">
      <w:pPr>
        <w:spacing w:line="480" w:lineRule="auto"/>
        <w:rPr>
          <w:rFonts w:ascii="仿宋_GB2312" w:eastAsia="仿宋_GB2312" w:hAnsi="华文仿宋"/>
          <w:sz w:val="28"/>
          <w:szCs w:val="28"/>
        </w:rPr>
      </w:pPr>
      <w:r>
        <w:rPr>
          <w:rFonts w:ascii="Times New Roman" w:eastAsia="Songti SC" w:hAnsi="Times New Roman" w:hint="eastAsia"/>
          <w:sz w:val="28"/>
          <w:szCs w:val="28"/>
        </w:rPr>
        <w:t>6. 本表应在规定的时间内上交。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0"/>
      </w:tblGrid>
      <w:tr w:rsidR="00EB31B3" w14:paraId="1C691AE0" w14:textId="77777777">
        <w:trPr>
          <w:trHeight w:val="13425"/>
        </w:trPr>
        <w:tc>
          <w:tcPr>
            <w:tcW w:w="8280" w:type="dxa"/>
          </w:tcPr>
          <w:p w14:paraId="70A74900" w14:textId="77777777" w:rsidR="00121BB8" w:rsidRDefault="00000000">
            <w:pPr>
              <w:pageBreakBefore/>
              <w:widowControl/>
              <w:spacing w:after="80" w:line="324" w:lineRule="auto"/>
              <w:jc w:val="left"/>
            </w:pPr>
            <w:r>
              <w:rPr>
                <w:rFonts w:ascii="Times New Roman" w:eastAsia="Songti SC" w:hAnsi="Times New Roman" w:cs="Arial Unicode MS"/>
              </w:rPr>
              <w:lastRenderedPageBreak/>
              <w:t>一、选题依据和意义</w:t>
            </w:r>
          </w:p>
          <w:p w14:paraId="5CA87265" w14:textId="77777777" w:rsidR="00121BB8" w:rsidRDefault="00000000">
            <w:pPr>
              <w:widowControl/>
              <w:spacing w:before="60" w:after="20" w:line="324" w:lineRule="auto"/>
            </w:pPr>
            <w:r>
              <w:rPr>
                <w:rFonts w:ascii="Times New Roman" w:eastAsia="Songti SC" w:hAnsi="Times New Roman" w:cs="Arial Unicode MS"/>
              </w:rPr>
              <w:t>1. 研究背景</w:t>
            </w:r>
          </w:p>
          <w:p w14:paraId="45396E06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设施大棚把作物生长过程压缩在可调控空间内，也使水分供给对传感、气象和设备协同提出了更高要求。根区含水率既受灌水量影响，又随蒸散、层间迁移和深层渗漏持续变化；红壤较强的空间差异与水分动态进一步增加了统一控制的难度。当前生产中常见的定时灌溉和单阈值启停能够完成基本作业，却难以同时利用未来气象信息、处理浅深层含水状态，并在泵阀能力约束下协调水分保持与灌溉投入。智慧农业、水肥一体化装备、微灌工程和设施园艺物联网相关政策与标准[1-4]，为多源感知、设备互联和精准作业提供了建设依据。</w:t>
            </w:r>
          </w:p>
          <w:p w14:paraId="473EB425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因此，设施水肥管理需要从“设备可远程操作”进一步转向“数据、模型、决策与执行能够闭环衔接”。本课题以智慧管控平台为主体，统一组织双深度土壤水分、棚内气象、灌水命令、实际流量和设备状态，使控制算法能够在明确的数据质量、模型版本和安全联锁条件下运行。</w:t>
            </w:r>
          </w:p>
          <w:p w14:paraId="4B91D2B9" w14:textId="77777777" w:rsidR="00121BB8" w:rsidRDefault="00000000">
            <w:pPr>
              <w:widowControl/>
              <w:spacing w:before="60" w:after="20" w:line="324" w:lineRule="auto"/>
            </w:pPr>
            <w:r>
              <w:rPr>
                <w:rFonts w:ascii="Times New Roman" w:eastAsia="Songti SC" w:hAnsi="Times New Roman" w:cs="Arial Unicode MS"/>
              </w:rPr>
              <w:t>2. 选题定位</w:t>
            </w:r>
          </w:p>
          <w:p w14:paraId="344DD089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模型预测控制（Model Predictive Control，MPC）能够利用根区动态模型和短时扰动预测，在滚动时域内协调含水率目标、灌水投入与执行约束。本研究选取10 cm和25 cm体积含水率表征浅层快速响应与深层蓄水变化，建立双层根区灰箱模型；以实际到达水量驱动状态更新，并将MPC计算结果作为平台中的候选灌溉指令。数据准入、版本管理、规则回退和安全联锁共同构成算法进入执行链的条件。</w:t>
            </w:r>
          </w:p>
          <w:p w14:paraId="2845DCA1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课题面向红壤土壤栽培大棚。现阶段以独立合成对象和本机软件在环完成方法验证，后续依据同源传感标定、流量标定及湿润—干燥循环数据辨识红壤参数，再逐步开展真实数据回放和现场试验。</w:t>
            </w:r>
          </w:p>
          <w:p w14:paraId="1B2DE38F" w14:textId="77777777" w:rsidR="00121BB8" w:rsidRDefault="00000000">
            <w:pPr>
              <w:widowControl/>
              <w:spacing w:before="60" w:after="20" w:line="324" w:lineRule="auto"/>
            </w:pPr>
            <w:r>
              <w:rPr>
                <w:rFonts w:ascii="Times New Roman" w:eastAsia="Songti SC" w:hAnsi="Times New Roman" w:cs="Arial Unicode MS"/>
              </w:rPr>
              <w:t>3. 研究意义</w:t>
            </w:r>
          </w:p>
          <w:p w14:paraId="4A7F9AF9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本研究的意义在于建立一条贯通平台与控制算法的工程路径。前端观测先经过质量与辨识信息准入，双层模型通过独立循环验证后进入控制器，强规则与MPC在冻结场景中配对比较，最终由任务、版本、命令和反馈记录支撑全过程追溯。由此，智慧管控平台不只是信息展示工具，而成为根区水分模型构建、控制策略评价和现场升级的统一研究载体。</w:t>
            </w:r>
          </w:p>
        </w:tc>
      </w:tr>
    </w:tbl>
    <w:p w14:paraId="0738C3BE" w14:textId="77777777" w:rsidR="00EB31B3" w:rsidRDefault="00000000">
      <w:pPr>
        <w:rPr>
          <w:b/>
          <w:bCs/>
        </w:rPr>
      </w:pPr>
      <w:r>
        <w:rPr>
          <w:rFonts w:hint="eastAsia" w:ascii="Times New Roman" w:hAnsi="Times New Roman" w:eastAsia="Songti SC"/>
          <w:b/>
          <w:bCs/>
        </w:rPr>
        <w:lastRenderedPageBreak/>
        <w:t>注：</w:t>
      </w:r>
      <w:r>
        <w:rPr>
          <w:rFonts w:ascii="Times New Roman" w:eastAsia="Songti SC" w:hAnsi="Times New Roman" w:hint="eastAsia"/>
          <w:sz w:val="28"/>
          <w:szCs w:val="28"/>
        </w:rPr>
        <w:t>表内页面不够，可加附页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80"/>
      </w:tblGrid>
      <w:tr w:rsidR="00EB31B3" w14:paraId="14583196" w14:textId="77777777">
        <w:trPr>
          <w:trHeight w:val="13425"/>
        </w:trPr>
        <w:tc>
          <w:tcPr>
            <w:tcW w:w="8280" w:type="dxa"/>
          </w:tcPr>
          <w:p w14:paraId="27BA04A0" w14:textId="77777777" w:rsidR="00121BB8" w:rsidRDefault="00000000">
            <w:pPr>
              <w:widowControl/>
              <w:spacing w:after="80" w:line="324" w:lineRule="auto"/>
              <w:jc w:val="left"/>
            </w:pPr>
            <w:r>
              <w:rPr>
                <w:rFonts w:ascii="Times New Roman" w:eastAsia="Songti SC" w:hAnsi="Times New Roman" w:cs="Arial Unicode MS"/>
              </w:rPr>
              <w:lastRenderedPageBreak/>
              <w:t>二、国内外研究现状述评与趋势展望</w:t>
            </w:r>
          </w:p>
          <w:p w14:paraId="2650353C" w14:textId="77777777" w:rsidR="00121BB8" w:rsidRDefault="00000000">
            <w:pPr>
              <w:widowControl/>
              <w:spacing w:before="60" w:after="20" w:line="324" w:lineRule="auto"/>
            </w:pPr>
            <w:r>
              <w:rPr>
                <w:rFonts w:ascii="Times New Roman" w:eastAsia="Songti SC" w:hAnsi="Times New Roman" w:cs="Arial Unicode MS"/>
              </w:rPr>
              <w:t>1. 设施水肥管控与信息平台</w:t>
            </w:r>
          </w:p>
          <w:p w14:paraId="6E1700BB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设施水肥管控已由单机混配和定时作业发展到环境感知、网络通信、远程管理与决策协同。国内研究覆盖水肥一体化装备、温室监测、人机交互和物联网联动[6-12]；国外在营养液混配、自动灌溉施肥及滴灌动态仿真方面形成了较完整的技术基础[13-15]。这些成果解决了感知接入和设备执行问题，也使平台研究的重点逐渐转向数据能否支撑模型、算法建议能否转化为可靠命令，以及运行过程能否被复核。</w:t>
            </w:r>
          </w:p>
          <w:p w14:paraId="03840025" w14:textId="77777777" w:rsidR="00121BB8" w:rsidRDefault="00000000">
            <w:pPr>
              <w:widowControl/>
              <w:spacing w:before="60" w:after="20" w:line="324" w:lineRule="auto"/>
            </w:pPr>
            <w:r>
              <w:rPr>
                <w:rFonts w:ascii="Times New Roman" w:eastAsia="Songti SC" w:hAnsi="Times New Roman" w:cs="Arial Unicode MS"/>
              </w:rPr>
              <w:t>2. 根区水分建模与模型预测控制</w:t>
            </w:r>
          </w:p>
          <w:p w14:paraId="7A0648CE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MPC通过过程模型预测系统未来响应，并在每个控制周期求解受约束优化问题[23]。围绕精准灌溉，已有研究分别从数据驱动控制[24]、天气预报不确定性[25]、根区含水率区间调节[26]和水能成本优化[27]展开，说明预测控制能够把根区状态、扰动和灌溉约束纳入同一决策框架。研究前沿正在从控制器形式本身，转向模型可信度、数据效率和跨工况稳定性。</w:t>
            </w:r>
          </w:p>
          <w:p w14:paraId="5E23FDF8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对根区MPC而言，决定控制质量的首要因素是控制导向模型。采样记录较多并不等于参数得到充分激励，较小的训练误差也不能替代独立循环预测与闭环检验。红壤参数、根深、蒸散估计和实际供水偏差会共同改变模型响应，因此需要在建模前判断数据是否具有足够信息，并把模型辨识、控制器开发和最终评价分开组织。</w:t>
            </w:r>
          </w:p>
          <w:p w14:paraId="25D30BF4" w14:textId="77777777" w:rsidR="00121BB8" w:rsidRDefault="00000000">
            <w:pPr>
              <w:widowControl/>
              <w:spacing w:before="60" w:after="20" w:line="324" w:lineRule="auto"/>
            </w:pPr>
            <w:r>
              <w:rPr>
                <w:rFonts w:ascii="Times New Roman" w:eastAsia="Songti SC" w:hAnsi="Times New Roman" w:cs="Arial Unicode MS"/>
              </w:rPr>
              <w:t>3. 云边协同、故障诊断与安全回退</w:t>
            </w:r>
          </w:p>
          <w:p w14:paraId="2C7E68F5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边缘计算和网络化控制为现场分层计算、时延与丢包分析提供了方法基础[28-30]，故障诊断与容错控制研究则强调检测、隔离、重构和恢复之间的连续关系[31-35]。在灌溉系统中，传感偏差、流量衰减、阀门卡滞和通信异常会以不同方式影响根区状态，单一告警规则难以覆盖全部情形。平台需要同时记录风险来源、控制模式、联锁许可和恢复证据，使异常处理能够接受与正常控制相同的量化检验。</w:t>
            </w:r>
          </w:p>
          <w:p w14:paraId="088D4644" w14:textId="77777777" w:rsidR="00121BB8" w:rsidRDefault="00000000">
            <w:pPr>
              <w:widowControl/>
              <w:spacing w:before="60" w:after="20" w:line="324" w:lineRule="auto"/>
            </w:pPr>
            <w:r>
              <w:rPr>
                <w:rFonts w:ascii="Times New Roman" w:eastAsia="Songti SC" w:hAnsi="Times New Roman" w:cs="Arial Unicode MS"/>
              </w:rPr>
              <w:t>4. 研究述评与趋势</w:t>
            </w:r>
          </w:p>
          <w:p w14:paraId="2ECD4837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现有研究为设施水肥装备、灌溉MPC和网络化运行奠定了基础，但三者往往沿各自技术链展开。有限现场数据如何进入控制模型、模型与执行接口如何保持一致、异常状态如何恢复，以及这些过程如何形成可追溯证据，仍缺少面向设施大棚的整体组织。本课题据此构建以双层根区MPC为决策核心的智慧管控平台，将数据准入、模型验证、控制评价、安全联锁和命令反馈纳入统一任务流程。</w:t>
            </w:r>
          </w:p>
        </w:tc>
      </w:tr>
    </w:tbl>
    <w:p w14:paraId="16730589" w14:textId="77777777" w:rsidR="00EB31B3" w:rsidRDefault="00EB31B3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00"/>
      </w:tblGrid>
      <w:tr w:rsidR="00EB31B3" w14:paraId="6F2C5DB4" w14:textId="77777777">
        <w:trPr>
          <w:trHeight w:val="13425"/>
        </w:trPr>
        <w:tc>
          <w:tcPr>
            <w:tcW w:w="8100" w:type="dxa"/>
          </w:tcPr>
          <w:p w14:paraId="55A81B88" w14:textId="77777777" w:rsidR="00121BB8" w:rsidRDefault="00000000">
            <w:pPr>
              <w:widowControl/>
              <w:spacing w:after="80" w:line="324" w:lineRule="auto"/>
              <w:jc w:val="left"/>
            </w:pPr>
            <w:r>
              <w:rPr>
                <w:rFonts w:ascii="Times New Roman" w:eastAsia="Songti SC" w:hAnsi="Times New Roman" w:cs="Arial Unicode MS"/>
              </w:rPr>
              <w:lastRenderedPageBreak/>
              <w:t>三、研究目标、主要研究内容与拟解决的关键问题</w:t>
            </w:r>
          </w:p>
          <w:p w14:paraId="2D35042D" w14:textId="77777777" w:rsidR="00121BB8" w:rsidRDefault="00000000">
            <w:pPr>
              <w:widowControl/>
              <w:spacing w:before="60" w:after="20" w:line="324" w:lineRule="auto"/>
            </w:pPr>
            <w:r>
              <w:rPr>
                <w:rFonts w:ascii="Times New Roman" w:eastAsia="Songti SC" w:hAnsi="Times New Roman" w:cs="Arial Unicode MS"/>
              </w:rPr>
              <w:t>1. 总体目标</w:t>
            </w:r>
          </w:p>
          <w:p w14:paraId="65EE0F08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设计基于双层根区水分MPC的红壤设施大棚智慧管控平台，形成从多源观测接入、数据与模型准入，到灌溉决策、安全执行和证据追溯的完整功能链。围绕10 cm与25 cm根区含水状态，建立控制导向灰箱模型和区间MPC；以强规则为基线，通过开发—冻结—锁定评价检验灌溉投入与水分保持的联合价值，并在异常场景中分析控制模式切换与恢复条件。</w:t>
            </w:r>
          </w:p>
          <w:p w14:paraId="78C39A31" w14:textId="77777777" w:rsidR="00121BB8" w:rsidRDefault="00000000">
            <w:pPr>
              <w:snapToGrid w:val="0"/>
              <w:spacing w:after="80" w:line="324" w:lineRule="auto"/>
              <w:ind w:firstLine="420"/>
            </w:pPr>
            <w:r>
              <w:rPr>
                <w:rFonts w:ascii="Times New Roman" w:eastAsia="Songti SC" w:hAnsi="Times New Roman"/>
              </w:rPr>
              <w:t>平台总体架构如图1所示。Python承担数据处理、模型辨识、控制计算与统计评价，SQLite保存任务和版本状态，MQTT/REST连接消息与服务接口。管理界面围绕棚室、分区、数据、模型、任务和告警组织，所有泵阀指令均经过联锁与反馈核对。</w:t>
            </w:r>
          </w:p>
          <w:p w14:paraId="02FF4669" w14:textId="4E4E2D41" w:rsidR="00121BB8" w:rsidRDefault="00000000">
            <w:pPr>
              <w:keepLines/>
              <w:snapToGrid w:val="0"/>
              <w:spacing w:before="120" w:after="80"/>
              <w:jc w:val="center"/>
            </w:pPr>
            <w:r w:rsidRPr="006930B7">
              <w:rPr>
                <w:rFonts w:ascii="Times New Roman" w:hAnsi="Times New Roman" w:eastAsia="Songti SC"/>
                <w:noProof/>
              </w:rPr>
              <w:pict w14:anchorId="08F5F0ED">
                <v:shape id="Picture 1" o:spid="_x0000_i1028" type="#_x0000_t75" alt="图1  水肥智能管控平台总体架构。拟设计流程，不代表实验结果。" style="width:399.05pt;height:324.35pt;visibility:visible;mso-wrap-style:square">
                  <v:imagedata r:id="rId5" o:title="图1  水肥智能管控平台总体架构。拟设计流程，不代表实验结果。"/>
                </v:shape>
              </w:pict>
            </w:r>
            <w:r>
              <w:rPr>
                <w:rFonts w:ascii="Times New Roman" w:hAnsi="Times New Roman" w:eastAsia="Songti SC"/>
              </w:rPr>
              <w:br/>
            </w:r>
            <w:r>
              <w:rPr>
                <w:rFonts w:ascii="Times New Roman" w:eastAsia="Songti SC" w:hAnsi="Times New Roman"/>
                <w:sz w:val="20"/>
              </w:rPr>
              <w:t>图1  水肥智能管控平台总体架构</w:t>
            </w:r>
          </w:p>
          <w:p w14:paraId="163CE052" w14:textId="77777777" w:rsidR="00121BB8" w:rsidRDefault="00000000">
            <w:pPr>
              <w:widowControl/>
              <w:spacing w:before="60" w:after="20" w:line="324" w:lineRule="auto"/>
            </w:pPr>
            <w:r>
              <w:rPr>
                <w:rFonts w:ascii="Times New Roman" w:eastAsia="Songti SC" w:hAnsi="Times New Roman" w:cs="Arial Unicode MS"/>
              </w:rPr>
              <w:t>2. 主要研究内容及交付物</w:t>
            </w:r>
          </w:p>
          <w:p w14:paraId="387669C8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（1）智慧管控平台总体设计。围绕棚室、分区、作物、土壤、设备、算法和任务建立对象关系，设计数据接入、算法服务、任务编排、安全联锁、消息通信和审计接口，形成可运行的平台内核、需求规格与数据字典。</w:t>
            </w:r>
          </w:p>
          <w:p w14:paraId="31C4ECC8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（2）有限数据准入与双层根区建模。统一双深度含水率、气象、命令灌水、实际流量和累计水量的时间语义；综合字段完整性、传感与流量标定、湿润—干燥动态、幅值敏感信息量和预测不确定性判断数据用途。通过准入的数据用于拟合双层灰箱模型，预留循环用于检查单步预测、整循环响应、方向偏差、物理边界和参数约束。</w:t>
            </w:r>
          </w:p>
          <w:p w14:paraId="6ABC874D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（3）根区水分MPC与安全监督。以浅深层目标区间、灌溉投入、过湿风险和动作变化构造控制目标，设置状态、单次水量和执行能力约束。监督模块根据观测、模型、求解和执行状态选择MPC、规则回退或安全暂停，并检验不同故障下的恢复过程。</w:t>
            </w:r>
          </w:p>
          <w:p w14:paraId="5D9F7C39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（4）任务化运行与过程追溯。把数据、模型、控制器、命令、联锁、反馈和模式事件绑定到统一任务标识，验证重复、乱序、超时、进程恢复及MQTT断连重连条件下的消息一致性。</w:t>
            </w:r>
          </w:p>
          <w:p w14:paraId="4A6D7C16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（5）分阶段系统验证。先以烟雾试验检查计算链，再在开发场景中选择候选策略；参数冻结后，以独立锁定场景比较强规则与MPC的灌水量、双层亏缺、过湿、安全违反和动作次数。现场条件具备后，沿用相同数据结构推进真实回放、影子控制和低风险短周期闭环。</w:t>
            </w:r>
          </w:p>
          <w:p w14:paraId="653E289D" w14:textId="77777777" w:rsidR="00121BB8" w:rsidRDefault="00000000">
            <w:pPr>
              <w:widowControl/>
              <w:spacing w:before="60" w:after="20" w:line="324" w:lineRule="auto"/>
            </w:pPr>
            <w:r>
              <w:rPr>
                <w:rFonts w:ascii="Times New Roman" w:eastAsia="Songti SC" w:hAnsi="Times New Roman" w:cs="Arial Unicode MS"/>
              </w:rPr>
              <w:t>3. 拟解决的关键问题</w:t>
            </w:r>
          </w:p>
          <w:p w14:paraId="1CA8F9F6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（1）有限根区观测在什么条件下能够支撑双层控制模型。</w:t>
            </w:r>
          </w:p>
          <w:p w14:paraId="198A0D90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（2）如何保持模型、状态、时间步和灌水反馈接口一致，并公平评价MPC相对强规则的控制价值。</w:t>
            </w:r>
          </w:p>
          <w:p w14:paraId="603713D2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（3）如何使异常检测、回退动作和状态恢复形成连续、可检验的安全监督过程。</w:t>
            </w:r>
          </w:p>
          <w:p w14:paraId="3C003635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（4）如何通过任务与版本机制连接数据、模型、决策和设备反馈，为平台运行和研究结论提供同一证据来源。</w:t>
            </w:r>
          </w:p>
        </w:tc>
      </w:tr>
    </w:tbl>
    <w:p w14:paraId="1413A30D" w14:textId="77777777" w:rsidR="00EB31B3" w:rsidRDefault="00EB31B3"/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54"/>
      </w:tblGrid>
      <w:tr w:rsidR="00EB31B3" w14:paraId="646E91ED" w14:textId="77777777">
        <w:trPr>
          <w:trHeight w:val="13725"/>
        </w:trPr>
        <w:tc>
          <w:tcPr>
            <w:tcW w:w="8100" w:type="dxa"/>
          </w:tcPr>
          <w:p w14:paraId="5062E956" w14:textId="77777777" w:rsidR="00121BB8" w:rsidRDefault="00000000">
            <w:pPr>
              <w:keepNext/>
              <w:widowControl/>
              <w:spacing w:after="80" w:line="324" w:lineRule="auto"/>
              <w:jc w:val="left"/>
            </w:pPr>
            <w:r>
              <w:rPr>
                <w:rFonts w:ascii="Times New Roman" w:eastAsia="Songti SC" w:hAnsi="Times New Roman" w:cs="Arial Unicode MS"/>
              </w:rPr>
              <w:lastRenderedPageBreak/>
              <w:t>四、研究思路与方法</w:t>
            </w:r>
          </w:p>
          <w:p w14:paraId="7D9E6A3F" w14:textId="77777777" w:rsidR="00121BB8" w:rsidRDefault="00000000">
            <w:pPr>
              <w:keepNext/>
              <w:widowControl/>
              <w:spacing w:before="60" w:after="20" w:line="324" w:lineRule="auto"/>
            </w:pPr>
            <w:r>
              <w:rPr>
                <w:rFonts w:ascii="Times New Roman" w:eastAsia="Songti SC" w:hAnsi="Times New Roman" w:cs="Arial Unicode MS"/>
              </w:rPr>
              <w:t>1. 总体技术路线</w:t>
            </w:r>
          </w:p>
          <w:p w14:paraId="415EE334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研究沿“平台对象定义—数据准入—模型辨识—控制器开发—锁定评价—异常监督—软件审计—现场升级”展开。各阶段以前一阶段产物为输入：数据准入决定模型能否辨识，独立验证决定模型能否进入控制，开发场景用于选择候选，锁定场景用于形成最终评价。该路线使平台功能与算法证据同步生长。</w:t>
            </w:r>
          </w:p>
          <w:p w14:paraId="703F2684" w14:textId="77777777" w:rsidR="00121BB8" w:rsidRDefault="00000000">
            <w:pPr>
              <w:widowControl/>
              <w:spacing w:before="60" w:after="20" w:line="324" w:lineRule="auto"/>
            </w:pPr>
            <w:r>
              <w:rPr>
                <w:rFonts w:ascii="Times New Roman" w:eastAsia="Songti SC" w:hAnsi="Times New Roman" w:cs="Arial Unicode MS"/>
              </w:rPr>
              <w:t>2. 双层根区灰箱模型与数据准入</w:t>
            </w:r>
          </w:p>
          <w:p w14:paraId="41B593FC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以10 cm和25 cm体积含水率构成状态向量x(k)=[θ10(k), θ25(k)]ᵀ。离散灰箱模型描述实际灌水对浅层的直接作用、辐射与饱和水汽压差驱动的耗水、浅深层水分交换以及深层排水。时间上采用区间结束语义：第k行水分对应本区间结束状态，第k行实际灌水和气象量用于预测该状态。模型版本同时保存数据用途、参数来源、配置和代码哈希。</w:t>
            </w:r>
          </w:p>
          <w:p w14:paraId="6DFAF1F3" w14:textId="77777777" w:rsidR="00121BB8" w:rsidRDefault="00000000">
            <w:pPr>
              <w:snapToGrid w:val="0"/>
              <w:spacing w:after="80" w:line="324" w:lineRule="auto"/>
              <w:ind w:firstLine="420"/>
            </w:pPr>
            <w:r>
              <w:rPr>
                <w:rFonts w:ascii="Times New Roman" w:eastAsia="Songti SC" w:hAnsi="Times New Roman"/>
              </w:rPr>
              <w:t>建模数据依次接受结构质量和辨识信息检查。前者关注字段、时间、缺失、物理范围、湿干动态与水量账；后者结合标定误差、幅值敏感信息量和预测不确定性，输出补采、缩减结构或进入辨识的决定。</w:t>
            </w:r>
          </w:p>
          <w:p w14:paraId="4F20FB73" w14:textId="77777777" w:rsidR="00121BB8" w:rsidRDefault="00000000">
            <w:pPr>
              <w:keepNext/>
              <w:widowControl/>
              <w:spacing w:before="60" w:after="20" w:line="324" w:lineRule="auto"/>
            </w:pPr>
            <w:r>
              <w:rPr>
                <w:rFonts w:ascii="Times New Roman" w:eastAsia="Songti SC" w:hAnsi="Times New Roman" w:cs="Arial Unicode MS"/>
              </w:rPr>
              <w:t>3. MPC设计与可信回退</w:t>
            </w:r>
          </w:p>
          <w:p w14:paraId="3F5B5480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MPC按15 min周期读取双层状态、未来气象序列和执行能力，在预测时域内优化根区水分保持与灌溉投入。代价函数对浅深层亏缺、过湿和动作变化分别计权，约束包括状态安全区间、单周期灌水量及泵阀能力。控制器输出候选命令，平台联锁结合观测有效性、设备状态和流量反馈生成最终执行指令。</w:t>
            </w:r>
          </w:p>
          <w:p w14:paraId="2DC597A8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安全监督将观测风险、模型风险和执行风险分开计算。基本观测有效而MPC不可用时转入规则回退；关键观测或执行链失效时进入安全暂停；风险解除后依据连续可信观测和执行反馈恢复控制。评价关注异常是否被识别、动作方向是否合理、根区状态能否恢复，以及模式切换是否增加新的安全违反。</w:t>
            </w:r>
          </w:p>
          <w:p w14:paraId="1057C3C1" w14:textId="77777777" w:rsidR="00121BB8" w:rsidRDefault="00000000">
            <w:pPr>
              <w:snapToGrid w:val="0"/>
              <w:spacing w:after="80" w:line="324" w:lineRule="auto"/>
              <w:ind w:firstLine="420"/>
            </w:pPr>
            <w:r>
              <w:rPr>
                <w:rFonts w:ascii="Times New Roman" w:eastAsia="Songti SC" w:hAnsi="Times New Roman"/>
              </w:rPr>
              <w:t>图2给出了灌溉决策与执行流程。候选动作必须经过联锁，反馈按任务标识和逻辑序号核对；重复、迟到、乱序和冲突消息进入审计记录，由应用层状态机保证同一反馈只改变一次控制状态。</w:t>
            </w:r>
          </w:p>
          <w:p w14:paraId="11FD6DAD" w14:textId="0A238963" w:rsidR="00121BB8" w:rsidRDefault="00000000">
            <w:pPr>
              <w:keepLines/>
              <w:snapToGrid w:val="0"/>
              <w:spacing w:before="120" w:after="80"/>
              <w:jc w:val="center"/>
            </w:pPr>
            <w:r w:rsidRPr="00C8619C">
              <w:rPr>
                <w:rFonts w:ascii="Times New Roman" w:hAnsi="Times New Roman" w:eastAsia="Songti SC"/>
                <w:noProof/>
              </w:rPr>
              <w:pict w14:anchorId="6A5E8576">
                <v:shape id="Picture 2" o:spid="_x0000_i1027" type="#_x0000_t75" alt="图2  灌溉决策与安全执行流程。拟设计流程，不代表实验结果。" style="width:399.05pt;height:452.2pt;visibility:visible;mso-wrap-style:square">
                  <v:imagedata r:id="rId6" o:title="图2  灌溉决策与安全执行流程。拟设计流程，不代表实验结果。"/>
                </v:shape>
              </w:pict>
            </w:r>
            <w:r>
              <w:rPr>
                <w:rFonts w:ascii="Times New Roman" w:hAnsi="Times New Roman" w:eastAsia="Songti SC"/>
              </w:rPr>
              <w:br/>
            </w:r>
            <w:r>
              <w:rPr>
                <w:rFonts w:ascii="Times New Roman" w:eastAsia="Songti SC" w:hAnsi="Times New Roman"/>
                <w:sz w:val="20"/>
              </w:rPr>
              <w:t>图2  灌溉决策与安全执行流程</w:t>
            </w:r>
          </w:p>
          <w:p w14:paraId="42653FEB" w14:textId="77777777" w:rsidR="00121BB8" w:rsidRDefault="00000000">
            <w:pPr>
              <w:widowControl/>
              <w:spacing w:before="60" w:after="20" w:line="324" w:lineRule="auto"/>
            </w:pPr>
            <w:r>
              <w:rPr>
                <w:rFonts w:ascii="Times New Roman" w:eastAsia="Songti SC" w:hAnsi="Times New Roman" w:cs="Arial Unicode MS"/>
              </w:rPr>
              <w:t>4. 平台实现方法</w:t>
            </w:r>
          </w:p>
          <w:p w14:paraId="4151EB72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平台采用Python实现数据准入、灰箱辨识、强规则、MPC、bootstrap统计和监督状态机；SQLite负责事务状态与本机审计，MQTT 3.1.1和REST承担消息及服务接口。MATLAB/Simulink用于控制框图展示或独立数值复核。根据后续管理需求，可增加Java Spring Boot、MySQL和Vue界面层。</w:t>
            </w:r>
          </w:p>
          <w:p w14:paraId="7EC23C6B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平台同时管理离线模型生命周期与在线任务生命周期。离线侧冻结原始数据、用途、模型和控制器版本；在线侧按观测、风险、模式、候选动作、联锁命令和反馈依次推进。模型更新创建新版本，历史任务及其控制证据保持可追溯。</w:t>
            </w:r>
          </w:p>
          <w:p w14:paraId="7C94C410" w14:textId="77777777" w:rsidR="00121BB8" w:rsidRDefault="00000000">
            <w:pPr>
              <w:widowControl/>
              <w:spacing w:before="60" w:after="20" w:line="324" w:lineRule="auto"/>
            </w:pPr>
            <w:r>
              <w:rPr>
                <w:rFonts w:ascii="Times New Roman" w:eastAsia="Songti SC" w:hAnsi="Times New Roman" w:cs="Arial Unicode MS"/>
              </w:rPr>
              <w:t>5. 试验设计与评价指标</w:t>
            </w:r>
          </w:p>
          <w:p w14:paraId="723288EE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主对照设置为强规则与双层MPC，可信监督作为独立机制试验。所有方法共享天气、初始浅深水分、对象参数扰动和随机种子；开发集承担候选选择，锁定集在配置固定后一次性评价。异常场景覆盖传感偏置、漂移、冻结、流量衰减、阀门卡滞、反馈冲突、通信中断和求解失败。</w:t>
            </w:r>
          </w:p>
          <w:p w14:paraId="17BBFAB0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评价以场景级配对结果为统计单位。主要指标包括命令与实际灌水量、浅深层亏缺及其加权值、过湿积分和安全违反；动作次数、求解失败、模式切换、恢复时长与消息一致性用于解释工程代价。报告配对中位差、bootstrap区间、最小差值和联合不劣比例，避免单一综合得分掩盖控制权衡。</w:t>
            </w:r>
          </w:p>
          <w:p w14:paraId="218CFEE4" w14:textId="77777777" w:rsidR="00121BB8" w:rsidRDefault="00000000">
            <w:pPr>
              <w:snapToGrid w:val="0"/>
              <w:spacing w:after="80" w:line="324" w:lineRule="auto"/>
              <w:ind w:firstLine="420"/>
            </w:pPr>
            <w:r>
              <w:rPr>
                <w:rFonts w:ascii="Times New Roman" w:eastAsia="Songti SC" w:hAnsi="Times New Roman"/>
              </w:rPr>
              <w:t>图3展示分阶段验证关系。仿真和软件在环首先验证方法链与平台语义；获得同源现场数据后重新执行数据准入和模型验证，随后进入真实回放。流量反馈、硬联锁和人工接管条件完备时，再开展影子控制与低风险实体试验。</w:t>
            </w:r>
          </w:p>
          <w:p w14:paraId="391B3936" w14:textId="255631B0" w:rsidR="00121BB8" w:rsidRDefault="00000000" w:rsidP="00C97EDC">
            <w:pPr>
              <w:keepLines/>
              <w:snapToGrid w:val="0"/>
              <w:spacing w:before="120" w:after="80"/>
              <w:jc w:val="center"/>
            </w:pPr>
            <w:r w:rsidRPr="003E0A8F">
              <w:rPr>
                <w:rFonts w:ascii="Times New Roman" w:hAnsi="Times New Roman" w:eastAsia="Songti SC"/>
                <w:noProof/>
              </w:rPr>
              <w:pict w14:anchorId="3FE5C4D5">
                <v:shape id="_x0000_i1026" type="#_x0000_t75" style="width:407.1pt;height:318.95pt;visibility:visible;mso-wrap-style:square">
                  <v:imagedata r:id="rId7" o:title=""/>
                </v:shape>
              </w:pict>
            </w:r>
            <w:r>
              <w:rPr>
                <w:rFonts w:ascii="Times New Roman" w:hAnsi="Times New Roman" w:eastAsia="Songti SC"/>
              </w:rPr>
              <w:br/>
            </w:r>
            <w:r>
              <w:rPr>
                <w:rFonts w:ascii="Times New Roman" w:eastAsia="Songti SC" w:hAnsi="Times New Roman"/>
                <w:sz w:val="20"/>
              </w:rPr>
              <w:t>图3  分阶段试验验证流程</w:t>
            </w:r>
          </w:p>
        </w:tc>
      </w:tr>
      <w:tr w:rsidR="00EB31B3" w14:paraId="4488F89F" w14:textId="77777777">
        <w:trPr>
          <w:trHeight w:val="6555"/>
        </w:trPr>
        <w:tc>
          <w:tcPr>
            <w:tcW w:w="8100" w:type="dxa"/>
          </w:tcPr>
          <w:p w14:paraId="00E10B9D" w14:textId="77777777" w:rsidR="00121BB8" w:rsidRDefault="00000000">
            <w:pPr>
              <w:widowControl/>
              <w:spacing w:after="80" w:line="324" w:lineRule="auto"/>
              <w:jc w:val="left"/>
            </w:pPr>
            <w:r>
              <w:rPr>
                <w:rFonts w:ascii="Times New Roman" w:eastAsia="Songti SC" w:hAnsi="Times New Roman" w:cs="Arial Unicode MS"/>
              </w:rPr>
              <w:lastRenderedPageBreak/>
              <w:t>五、研究特色和创新之处</w:t>
            </w:r>
          </w:p>
          <w:p w14:paraId="548749B2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（1）构建面向有限根区观测的数据—模型两级准入方法，将结构质量、传感与流量标定、幅值敏感信息量和预测不确定性转化为可执行的建模决策。</w:t>
            </w:r>
          </w:p>
          <w:p w14:paraId="65230C54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（2）建立双层根区灰箱模型与区间MPC的统一状态和输入接口，并通过强规则基线、开发—锁定隔离及多终点配对统计，评价灌溉投入、水分亏缺和动作代价之间的关系。</w:t>
            </w:r>
          </w:p>
          <w:p w14:paraId="0C9CCF94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（3）把异常监督纳入控制闭环，围绕风险触发、回退动作与恢复可达性设计机制试验，揭示不同故障对缺水保护和过湿约束的作用路径。</w:t>
            </w:r>
          </w:p>
          <w:p w14:paraId="76D42B2B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（4）以任务和版本为主线贯通数据、模型、控制模式、联锁、命令与反馈，使智慧管控平台同时具备生产管理、算法运行和研究证据追溯能力。</w:t>
            </w:r>
          </w:p>
        </w:tc>
      </w:tr>
      <w:tr w:rsidR="00EB31B3" w14:paraId="0C383FB9" w14:textId="77777777">
        <w:trPr>
          <w:trHeight w:val="6855"/>
        </w:trPr>
        <w:tc>
          <w:tcPr>
            <w:tcW w:w="8100" w:type="dxa"/>
          </w:tcPr>
          <w:p w14:paraId="55B6CA18" w14:textId="77777777" w:rsidR="00121BB8" w:rsidRDefault="00000000">
            <w:pPr>
              <w:widowControl/>
              <w:spacing w:after="80" w:line="324" w:lineRule="auto"/>
              <w:jc w:val="left"/>
            </w:pPr>
            <w:r>
              <w:rPr>
                <w:rFonts w:ascii="Times New Roman" w:eastAsia="Songti SC" w:hAnsi="Times New Roman" w:cs="Arial Unicode MS"/>
              </w:rPr>
              <w:t>六、已具备的研究条件、可能遇到的困难及拟采取的解决方法</w:t>
            </w:r>
          </w:p>
          <w:p w14:paraId="6073EEDB" w14:textId="77777777" w:rsidR="00121BB8" w:rsidRDefault="00000000">
            <w:pPr>
              <w:widowControl/>
              <w:spacing w:before="60" w:after="20" w:line="324" w:lineRule="auto"/>
            </w:pPr>
            <w:r>
              <w:rPr>
                <w:rFonts w:ascii="Times New Roman" w:eastAsia="Songti SC" w:hAnsi="Times New Roman" w:cs="Arial Unicode MS"/>
              </w:rPr>
              <w:t>1. 已具备的研究条件</w:t>
            </w:r>
          </w:p>
          <w:p w14:paraId="5A9F363A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目前已建成可重复运行的Python研究工程，覆盖数据与模型准入、双层灰箱辨识、强规则和区间MPC、异常监督、SQLite审计及MQTT软件在环，99项自动测试全部通过。在90个独立锁定合成场景中，双层MPC相对强规则的命令灌水配对中位差为−6.5 mm，加权亏缺配对中位差为−0.000314，联合不劣比例达到75.56%，两类方法均未出现安全违反。该结果为平台内的模型驱动控制链提供了前期依据；动作变化配对中位增加130次，提示后续需要进一步研究执行器友好约束。</w:t>
            </w:r>
          </w:p>
          <w:p w14:paraId="28F033C7" w14:textId="77777777" w:rsidR="00121BB8" w:rsidRDefault="00000000">
            <w:pPr>
              <w:widowControl/>
              <w:spacing w:line="324" w:lineRule="auto"/>
              <w:ind w:firstLine="420"/>
            </w:pPr>
            <w:r>
              <w:rPr>
                <w:rFonts w:ascii="Times New Roman" w:eastAsia="Songti SC" w:hAnsi="Times New Roman" w:cs="Arial Unicode MS"/>
              </w:rPr>
              <w:t>研究者具备Python、Java、MATLAB、数据库和前端开发基础，能够独立完成算法、服务接口和管理界面建设。现阶段实验条件以模型仿真和本机软件在环为主，研究计划据此设置基础成果与条件升级两层目标：基础层完成可审计平台、有限数据准入、双层MPC冻结评价和异常监督机制；获得连续观测和实体条件后，扩展红壤参数辨识、真实回放与现场验证。</w:t>
            </w:r>
          </w:p>
          <w:p w14:paraId="21FF1191" w14:textId="77777777" w:rsidR="00121BB8" w:rsidRDefault="00000000">
            <w:pPr>
              <w:keepNext/>
              <w:pageBreakBefore/>
              <w:widowControl/>
              <w:spacing w:before="60" w:after="20" w:line="324" w:lineRule="auto"/>
            </w:pPr>
            <w:r>
              <w:rPr>
                <w:rFonts w:ascii="Times New Roman" w:eastAsia="Songti SC" w:hAnsi="Times New Roman" w:cs="Arial Unicode MS"/>
              </w:rPr>
              <w:t>2. 可能困难及解决方法</w:t>
            </w:r>
          </w:p>
          <w:p w14:paraId="5151AAF6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（1）红壤与作物参数获取。优先固定一个土壤栽培棚和一种代表性作物，完成土壤背景调查、双深度水分传感器标定和流量标定；在数据到位前，使用独立合成对象检验方法链。</w:t>
            </w:r>
          </w:p>
          <w:p w14:paraId="45187D8D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（2）有效动态数据积累。以至少3个辨识循环和2个独立验证循环建立用途隔离，再根据幅值敏感信息量和预测不确定性逐循环判断是否补采。采集设计重点覆盖不同初始浅深水分梯度、灌水时刻、实际水量和气象条件。</w:t>
            </w:r>
          </w:p>
          <w:p w14:paraId="5795706C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（3）测量误差与过程动态区分。同步记录命令水量、实际流量、累计水量和区间结束时间，使用同一设备、同一工况下的标定结果建立测量误差尺度，再依据独立验证残差估计未解释动态。</w:t>
            </w:r>
          </w:p>
          <w:p w14:paraId="1B06D626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（4）控制动作频繁。将动作变化、最小开闭时间、最小脉冲水量和滚动灌水预算纳入候选控制器设计，以开发集完成参数选择，锁定评价用于检验水分保持与执行代价的综合表现。</w:t>
            </w:r>
          </w:p>
          <w:p w14:paraId="70522D65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（5）多类异常的回退方向不一致。针对传感异常和执行异常分别设置状态估计、灌水预算与恢复条件，并通过故障类型分组评价确定监督机制的适用范围。</w:t>
            </w:r>
          </w:p>
          <w:p w14:paraId="1BA4615F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（6）实体试验条件建设。先完成真实格式数据入口、消息压力测试和影子控制接口；具备流量反馈、硬联锁、人工接管和短周期安全协议后，选择低风险分区开展闭环验证。若现场条件尚未成熟，基础成果以仿真与软件在环研究完整收口。</w:t>
            </w:r>
          </w:p>
        </w:tc>
      </w:tr>
    </w:tbl>
    <w:p w14:paraId="64F15740" w14:textId="77777777" w:rsidR="00EB31B3" w:rsidRDefault="00EB31B3"/>
    <w:tbl>
      <w:tblPr>
        <w:tblW w:w="84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2977"/>
        <w:gridCol w:w="3138"/>
        <w:gridCol w:w="360"/>
      </w:tblGrid>
      <w:tr w:rsidR="00EB31B3" w14:paraId="1F79173C" w14:textId="77777777">
        <w:trPr>
          <w:gridAfter w:val="1"/>
          <w:wAfter w:w="360" w:type="dxa"/>
          <w:trHeight w:val="416"/>
        </w:trPr>
        <w:tc>
          <w:tcPr>
            <w:tcW w:w="81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D1130" w14:textId="77777777" w:rsidR="00EB31B3" w:rsidRDefault="00000000">
            <w:pPr>
              <w:rPr>
                <w:b/>
                <w:sz w:val="28"/>
                <w:szCs w:val="28"/>
              </w:rPr>
            </w:pPr>
            <w:r>
              <w:rPr>
                <w:rFonts w:hint="eastAsia" w:ascii="Times New Roman" w:hAnsi="Times New Roman" w:eastAsia="Songti SC"/>
                <w:b/>
                <w:sz w:val="28"/>
                <w:szCs w:val="28"/>
              </w:rPr>
              <w:t>七、研究进度及具体时间安排</w:t>
            </w:r>
          </w:p>
        </w:tc>
      </w:tr>
      <w:tr w:rsidR="00EB31B3" w14:paraId="013CD004" w14:textId="77777777">
        <w:trPr>
          <w:gridAfter w:val="1"/>
          <w:wAfter w:w="360" w:type="dxa"/>
          <w:cantSplit/>
          <w:trHeight w:val="480"/>
        </w:trPr>
        <w:tc>
          <w:tcPr>
            <w:tcW w:w="1985" w:type="dxa"/>
            <w:vAlign w:val="center"/>
          </w:tcPr>
          <w:p w14:paraId="037D2680" w14:textId="77777777" w:rsidR="00EB31B3" w:rsidRDefault="00000000">
            <w:pPr>
              <w:jc w:val="center"/>
            </w:pPr>
            <w:r>
              <w:rPr>
                <w:rFonts w:hint="eastAsia" w:ascii="Times New Roman" w:hAnsi="Times New Roman" w:eastAsia="Songti SC"/>
              </w:rPr>
              <w:t>起止日期</w:t>
            </w:r>
          </w:p>
        </w:tc>
        <w:tc>
          <w:tcPr>
            <w:tcW w:w="2977" w:type="dxa"/>
            <w:vAlign w:val="center"/>
          </w:tcPr>
          <w:p w14:paraId="733ABDD6" w14:textId="77777777" w:rsidR="00EB31B3" w:rsidRDefault="00000000">
            <w:pPr>
              <w:jc w:val="center"/>
            </w:pPr>
            <w:r>
              <w:rPr>
                <w:rFonts w:hint="eastAsia" w:ascii="Times New Roman" w:hAnsi="Times New Roman" w:eastAsia="Songti SC"/>
              </w:rPr>
              <w:t>主要研究内容</w:t>
            </w:r>
          </w:p>
        </w:tc>
        <w:tc>
          <w:tcPr>
            <w:tcW w:w="3138" w:type="dxa"/>
            <w:vAlign w:val="center"/>
          </w:tcPr>
          <w:p w14:paraId="2F91A391" w14:textId="77777777" w:rsidR="00EB31B3" w:rsidRDefault="00000000">
            <w:pPr>
              <w:jc w:val="center"/>
            </w:pPr>
            <w:r>
              <w:rPr>
                <w:rFonts w:hint="eastAsia" w:ascii="Times New Roman" w:hAnsi="Times New Roman" w:eastAsia="Songti SC"/>
              </w:rPr>
              <w:t>预期结果</w:t>
            </w:r>
          </w:p>
        </w:tc>
      </w:tr>
      <w:tr w:rsidR="00EB31B3" w14:paraId="3AC447CA" w14:textId="77777777">
        <w:trPr>
          <w:gridAfter w:val="1"/>
          <w:wAfter w:w="360" w:type="dxa"/>
          <w:cantSplit/>
          <w:trHeight w:val="480"/>
        </w:trPr>
        <w:tc>
          <w:tcPr>
            <w:tcW w:w="1985" w:type="dxa"/>
            <w:vAlign w:val="center"/>
          </w:tcPr>
          <w:p w14:paraId="1504D0DE" w14:textId="77777777" w:rsidR="00121BB8" w:rsidRDefault="00000000">
            <w:pPr>
              <w:spacing w:line="276" w:lineRule="auto"/>
              <w:jc w:val="center"/>
            </w:pPr>
            <w:r>
              <w:rPr>
                <w:rFonts w:ascii="Times New Roman" w:eastAsia="Songti SC" w:hAnsi="Times New Roman" w:cs="Arial Unicode MS"/>
                <w:sz w:val="19"/>
              </w:rPr>
              <w:t>2026.09—2026.10</w:t>
            </w:r>
          </w:p>
        </w:tc>
        <w:tc>
          <w:tcPr>
            <w:tcW w:w="2977" w:type="dxa"/>
            <w:vAlign w:val="center"/>
          </w:tcPr>
          <w:p w14:paraId="74CD9CF4" w14:textId="77777777" w:rsidR="00121BB8" w:rsidRDefault="00000000">
            <w:pPr>
              <w:spacing w:line="276" w:lineRule="auto"/>
              <w:jc w:val="left"/>
            </w:pPr>
            <w:r>
              <w:rPr>
                <w:rFonts w:ascii="Times New Roman" w:eastAsia="Songti SC" w:hAnsi="Times New Roman" w:cs="Arial Unicode MS"/>
                <w:sz w:val="19"/>
              </w:rPr>
              <w:t>明确平台对象、研究问题和双层MPC技术路线，完成开题论证及前期软件在环基线。</w:t>
            </w:r>
          </w:p>
        </w:tc>
        <w:tc>
          <w:tcPr>
            <w:tcW w:w="3138" w:type="dxa"/>
            <w:vAlign w:val="center"/>
          </w:tcPr>
          <w:p w14:paraId="0F0B2CD9" w14:textId="77777777" w:rsidR="00121BB8" w:rsidRDefault="00000000">
            <w:pPr>
              <w:spacing w:line="276" w:lineRule="auto"/>
              <w:jc w:val="left"/>
            </w:pPr>
            <w:r>
              <w:rPr>
                <w:rFonts w:ascii="Times New Roman" w:eastAsia="Songti SC" w:hAnsi="Times New Roman" w:cs="Arial Unicode MS"/>
                <w:sz w:val="19"/>
              </w:rPr>
              <w:t>开题报告、技术协议、任务台账和平台内核</w:t>
            </w:r>
          </w:p>
        </w:tc>
      </w:tr>
      <w:tr w:rsidR="00EB31B3" w14:paraId="60498822" w14:textId="77777777">
        <w:trPr>
          <w:gridAfter w:val="1"/>
          <w:wAfter w:w="360" w:type="dxa"/>
          <w:cantSplit/>
          <w:trHeight w:val="480"/>
        </w:trPr>
        <w:tc>
          <w:tcPr>
            <w:tcW w:w="1985" w:type="dxa"/>
            <w:vAlign w:val="center"/>
          </w:tcPr>
          <w:p w14:paraId="1702EAC0" w14:textId="77777777" w:rsidR="00121BB8" w:rsidRDefault="00000000">
            <w:pPr>
              <w:spacing w:line="276" w:lineRule="auto"/>
              <w:jc w:val="center"/>
            </w:pPr>
            <w:r>
              <w:rPr>
                <w:rFonts w:ascii="Times New Roman" w:eastAsia="Songti SC" w:hAnsi="Times New Roman" w:cs="Arial Unicode MS"/>
                <w:sz w:val="19"/>
              </w:rPr>
              <w:lastRenderedPageBreak/>
              <w:t>2026.11—2027.01</w:t>
            </w:r>
          </w:p>
        </w:tc>
        <w:tc>
          <w:tcPr>
            <w:tcW w:w="2977" w:type="dxa"/>
            <w:vAlign w:val="center"/>
          </w:tcPr>
          <w:p w14:paraId="65F47D79" w14:textId="77777777" w:rsidR="00121BB8" w:rsidRDefault="00000000">
            <w:pPr>
              <w:spacing w:line="276" w:lineRule="auto"/>
              <w:jc w:val="left"/>
            </w:pPr>
            <w:r>
              <w:rPr>
                <w:rFonts w:ascii="Times New Roman" w:eastAsia="Songti SC" w:hAnsi="Times New Roman" w:cs="Arial Unicode MS"/>
                <w:sz w:val="19"/>
              </w:rPr>
              <w:t>完善数据模板、数据—模型两级准入、版本管理和任务—命令—反馈审计。</w:t>
            </w:r>
          </w:p>
        </w:tc>
        <w:tc>
          <w:tcPr>
            <w:tcW w:w="3138" w:type="dxa"/>
            <w:vAlign w:val="center"/>
          </w:tcPr>
          <w:p w14:paraId="6F7E6DDC" w14:textId="77777777" w:rsidR="00121BB8" w:rsidRDefault="00000000">
            <w:pPr>
              <w:spacing w:line="276" w:lineRule="auto"/>
              <w:jc w:val="left"/>
            </w:pPr>
            <w:r>
              <w:rPr>
                <w:rFonts w:ascii="Times New Roman" w:eastAsia="Songti SC" w:hAnsi="Times New Roman" w:cs="Arial Unicode MS"/>
                <w:sz w:val="19"/>
              </w:rPr>
              <w:t>数据字典、准入工具、证据审计和管理原型</w:t>
            </w:r>
          </w:p>
        </w:tc>
      </w:tr>
      <w:tr w:rsidR="00EB31B3" w14:paraId="71AF05D1" w14:textId="77777777">
        <w:trPr>
          <w:gridAfter w:val="1"/>
          <w:wAfter w:w="360" w:type="dxa"/>
          <w:cantSplit/>
          <w:trHeight w:val="480"/>
        </w:trPr>
        <w:tc>
          <w:tcPr>
            <w:tcW w:w="1985" w:type="dxa"/>
            <w:vAlign w:val="center"/>
          </w:tcPr>
          <w:p w14:paraId="7FF859E3" w14:textId="77777777" w:rsidR="00121BB8" w:rsidRDefault="00000000">
            <w:pPr>
              <w:spacing w:line="276" w:lineRule="auto"/>
              <w:jc w:val="center"/>
            </w:pPr>
            <w:r>
              <w:rPr>
                <w:rFonts w:ascii="Times New Roman" w:eastAsia="Songti SC" w:hAnsi="Times New Roman" w:cs="Arial Unicode MS"/>
                <w:sz w:val="19"/>
              </w:rPr>
              <w:t>2027.02—2027.04</w:t>
            </w:r>
          </w:p>
        </w:tc>
        <w:tc>
          <w:tcPr>
            <w:tcW w:w="2977" w:type="dxa"/>
            <w:vAlign w:val="center"/>
          </w:tcPr>
          <w:p w14:paraId="759D5BFD" w14:textId="77777777" w:rsidR="00121BB8" w:rsidRDefault="00000000">
            <w:pPr>
              <w:spacing w:line="276" w:lineRule="auto"/>
              <w:jc w:val="left"/>
            </w:pPr>
            <w:r>
              <w:rPr>
                <w:rFonts w:ascii="Times New Roman" w:eastAsia="Songti SC" w:hAnsi="Times New Roman" w:cs="Arial Unicode MS"/>
                <w:sz w:val="19"/>
              </w:rPr>
              <w:t>采集或对接红壤标定与湿干循环数据；同步构建受控合成对象和气象回放数据集。</w:t>
            </w:r>
          </w:p>
        </w:tc>
        <w:tc>
          <w:tcPr>
            <w:tcW w:w="3138" w:type="dxa"/>
            <w:vAlign w:val="center"/>
          </w:tcPr>
          <w:p w14:paraId="30DEE2C9" w14:textId="77777777" w:rsidR="00121BB8" w:rsidRDefault="00000000">
            <w:pPr>
              <w:spacing w:line="276" w:lineRule="auto"/>
              <w:jc w:val="left"/>
            </w:pPr>
            <w:r>
              <w:rPr>
                <w:rFonts w:ascii="Times New Roman" w:eastAsia="Songti SC" w:hAnsi="Times New Roman" w:cs="Arial Unicode MS"/>
                <w:sz w:val="19"/>
              </w:rPr>
              <w:t>标定记录、动态数据集和模型准入判定</w:t>
            </w:r>
          </w:p>
        </w:tc>
      </w:tr>
      <w:tr w:rsidR="00EB31B3" w14:paraId="4906D61A" w14:textId="77777777">
        <w:trPr>
          <w:gridAfter w:val="1"/>
          <w:wAfter w:w="360" w:type="dxa"/>
          <w:cantSplit/>
          <w:trHeight w:val="480"/>
        </w:trPr>
        <w:tc>
          <w:tcPr>
            <w:tcW w:w="1985" w:type="dxa"/>
            <w:vAlign w:val="center"/>
          </w:tcPr>
          <w:p w14:paraId="627F2A18" w14:textId="77777777" w:rsidR="00121BB8" w:rsidRDefault="00000000">
            <w:pPr>
              <w:spacing w:line="276" w:lineRule="auto"/>
              <w:jc w:val="center"/>
            </w:pPr>
            <w:r>
              <w:rPr>
                <w:rFonts w:ascii="Times New Roman" w:eastAsia="Songti SC" w:hAnsi="Times New Roman" w:cs="Arial Unicode MS"/>
                <w:sz w:val="19"/>
              </w:rPr>
              <w:t>2027.05—2027.07</w:t>
            </w:r>
          </w:p>
        </w:tc>
        <w:tc>
          <w:tcPr>
            <w:tcW w:w="2977" w:type="dxa"/>
            <w:vAlign w:val="center"/>
          </w:tcPr>
          <w:p w14:paraId="437ECEA2" w14:textId="77777777" w:rsidR="00121BB8" w:rsidRDefault="00000000">
            <w:pPr>
              <w:spacing w:line="276" w:lineRule="auto"/>
              <w:jc w:val="left"/>
            </w:pPr>
            <w:r>
              <w:rPr>
                <w:rFonts w:ascii="Times New Roman" w:eastAsia="Songti SC" w:hAnsi="Times New Roman" w:cs="Arial Unicode MS"/>
                <w:sz w:val="19"/>
              </w:rPr>
              <w:t>辨识并独立验证双层根区灰箱模型，完成执行器友好MPC候选开发。</w:t>
            </w:r>
          </w:p>
        </w:tc>
        <w:tc>
          <w:tcPr>
            <w:tcW w:w="3138" w:type="dxa"/>
            <w:vAlign w:val="center"/>
          </w:tcPr>
          <w:p w14:paraId="72C9F69D" w14:textId="77777777" w:rsidR="00121BB8" w:rsidRDefault="00000000">
            <w:pPr>
              <w:spacing w:line="276" w:lineRule="auto"/>
              <w:jc w:val="left"/>
            </w:pPr>
            <w:r>
              <w:rPr>
                <w:rFonts w:ascii="Times New Roman" w:eastAsia="Songti SC" w:hAnsi="Times New Roman" w:cs="Arial Unicode MS"/>
                <w:sz w:val="19"/>
              </w:rPr>
              <w:t>冻结模型、控制器及独立验证报告</w:t>
            </w:r>
          </w:p>
        </w:tc>
      </w:tr>
      <w:tr w:rsidR="00EB31B3" w14:paraId="4BB3603D" w14:textId="77777777">
        <w:trPr>
          <w:gridAfter w:val="1"/>
          <w:wAfter w:w="360" w:type="dxa"/>
          <w:cantSplit/>
          <w:trHeight w:val="480"/>
        </w:trPr>
        <w:tc>
          <w:tcPr>
            <w:tcW w:w="1985" w:type="dxa"/>
            <w:vAlign w:val="center"/>
          </w:tcPr>
          <w:p w14:paraId="26508108" w14:textId="77777777" w:rsidR="00121BB8" w:rsidRDefault="00000000">
            <w:pPr>
              <w:spacing w:line="276" w:lineRule="auto"/>
              <w:jc w:val="center"/>
            </w:pPr>
            <w:r>
              <w:rPr>
                <w:rFonts w:ascii="Times New Roman" w:eastAsia="Songti SC" w:hAnsi="Times New Roman" w:cs="Arial Unicode MS"/>
                <w:sz w:val="19"/>
              </w:rPr>
              <w:t>2027.08—2027.10</w:t>
            </w:r>
          </w:p>
        </w:tc>
        <w:tc>
          <w:tcPr>
            <w:tcW w:w="2977" w:type="dxa"/>
            <w:vAlign w:val="center"/>
          </w:tcPr>
          <w:p w14:paraId="7972E4B9" w14:textId="77777777" w:rsidR="00121BB8" w:rsidRDefault="00000000">
            <w:pPr>
              <w:spacing w:line="276" w:lineRule="auto"/>
              <w:jc w:val="left"/>
            </w:pPr>
            <w:r>
              <w:rPr>
                <w:rFonts w:ascii="Times New Roman" w:eastAsia="Songti SC" w:hAnsi="Times New Roman" w:cs="Arial Unicode MS"/>
                <w:sz w:val="19"/>
              </w:rPr>
              <w:t>开展强规则与MPC锁定配对评价，研究异常条件下的模式切换与状态恢复。</w:t>
            </w:r>
          </w:p>
        </w:tc>
        <w:tc>
          <w:tcPr>
            <w:tcW w:w="3138" w:type="dxa"/>
            <w:vAlign w:val="center"/>
          </w:tcPr>
          <w:p w14:paraId="47BD7EB9" w14:textId="77777777" w:rsidR="00121BB8" w:rsidRDefault="00000000">
            <w:pPr>
              <w:spacing w:line="276" w:lineRule="auto"/>
              <w:jc w:val="left"/>
            </w:pPr>
            <w:r>
              <w:rPr>
                <w:rFonts w:ascii="Times New Roman" w:eastAsia="Songti SC" w:hAnsi="Times New Roman" w:cs="Arial Unicode MS"/>
                <w:sz w:val="19"/>
              </w:rPr>
              <w:t>确认性评价、机制分析和适用范围</w:t>
            </w:r>
          </w:p>
        </w:tc>
      </w:tr>
      <w:tr w:rsidR="00EB31B3" w14:paraId="5A6498EB" w14:textId="77777777">
        <w:trPr>
          <w:gridAfter w:val="1"/>
          <w:wAfter w:w="360" w:type="dxa"/>
          <w:cantSplit/>
          <w:trHeight w:val="480"/>
        </w:trPr>
        <w:tc>
          <w:tcPr>
            <w:tcW w:w="1985" w:type="dxa"/>
            <w:vAlign w:val="center"/>
          </w:tcPr>
          <w:p w14:paraId="3B7FE69E" w14:textId="77777777" w:rsidR="00121BB8" w:rsidRDefault="00000000">
            <w:pPr>
              <w:spacing w:line="276" w:lineRule="auto"/>
              <w:jc w:val="center"/>
            </w:pPr>
            <w:r>
              <w:rPr>
                <w:rFonts w:ascii="Times New Roman" w:eastAsia="Songti SC" w:hAnsi="Times New Roman" w:cs="Arial Unicode MS"/>
                <w:sz w:val="19"/>
              </w:rPr>
              <w:t>2027.11—2028.01</w:t>
            </w:r>
          </w:p>
        </w:tc>
        <w:tc>
          <w:tcPr>
            <w:tcW w:w="2977" w:type="dxa"/>
            <w:vAlign w:val="center"/>
          </w:tcPr>
          <w:p w14:paraId="34BF08CD" w14:textId="77777777" w:rsidR="00121BB8" w:rsidRDefault="00000000">
            <w:pPr>
              <w:spacing w:line="276" w:lineRule="auto"/>
              <w:jc w:val="left"/>
            </w:pPr>
            <w:r>
              <w:rPr>
                <w:rFonts w:ascii="Times New Roman" w:eastAsia="Songti SC" w:hAnsi="Times New Roman" w:cs="Arial Unicode MS"/>
                <w:sz w:val="19"/>
              </w:rPr>
              <w:t>完善平台服务、MQTT/REST接口和审计展示；条件允许时开展真实数据影子运行。</w:t>
            </w:r>
          </w:p>
        </w:tc>
        <w:tc>
          <w:tcPr>
            <w:tcW w:w="3138" w:type="dxa"/>
            <w:vAlign w:val="center"/>
          </w:tcPr>
          <w:p w14:paraId="1FC16C4D" w14:textId="77777777" w:rsidR="00121BB8" w:rsidRDefault="00000000">
            <w:pPr>
              <w:spacing w:line="276" w:lineRule="auto"/>
              <w:jc w:val="left"/>
            </w:pPr>
            <w:r>
              <w:rPr>
                <w:rFonts w:ascii="Times New Roman" w:eastAsia="Songti SC" w:hAnsi="Times New Roman" w:cs="Arial Unicode MS"/>
                <w:sz w:val="19"/>
              </w:rPr>
              <w:t>可运行平台、接口文档和消息验证报告</w:t>
            </w:r>
          </w:p>
        </w:tc>
      </w:tr>
      <w:tr w:rsidR="00EB31B3" w14:paraId="68FA118F" w14:textId="77777777">
        <w:trPr>
          <w:gridAfter w:val="1"/>
          <w:wAfter w:w="360" w:type="dxa"/>
          <w:cantSplit/>
          <w:trHeight w:val="480"/>
        </w:trPr>
        <w:tc>
          <w:tcPr>
            <w:tcW w:w="1985" w:type="dxa"/>
            <w:vAlign w:val="center"/>
          </w:tcPr>
          <w:p w14:paraId="604B4C21" w14:textId="77777777" w:rsidR="00121BB8" w:rsidRDefault="00000000">
            <w:pPr>
              <w:spacing w:line="276" w:lineRule="auto"/>
              <w:jc w:val="center"/>
            </w:pPr>
            <w:r>
              <w:rPr>
                <w:rFonts w:ascii="Times New Roman" w:eastAsia="Songti SC" w:hAnsi="Times New Roman" w:cs="Arial Unicode MS"/>
                <w:sz w:val="19"/>
              </w:rPr>
              <w:t>2028.02—2028.03</w:t>
            </w:r>
          </w:p>
        </w:tc>
        <w:tc>
          <w:tcPr>
            <w:tcW w:w="2977" w:type="dxa"/>
            <w:vAlign w:val="center"/>
          </w:tcPr>
          <w:p w14:paraId="43B4893F" w14:textId="77777777" w:rsidR="00121BB8" w:rsidRDefault="00000000">
            <w:pPr>
              <w:spacing w:line="276" w:lineRule="auto"/>
              <w:jc w:val="left"/>
            </w:pPr>
            <w:r>
              <w:rPr>
                <w:rFonts w:ascii="Times New Roman" w:eastAsia="Songti SC" w:hAnsi="Times New Roman" w:cs="Arial Unicode MS"/>
                <w:sz w:val="19"/>
              </w:rPr>
              <w:t>完成综合复核，并在联锁与人工接管条件具备时开展低风险短周期实体试验。</w:t>
            </w:r>
          </w:p>
        </w:tc>
        <w:tc>
          <w:tcPr>
            <w:tcW w:w="3138" w:type="dxa"/>
            <w:vAlign w:val="center"/>
          </w:tcPr>
          <w:p w14:paraId="00020803" w14:textId="77777777" w:rsidR="00121BB8" w:rsidRDefault="00000000">
            <w:pPr>
              <w:spacing w:line="276" w:lineRule="auto"/>
              <w:jc w:val="left"/>
            </w:pPr>
            <w:r>
              <w:rPr>
                <w:rFonts w:ascii="Times New Roman" w:eastAsia="Songti SC" w:hAnsi="Times New Roman" w:cs="Arial Unicode MS"/>
                <w:sz w:val="19"/>
              </w:rPr>
              <w:t>可复现实验包和分层验证结果</w:t>
            </w:r>
          </w:p>
        </w:tc>
      </w:tr>
      <w:tr w:rsidR="00EB31B3" w14:paraId="5CFAB69C" w14:textId="77777777">
        <w:trPr>
          <w:gridAfter w:val="1"/>
          <w:wAfter w:w="360" w:type="dxa"/>
          <w:cantSplit/>
          <w:trHeight w:val="480"/>
        </w:trPr>
        <w:tc>
          <w:tcPr>
            <w:tcW w:w="1985" w:type="dxa"/>
            <w:vAlign w:val="center"/>
          </w:tcPr>
          <w:p w14:paraId="5C809D2D" w14:textId="77777777" w:rsidR="00121BB8" w:rsidRDefault="00000000">
            <w:pPr>
              <w:spacing w:line="276" w:lineRule="auto"/>
              <w:jc w:val="center"/>
            </w:pPr>
            <w:r>
              <w:rPr>
                <w:rFonts w:ascii="Times New Roman" w:eastAsia="Songti SC" w:hAnsi="Times New Roman" w:cs="Arial Unicode MS"/>
                <w:sz w:val="19"/>
              </w:rPr>
              <w:t>2028.04—2028.06</w:t>
            </w:r>
          </w:p>
        </w:tc>
        <w:tc>
          <w:tcPr>
            <w:tcW w:w="2977" w:type="dxa"/>
            <w:vAlign w:val="center"/>
          </w:tcPr>
          <w:p w14:paraId="4D1AA336" w14:textId="77777777" w:rsidR="00121BB8" w:rsidRDefault="00000000">
            <w:pPr>
              <w:spacing w:line="276" w:lineRule="auto"/>
              <w:jc w:val="left"/>
            </w:pPr>
            <w:r>
              <w:rPr>
                <w:rFonts w:ascii="Times New Roman" w:eastAsia="Songti SC" w:hAnsi="Times New Roman" w:cs="Arial Unicode MS"/>
                <w:sz w:val="19"/>
              </w:rPr>
              <w:t>完成论文撰写、预审修改、答辩材料与代码数据归档。</w:t>
            </w:r>
          </w:p>
        </w:tc>
        <w:tc>
          <w:tcPr>
            <w:tcW w:w="3138" w:type="dxa"/>
            <w:vAlign w:val="center"/>
          </w:tcPr>
          <w:p w14:paraId="11F41C9F" w14:textId="77777777" w:rsidR="00121BB8" w:rsidRDefault="00000000">
            <w:pPr>
              <w:spacing w:line="276" w:lineRule="auto"/>
              <w:jc w:val="left"/>
            </w:pPr>
            <w:r>
              <w:rPr>
                <w:rFonts w:ascii="Times New Roman" w:eastAsia="Songti SC" w:hAnsi="Times New Roman" w:cs="Arial Unicode MS"/>
                <w:sz w:val="19"/>
              </w:rPr>
              <w:t>论文定稿、答辩材料和项目归档</w:t>
            </w:r>
          </w:p>
        </w:tc>
      </w:tr>
      <w:tr w:rsidR="00EB31B3" w14:paraId="4F840A1A" w14:textId="77777777">
        <w:trPr>
          <w:gridAfter w:val="1"/>
          <w:wAfter w:w="360" w:type="dxa"/>
          <w:trHeight w:val="480"/>
        </w:trPr>
        <w:tc>
          <w:tcPr>
            <w:tcW w:w="1985" w:type="dxa"/>
            <w:vAlign w:val="center"/>
          </w:tcPr>
          <w:p w14:paraId="193C5704" w14:textId="77777777" w:rsidR="00121BB8" w:rsidRDefault="00121BB8"/>
        </w:tc>
        <w:tc>
          <w:tcPr>
            <w:tcW w:w="2977" w:type="dxa"/>
            <w:vAlign w:val="center"/>
          </w:tcPr>
          <w:p w14:paraId="3AE2EDD9" w14:textId="77777777" w:rsidR="00121BB8" w:rsidRDefault="00121BB8"/>
        </w:tc>
        <w:tc>
          <w:tcPr>
            <w:tcW w:w="3138" w:type="dxa"/>
            <w:vAlign w:val="center"/>
          </w:tcPr>
          <w:p w14:paraId="2ECB7CEB" w14:textId="77777777" w:rsidR="00121BB8" w:rsidRDefault="00121BB8"/>
        </w:tc>
      </w:tr>
      <w:tr w:rsidR="00EB31B3" w14:paraId="6A7A5AB0" w14:textId="77777777">
        <w:trPr>
          <w:gridAfter w:val="1"/>
          <w:wAfter w:w="360" w:type="dxa"/>
          <w:trHeight w:val="480"/>
        </w:trPr>
        <w:tc>
          <w:tcPr>
            <w:tcW w:w="1985" w:type="dxa"/>
            <w:vAlign w:val="center"/>
          </w:tcPr>
          <w:p w14:paraId="17847345" w14:textId="77777777" w:rsidR="00121BB8" w:rsidRDefault="00121BB8"/>
        </w:tc>
        <w:tc>
          <w:tcPr>
            <w:tcW w:w="2977" w:type="dxa"/>
            <w:vAlign w:val="center"/>
          </w:tcPr>
          <w:p w14:paraId="4F46E027" w14:textId="77777777" w:rsidR="00121BB8" w:rsidRDefault="00121BB8"/>
        </w:tc>
        <w:tc>
          <w:tcPr>
            <w:tcW w:w="3138" w:type="dxa"/>
            <w:vAlign w:val="center"/>
          </w:tcPr>
          <w:p w14:paraId="6D1219F2" w14:textId="77777777" w:rsidR="00121BB8" w:rsidRDefault="00121BB8"/>
        </w:tc>
      </w:tr>
      <w:tr w:rsidR="00EB31B3" w14:paraId="5603CCF0" w14:textId="77777777">
        <w:trPr>
          <w:gridAfter w:val="1"/>
          <w:wAfter w:w="360" w:type="dxa"/>
          <w:trHeight w:val="480"/>
        </w:trPr>
        <w:tc>
          <w:tcPr>
            <w:tcW w:w="1985" w:type="dxa"/>
            <w:vAlign w:val="center"/>
          </w:tcPr>
          <w:p w14:paraId="72F602DA" w14:textId="77777777" w:rsidR="00121BB8" w:rsidRDefault="00121BB8"/>
        </w:tc>
        <w:tc>
          <w:tcPr>
            <w:tcW w:w="2977" w:type="dxa"/>
            <w:vAlign w:val="center"/>
          </w:tcPr>
          <w:p w14:paraId="62D85B21" w14:textId="77777777" w:rsidR="00121BB8" w:rsidRDefault="00121BB8"/>
        </w:tc>
        <w:tc>
          <w:tcPr>
            <w:tcW w:w="3138" w:type="dxa"/>
            <w:vAlign w:val="center"/>
          </w:tcPr>
          <w:p w14:paraId="212CFD72" w14:textId="77777777" w:rsidR="00121BB8" w:rsidRDefault="00121BB8"/>
        </w:tc>
      </w:tr>
      <w:tr w:rsidR="00EB31B3" w14:paraId="3D3AFA0C" w14:textId="77777777">
        <w:trPr>
          <w:gridAfter w:val="1"/>
          <w:wAfter w:w="360" w:type="dxa"/>
          <w:trHeight w:val="480"/>
        </w:trPr>
        <w:tc>
          <w:tcPr>
            <w:tcW w:w="1985" w:type="dxa"/>
            <w:vAlign w:val="center"/>
          </w:tcPr>
          <w:p w14:paraId="6AD9FAD0" w14:textId="77777777" w:rsidR="00121BB8" w:rsidRDefault="00121BB8"/>
        </w:tc>
        <w:tc>
          <w:tcPr>
            <w:tcW w:w="2977" w:type="dxa"/>
            <w:vAlign w:val="center"/>
          </w:tcPr>
          <w:p w14:paraId="4777DF6B" w14:textId="77777777" w:rsidR="00121BB8" w:rsidRDefault="00121BB8"/>
        </w:tc>
        <w:tc>
          <w:tcPr>
            <w:tcW w:w="3138" w:type="dxa"/>
            <w:vAlign w:val="center"/>
          </w:tcPr>
          <w:p w14:paraId="5CC2EE40" w14:textId="77777777" w:rsidR="00121BB8" w:rsidRDefault="00121BB8"/>
        </w:tc>
      </w:tr>
      <w:tr w:rsidR="00EB31B3" w14:paraId="73BA11D4" w14:textId="77777777">
        <w:trPr>
          <w:gridAfter w:val="1"/>
          <w:wAfter w:w="360" w:type="dxa"/>
          <w:trHeight w:val="480"/>
        </w:trPr>
        <w:tc>
          <w:tcPr>
            <w:tcW w:w="1985" w:type="dxa"/>
            <w:vAlign w:val="center"/>
          </w:tcPr>
          <w:p w14:paraId="1A976E4F" w14:textId="77777777" w:rsidR="00121BB8" w:rsidRDefault="00121BB8"/>
        </w:tc>
        <w:tc>
          <w:tcPr>
            <w:tcW w:w="2977" w:type="dxa"/>
            <w:vAlign w:val="center"/>
          </w:tcPr>
          <w:p w14:paraId="3E6F9F45" w14:textId="77777777" w:rsidR="00121BB8" w:rsidRDefault="00121BB8"/>
        </w:tc>
        <w:tc>
          <w:tcPr>
            <w:tcW w:w="3138" w:type="dxa"/>
            <w:vAlign w:val="center"/>
          </w:tcPr>
          <w:p w14:paraId="5B3DFA59" w14:textId="77777777" w:rsidR="00121BB8" w:rsidRDefault="00121BB8"/>
        </w:tc>
      </w:tr>
      <w:tr w:rsidR="00EB31B3" w14:paraId="7FE4A36C" w14:textId="77777777">
        <w:trPr>
          <w:gridAfter w:val="1"/>
          <w:wAfter w:w="360" w:type="dxa"/>
          <w:trHeight w:val="6240"/>
        </w:trPr>
        <w:tc>
          <w:tcPr>
            <w:tcW w:w="8100" w:type="dxa"/>
            <w:gridSpan w:val="3"/>
          </w:tcPr>
          <w:p w14:paraId="444AE8A1" w14:textId="77777777" w:rsidR="00121BB8" w:rsidRDefault="00000000">
            <w:pPr>
              <w:widowControl/>
              <w:spacing w:after="80" w:line="324" w:lineRule="auto"/>
            </w:pPr>
            <w:r>
              <w:rPr>
                <w:rFonts w:ascii="Times New Roman" w:eastAsia="Songti SC" w:hAnsi="Times New Roman" w:cs="Arial Unicode MS"/>
                <w:b/>
                <w:sz w:val="24"/>
              </w:rPr>
              <w:t>八、主要参考文献（共36项）</w:t>
            </w:r>
          </w:p>
          <w:p w14:paraId="08CB30A6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[1] 中华人民共和国农业农村部. 关于大力发展智慧农业的指导意见[EB/OL]. 2024-10-25. https://www.moa.gov.cn/ztzl/zhnyzxd/gdlj/202411/P020241120580056183041.pdf.</w:t>
            </w:r>
          </w:p>
          <w:p w14:paraId="761600B5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[2] 国家市场监督管理总局, 国家标准化管理委员会. GB/T 43908—2024 水肥一体化设备[S]. 北京: 中国标准出版社, 2024. https://std.samr.gov.cn/gb/search/gbDetailed?id=173829859CFB1AA5E06397BE0A0AA311.</w:t>
            </w:r>
          </w:p>
          <w:p w14:paraId="452606A1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[3] 中华人民共和国住房和城乡建设部. GB/T 50485—2020 微灌工程技术标准[S]. 北京: 中国计划出版社, 2020. https://www.yzbzpt.cn/BzInfoDetail/9ff8b622-6c5a-467a-8873-94600350225d.</w:t>
            </w:r>
          </w:p>
          <w:p w14:paraId="5ED93776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[4] 国家市场监督管理总局, 国家标准化管理委员会. GB/T 44985.2—2025 农业物联网通用技术要求 第2部分：设施园艺[S]. 北京: 中国标准出版社, 2025. https://std.samr.gov.cn/gb/search/gbDetailed?id=BW0y8PrL6qs%3D&amp;mode=p.</w:t>
            </w:r>
          </w:p>
          <w:p w14:paraId="4E319610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[5] 黄昌勇, 徐建明. 土壤学[M]. 3版. 北京: 中国农业出版社, 2010. ISBN 978-7-109-14759-1. https://www.ccap.com.cn/upload/resources/file/2018/03/29/1522309081525.pdf.</w:t>
            </w:r>
          </w:p>
          <w:p w14:paraId="5F56C8BD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[6] 张秀明, 陈芳, 江张军, 等. 温室作物水肥一体化智能调控系统研究进展与展望[J]. 农业工程, 2026, 16(7): 57-63. DOI:10.19998/j.cnki.2095-1795.202603001.</w:t>
            </w:r>
          </w:p>
          <w:p w14:paraId="1F5FEE34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[7] 夏文豪, 蒋媛, 王旭峰, 等. 水肥一体化技术研究现状与发展动态[J]. 中国农机化学报, 2025, 46(3): 295-304. DOI:10.13733/j.jcam.issn.2095-5553.2025.03.042.</w:t>
            </w:r>
          </w:p>
          <w:p w14:paraId="3E41F7D0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[8] 张宝峰, 陈枭, 朱均超, 等. 基于物联网的水肥一体化系统设计与试验[J]. 中国农机化学报, 2021, 42(3): 98-104. DOI:10.13733/j.jcam.issn.2095-5553.2021.03.014.</w:t>
            </w:r>
          </w:p>
          <w:p w14:paraId="03CCC5E0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[9] 袁洪波, 李莉, 王俊衡, 等. 温室水肥一体化营养液调控装备设计与试验[J]. 农业工程学报, 2016, 32(8): 27-32. DOI:10.11975/j.issn.1002-6819.2016.08.004.</w:t>
            </w:r>
          </w:p>
          <w:p w14:paraId="61CFD7A6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 xml:space="preserve">[10] 赵鹏飞, 王旭峰, 胡灿, 等. 智能温室水肥一体化装备设计与试验[J]. 农机化研究, 2022, 44(9): </w:t>
            </w:r>
            <w:r>
              <w:rPr>
                <w:rFonts w:ascii="Times New Roman" w:eastAsia="Songti SC" w:hAnsi="Times New Roman" w:cs="Arial Unicode MS"/>
                <w:sz w:val="18"/>
              </w:rPr>
              <w:lastRenderedPageBreak/>
              <w:t>224-228. DOI:10.13427/j.cnki.njyi.2022.09.028.</w:t>
            </w:r>
          </w:p>
          <w:p w14:paraId="7D90DAC3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[11] 熊钦, 肖丽萍, 蔡金平, 等. 基于物联网的果园药水肥一体化控制系统设计与实现[J]. 中国农机化学报, 2023, 44(3): 73-81. DOI:10.13733/j.jcam.issn.2095-5553.2023.03.011.</w:t>
            </w:r>
          </w:p>
          <w:p w14:paraId="3925546A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[12] 冯倩, 尹义蕾, 王柳, 等. 基于作物表型的温室精准灌溉策略研究进展[J]. 节水灌溉, 2023(6): 34-40. DOI:10.12396/jsgg.2023073.</w:t>
            </w:r>
          </w:p>
          <w:p w14:paraId="68243DCC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[13] SUN G, LI X, WANG X, et al. Design and testing of a nutrient mixing machine for greenhouse fertigation[J]. Engineering in Agriculture, Environment and Food, 2015, 8(2): 114-121. DOI:10.1016/j.eaef.2014.12.001.</w:t>
            </w:r>
          </w:p>
          <w:p w14:paraId="5163AC66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[14] STEIDLE NETO A J, ZOLNIER S, DE CARVALHO LOPES D. Development and evaluation of an automated system for fertigation control in soilless tomato production[J]. Computers and Electronics in Agriculture, 2014, 103: 17-25. DOI:10.1016/j.compag.2014.02.001.</w:t>
            </w:r>
          </w:p>
          <w:p w14:paraId="77D9B778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[15] GONZÁLEZ PEREA R, MORENO M A, ORTEGA J F, et al. Dynamic simulation tool of fertigation in drip irrigation subunits[J]. Computers and Electronics in Agriculture, 2020, 173: 105434. DOI:10.1016/j.compag.2020.105434.</w:t>
            </w:r>
          </w:p>
          <w:p w14:paraId="76605E71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[16] ALLEN R G, PEREIRA L S, RAES D, SMITH M. Crop Evapotranspiration: Guidelines for Computing Crop Water Requirements[M]. Rome: FAO, 1998. ISBN 92-5-104219-5. https://www.fao.org/4/x0490e/x0490e00.htm.</w:t>
            </w:r>
          </w:p>
          <w:p w14:paraId="6A140BCF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[17] KELLER J, BLIESNER R D. Sprinkle and Trickle Irrigation[M]. New York: Van Nostrand Reinhold, 1990. DOI:10.1007/978-1-4757-1425-8.</w:t>
            </w:r>
          </w:p>
          <w:p w14:paraId="1E1600A8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[18] LAMM F R, AYARS J E, NAKAYAMA F S, eds. Microirrigation for Crop Production: Design, Operation, and Management[M]. Amsterdam: Elsevier, 2006. ISBN 978-0-444-50607-8. https://www.ars.usda.gov/research/publications/publication/?seqNo115=197482.</w:t>
            </w:r>
          </w:p>
          <w:p w14:paraId="4D23FB8E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lastRenderedPageBreak/>
              <w:t>[19] NAKAYAMA F S, BUCKS D A, eds. Trickle Irrigation for Crop Production: Design, Operation and Management[M]. Amsterdam: Elsevier, 1986. ISBN 978-0-444-42615-4. https://books.google.com/books/about/Trickle_Irrigation_for_Crop_Production.html?id=K4sdAQAAMAAJ.</w:t>
            </w:r>
          </w:p>
          <w:p w14:paraId="78765E35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[20] HILLEL D. Environmental Soil Physics: Fundamentals, Applications, and Environmental Considerations[M]. San Diego: Academic Press, 1998. ISBN 978-0-12-348525-0. https://www.educate.elsevier.com/book/details/9780123485250.</w:t>
            </w:r>
          </w:p>
          <w:p w14:paraId="70091F79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[21] JURY W A, HORTON R. Soil Physics[M]. 6th ed. Hoboken: Wiley, 2004. ISBN 978-0-471-05965-3. https://books.google.com/books/about/Soil_Physics.html?id=E5HZDwAAQBAJ.</w:t>
            </w:r>
          </w:p>
          <w:p w14:paraId="29094757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[22] KIRKHAM M B. Principles of Soil and Plant Water Relations[M]. 2nd ed. Amsterdam: Elsevier, 2014. ISBN 978-0-12-420022-7. https://shop.elsevier.com/books/principles-of-soil-and-plant-water-relations/kirkham/978-0-12-420022-7.</w:t>
            </w:r>
          </w:p>
          <w:p w14:paraId="64029B1C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[23] QIN S J, BADGWELL T A. A survey of industrial model predictive control technology[J]. Control Engineering Practice, 2003, 11(7): 733-764. DOI:10.1016/S0967-0661(02)00186-7.</w:t>
            </w:r>
          </w:p>
          <w:p w14:paraId="53057E73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[24] BWAMBALE E, ABAGALE F K, ANORNU G K. Data-driven model predictive control for precision irrigation management[J]. Smart Agricultural Technology, 2023, 3: 100074. DOI:10.1016/j.atech.2022.100074.</w:t>
            </w:r>
          </w:p>
          <w:p w14:paraId="14D0F698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[25] DELGODA D, MALANO H, SALEEM S K, et al. Irrigation control based on model predictive control (MPC): Formulation of theory and validation using weather forecast data and AQUACROP model[J]. Environmental Modelling &amp; Software, 2016, 78: 40-53. DOI:10.1016/j.envsoft.2015.12.012.</w:t>
            </w:r>
          </w:p>
          <w:p w14:paraId="2F90DF84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[26] MAO Y, LIU S, NAHAR J, et al. Soil moisture regulation of agro-hydrological systems using zone model predictive control[J]. Computers and Electronics in Agriculture, 2018, 154: 239-247. DOI:10.1016/j.compag.2018.09.011.</w:t>
            </w:r>
          </w:p>
          <w:p w14:paraId="63DB8A91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[27] CÁCERES G, MILLÁN P, PEREIRA M, et al. Smart Farm Irrigation: Model Predictive Control for Economic Optimal Irrigation in Agriculture[J]. Agronomy, 2021, 11(9): 1810. DOI:10.3390/agronomy11091810.</w:t>
            </w:r>
          </w:p>
          <w:p w14:paraId="785FBEAE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[28] SHI W, CAO J, ZHANG Q, et al. Edge computing: Vision and challenges[J]. IEEE Internet of Things Journal, 2016, 3(5): 637-646. DOI:10.1109/JIOT.2016.2579198.</w:t>
            </w:r>
          </w:p>
          <w:p w14:paraId="0C230988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[29] HESPANHA J P, NAGHSHTABRIZI P, XU Y. A survey of recent results in networked control systems[J]. Proceedings of the IEEE, 2007, 95(1): 138-162. DOI:10.1109/JPROC.2006.887288.</w:t>
            </w:r>
          </w:p>
          <w:p w14:paraId="373164AC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[30] MA Y, LU C, SINOPOLI B, et al. Exploring edge computing for multitier industrial control[J]. IEEE Transactions on Computer-Aided Design of Integrated Circuits and Systems, 2020, 39(11): 3506-3518. DOI:10.1109/TCAD.2020.3012648.</w:t>
            </w:r>
          </w:p>
          <w:p w14:paraId="7CEFF226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[31] ISERMANN R. Fault-Diagnosis Systems: An Introduction from Fault Detection to Fault Tolerance[M]. Berlin: Springer, 2006. DOI:10.1007/3-540-30368-5.</w:t>
            </w:r>
          </w:p>
          <w:p w14:paraId="1C298994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[32] ISERMANN R. Model-based fault-detection and diagnosis—status and applications[J]. Annual Reviews in Control, 2005, 29(1): 71-85. DOI:10.1016/j.arcontrol.2004.12.002.</w:t>
            </w:r>
          </w:p>
          <w:p w14:paraId="008FAA4B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[33] HWANG I, KIM S, KIM Y, et al. A survey of fault detection, isolation, and reconfiguration methods[J]. IEEE Transactions on Control Systems Technology, 2010, 18(3): 636-653. DOI:10.1109/TCST.2009.2026285.</w:t>
            </w:r>
          </w:p>
          <w:p w14:paraId="2284A337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 xml:space="preserve">[34] YETENDJE A, DE DONÁ J A, SERON M M. Multisensor fusion fault tolerant control[J]. </w:t>
            </w:r>
            <w:r>
              <w:rPr>
                <w:rFonts w:ascii="Times New Roman" w:eastAsia="Songti SC" w:hAnsi="Times New Roman" w:cs="Arial Unicode MS"/>
                <w:sz w:val="18"/>
              </w:rPr>
              <w:lastRenderedPageBreak/>
              <w:t>Automatica, 2011, 47(7): 1461-1466. DOI:10.1016/j.automatica.2011.02.024.</w:t>
            </w:r>
          </w:p>
          <w:p w14:paraId="55762FA6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[35] ZACCARIAN L, TEEL A R. The L2 (l2) bumpless transfer problem for linear plants: Its definition and solution[J]. Automatica, 2005, 41(7): 1273-1280. DOI:10.1016/j.automatica.2005.02.003.</w:t>
            </w:r>
          </w:p>
          <w:p w14:paraId="320EE143" w14:textId="77777777" w:rsidR="00121BB8" w:rsidRDefault="00000000">
            <w:pPr>
              <w:widowControl/>
              <w:spacing w:line="276" w:lineRule="auto"/>
              <w:ind w:left="420" w:hanging="420"/>
            </w:pPr>
            <w:r>
              <w:rPr>
                <w:rFonts w:ascii="Times New Roman" w:eastAsia="Songti SC" w:hAnsi="Times New Roman" w:cs="Arial Unicode MS"/>
                <w:sz w:val="18"/>
              </w:rPr>
              <w:t>[36] OASIS. MQTT Version 3.1.1[S/OL]. 2014. https://docs.oasis-open.org/mqtt/mqtt/v3.1.1/mqtt-v3.1.1.html.</w:t>
            </w:r>
          </w:p>
        </w:tc>
      </w:tr>
      <w:tr w:rsidR="00EB31B3" w14:paraId="74E0D80C" w14:textId="77777777">
        <w:trPr>
          <w:trHeight w:val="13575"/>
        </w:trPr>
        <w:tc>
          <w:tcPr>
            <w:tcW w:w="8460" w:type="dxa"/>
            <w:gridSpan w:val="4"/>
          </w:tcPr>
          <w:p w14:paraId="015E6F82" w14:textId="77777777" w:rsidR="00121BB8" w:rsidRDefault="00000000">
            <w:pPr>
              <w:widowControl/>
              <w:spacing w:after="80" w:line="324" w:lineRule="auto"/>
            </w:pPr>
            <w:r>
              <w:rPr>
                <w:rFonts w:ascii="Times New Roman" w:eastAsia="Songti SC" w:hAnsi="Times New Roman" w:cs="Arial Unicode MS"/>
              </w:rPr>
              <w:lastRenderedPageBreak/>
              <w:t>九、论文详细提纲</w:t>
            </w:r>
          </w:p>
          <w:p w14:paraId="1EE878B7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第1章 绪论：研究背景、国内外进展、关键问题、研究内容与技术路线。</w:t>
            </w:r>
          </w:p>
          <w:p w14:paraId="576BB795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第2章 红壤设施大棚智慧管控平台总体设计：需求分析、对象关系、系统架构与任务流程。</w:t>
            </w:r>
          </w:p>
          <w:p w14:paraId="5A6EAFD3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第3章 有限数据准入与双层根区灰箱模型：标定、时间语义、辨识信息、模型构建和独立验证。</w:t>
            </w:r>
          </w:p>
          <w:p w14:paraId="635C07F8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第4章 双层根区水分MPC设计与冻结评价：控制目标、约束、强规则基线、候选选择和锁定场景比较。</w:t>
            </w:r>
          </w:p>
          <w:p w14:paraId="5CAA9886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第5章 异常监督与安全控制机制：风险表征、模式切换、回退动作、状态恢复和故障类型分析。</w:t>
            </w:r>
          </w:p>
          <w:p w14:paraId="17AA27F2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第6章 平台实现与软件在环验证：算法服务、任务账目、可靠消息、MQTT通信和状态恢复。</w:t>
            </w:r>
          </w:p>
          <w:p w14:paraId="75CB2B87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第7章 综合分析：数据条件、控制权衡、平台工程价值及现场升级路径。</w:t>
            </w:r>
          </w:p>
          <w:p w14:paraId="0E51D83A" w14:textId="77777777" w:rsidR="00121BB8" w:rsidRDefault="00000000">
            <w:pPr>
              <w:widowControl/>
              <w:spacing w:line="324" w:lineRule="auto"/>
            </w:pPr>
            <w:r>
              <w:rPr>
                <w:rFonts w:ascii="Times New Roman" w:eastAsia="Songti SC" w:hAnsi="Times New Roman" w:cs="Arial Unicode MS"/>
              </w:rPr>
              <w:t>第8章 结论与展望：主要研究结论、平台与算法贡献及后续现场应用。</w:t>
            </w:r>
          </w:p>
        </w:tc>
      </w:tr>
    </w:tbl>
    <w:p w14:paraId="70CD404A" w14:textId="77777777" w:rsidR="00EB31B3" w:rsidRDefault="00EB31B3"/>
    <w:tbl>
      <w:tblPr>
        <w:tblW w:w="84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460"/>
      </w:tblGrid>
      <w:tr w:rsidR="00EB31B3" w14:paraId="7685EAD1" w14:textId="77777777">
        <w:trPr>
          <w:trHeight w:val="2794"/>
        </w:trPr>
        <w:tc>
          <w:tcPr>
            <w:tcW w:w="8460" w:type="dxa"/>
          </w:tcPr>
          <w:p w14:paraId="0D28415C" w14:textId="77777777" w:rsidR="00EB31B3" w:rsidRDefault="00000000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hint="eastAsia" w:eastAsia="Songti SC"/>
                <w:b/>
                <w:bCs/>
                <w:sz w:val="28"/>
                <w:szCs w:val="28"/>
              </w:rPr>
              <w:lastRenderedPageBreak/>
              <w:t>校内导师意见</w:t>
            </w:r>
          </w:p>
          <w:p w14:paraId="5C601E3E" w14:textId="77777777" w:rsidR="00EB31B3" w:rsidRDefault="00EB31B3">
            <w:pPr>
              <w:rPr>
                <w:rFonts w:ascii="宋体" w:hAnsi="宋体"/>
                <w:b/>
                <w:sz w:val="28"/>
                <w:szCs w:val="28"/>
              </w:rPr>
            </w:pPr>
          </w:p>
          <w:p w14:paraId="6E7516B9" w14:textId="77777777" w:rsidR="00EB31B3" w:rsidRDefault="00EB31B3">
            <w:pPr>
              <w:rPr>
                <w:rFonts w:ascii="宋体" w:hAnsi="宋体"/>
                <w:b/>
                <w:sz w:val="28"/>
                <w:szCs w:val="28"/>
              </w:rPr>
            </w:pPr>
          </w:p>
          <w:p w14:paraId="1CF5AE1F" w14:textId="77777777" w:rsidR="00EB31B3" w:rsidRDefault="00EB31B3">
            <w:pPr>
              <w:rPr>
                <w:rFonts w:ascii="宋体" w:hAnsi="宋体"/>
                <w:b/>
                <w:sz w:val="28"/>
                <w:szCs w:val="28"/>
              </w:rPr>
            </w:pPr>
          </w:p>
          <w:p w14:paraId="182598EE" w14:textId="77777777" w:rsidR="00EB31B3" w:rsidRDefault="00EB31B3">
            <w:pPr>
              <w:rPr>
                <w:rFonts w:ascii="宋体" w:hAnsi="宋体"/>
                <w:b/>
                <w:sz w:val="28"/>
                <w:szCs w:val="28"/>
              </w:rPr>
            </w:pPr>
          </w:p>
          <w:p w14:paraId="7568A8BE" w14:textId="77777777" w:rsidR="00EB31B3" w:rsidRDefault="00EB31B3">
            <w:pPr>
              <w:rPr>
                <w:rFonts w:ascii="宋体" w:hAnsi="宋体"/>
                <w:b/>
                <w:sz w:val="28"/>
                <w:szCs w:val="28"/>
              </w:rPr>
            </w:pPr>
          </w:p>
          <w:p w14:paraId="4B1E6966" w14:textId="77777777" w:rsidR="00EB31B3" w:rsidRDefault="00EB31B3">
            <w:pPr>
              <w:rPr>
                <w:rFonts w:ascii="宋体" w:hAnsi="宋体"/>
                <w:b/>
                <w:sz w:val="28"/>
                <w:szCs w:val="28"/>
              </w:rPr>
            </w:pPr>
          </w:p>
          <w:p w14:paraId="68BE48F1" w14:textId="77777777" w:rsidR="00EB31B3" w:rsidRDefault="00EB31B3">
            <w:pPr>
              <w:rPr>
                <w:rFonts w:ascii="宋体" w:hAnsi="宋体"/>
                <w:b/>
                <w:sz w:val="28"/>
                <w:szCs w:val="28"/>
              </w:rPr>
            </w:pPr>
          </w:p>
          <w:p w14:paraId="67012C0D" w14:textId="77777777" w:rsidR="00EB31B3" w:rsidRDefault="00EB31B3">
            <w:pPr>
              <w:rPr>
                <w:rFonts w:ascii="宋体" w:hAnsi="宋体"/>
                <w:b/>
                <w:sz w:val="28"/>
                <w:szCs w:val="28"/>
              </w:rPr>
            </w:pPr>
          </w:p>
          <w:p w14:paraId="3303DB25" w14:textId="77777777" w:rsidR="00EB31B3" w:rsidRDefault="00000000">
            <w:pPr>
              <w:ind w:firstLineChars="2047" w:firstLine="5754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Times New Roman" w:hAnsi="Times New Roman" w:hint="eastAsia" w:eastAsia="Songti SC"/>
                <w:b/>
                <w:sz w:val="28"/>
                <w:szCs w:val="28"/>
              </w:rPr>
              <w:t>导师签字：</w:t>
            </w:r>
          </w:p>
          <w:p w14:paraId="35FAEDEA" w14:textId="77777777" w:rsidR="00EB31B3" w:rsidRDefault="00000000">
            <w:pPr>
              <w:ind w:firstLineChars="2003" w:firstLine="5630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hint="eastAsia" w:eastAsia="Songti SC"/>
                <w:b/>
                <w:bCs/>
                <w:sz w:val="28"/>
                <w:szCs w:val="28"/>
              </w:rPr>
              <w:t>年  月  日</w:t>
            </w:r>
          </w:p>
        </w:tc>
      </w:tr>
      <w:tr w:rsidR="00EB31B3" w14:paraId="2CB354BF" w14:textId="77777777">
        <w:trPr>
          <w:trHeight w:val="1380"/>
        </w:trPr>
        <w:tc>
          <w:tcPr>
            <w:tcW w:w="8460" w:type="dxa"/>
          </w:tcPr>
          <w:p w14:paraId="0A8E58B4" w14:textId="77777777" w:rsidR="00EB31B3" w:rsidRDefault="00000000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hint="eastAsia" w:eastAsia="Songti SC"/>
                <w:b/>
                <w:bCs/>
                <w:sz w:val="28"/>
                <w:szCs w:val="28"/>
              </w:rPr>
              <w:t>校外导师意见</w:t>
            </w:r>
          </w:p>
          <w:p w14:paraId="11ED9FC6" w14:textId="77777777" w:rsidR="00EB31B3" w:rsidRDefault="00EB31B3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 w14:paraId="6417331D" w14:textId="77777777" w:rsidR="00EB31B3" w:rsidRDefault="00EB31B3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 w14:paraId="6910C49C" w14:textId="77777777" w:rsidR="00EB31B3" w:rsidRDefault="00EB31B3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 w14:paraId="43539626" w14:textId="77777777" w:rsidR="00EB31B3" w:rsidRDefault="00EB31B3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 w14:paraId="78B404D8" w14:textId="77777777" w:rsidR="00EB31B3" w:rsidRDefault="00EB31B3">
            <w:pPr>
              <w:ind w:firstLineChars="2047" w:firstLine="5754"/>
              <w:rPr>
                <w:rFonts w:ascii="宋体" w:hAnsi="宋体"/>
                <w:b/>
                <w:sz w:val="28"/>
                <w:szCs w:val="28"/>
              </w:rPr>
            </w:pPr>
          </w:p>
          <w:p w14:paraId="2D2AD8E4" w14:textId="77777777" w:rsidR="00EB31B3" w:rsidRDefault="00000000">
            <w:pPr>
              <w:ind w:firstLineChars="2097" w:firstLine="5895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Times New Roman" w:hAnsi="Times New Roman" w:hint="eastAsia" w:eastAsia="Songti SC"/>
                <w:b/>
                <w:sz w:val="28"/>
                <w:szCs w:val="28"/>
              </w:rPr>
              <w:t>导师签字：</w:t>
            </w:r>
          </w:p>
          <w:p w14:paraId="5FCF776C" w14:textId="77777777" w:rsidR="00EB31B3" w:rsidRDefault="00000000">
            <w:pPr>
              <w:ind w:firstLineChars="2040" w:firstLine="5734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hint="eastAsia" w:eastAsia="Songti SC"/>
                <w:b/>
                <w:bCs/>
                <w:sz w:val="28"/>
                <w:szCs w:val="28"/>
              </w:rPr>
              <w:t>年  月  日</w:t>
            </w:r>
          </w:p>
          <w:p w14:paraId="352546D9" w14:textId="77777777" w:rsidR="00EB31B3" w:rsidRDefault="00EB31B3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</w:p>
          <w:p w14:paraId="721BB9C9" w14:textId="77777777" w:rsidR="00EB31B3" w:rsidRDefault="00EB31B3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</w:p>
        </w:tc>
      </w:tr>
      <w:tr w:rsidR="00EB31B3" w14:paraId="74323409" w14:textId="77777777">
        <w:trPr>
          <w:trHeight w:val="5462"/>
        </w:trPr>
        <w:tc>
          <w:tcPr>
            <w:tcW w:w="8460" w:type="dxa"/>
          </w:tcPr>
          <w:p w14:paraId="76C6FF78" w14:textId="77777777" w:rsidR="00EB31B3" w:rsidRDefault="00000000">
            <w:pPr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Times New Roman" w:hAnsi="Times New Roman" w:hint="eastAsia" w:eastAsia="Songti SC"/>
                <w:b/>
                <w:bCs/>
                <w:sz w:val="28"/>
                <w:szCs w:val="28"/>
              </w:rPr>
              <w:lastRenderedPageBreak/>
              <w:t>开题专家组审查意见</w:t>
            </w:r>
          </w:p>
          <w:p w14:paraId="4B43A7DD" w14:textId="77777777" w:rsidR="00EB31B3" w:rsidRDefault="00EB31B3">
            <w:pPr>
              <w:rPr>
                <w:rFonts w:ascii="宋体" w:hAnsi="宋体"/>
                <w:b/>
                <w:sz w:val="28"/>
                <w:szCs w:val="28"/>
              </w:rPr>
            </w:pPr>
          </w:p>
          <w:p w14:paraId="7D8B9A21" w14:textId="77777777" w:rsidR="00EB31B3" w:rsidRDefault="00EB31B3">
            <w:pPr>
              <w:rPr>
                <w:rFonts w:ascii="宋体" w:hAnsi="宋体"/>
                <w:b/>
                <w:sz w:val="28"/>
                <w:szCs w:val="28"/>
              </w:rPr>
            </w:pPr>
          </w:p>
          <w:p w14:paraId="6FA4E3D0" w14:textId="77777777" w:rsidR="00EB31B3" w:rsidRDefault="00EB31B3">
            <w:pPr>
              <w:rPr>
                <w:rFonts w:ascii="宋体" w:hAnsi="宋体"/>
                <w:b/>
                <w:sz w:val="28"/>
                <w:szCs w:val="28"/>
              </w:rPr>
            </w:pPr>
          </w:p>
          <w:p w14:paraId="23C49E1F" w14:textId="77777777" w:rsidR="00EB31B3" w:rsidRDefault="00EB31B3">
            <w:pPr>
              <w:rPr>
                <w:rFonts w:ascii="宋体" w:hAnsi="宋体"/>
                <w:b/>
                <w:sz w:val="28"/>
                <w:szCs w:val="28"/>
              </w:rPr>
            </w:pPr>
          </w:p>
          <w:p w14:paraId="48F2D2F8" w14:textId="77777777" w:rsidR="00EB31B3" w:rsidRDefault="00EB31B3">
            <w:pPr>
              <w:rPr>
                <w:rFonts w:ascii="宋体" w:hAnsi="宋体"/>
                <w:b/>
                <w:sz w:val="28"/>
                <w:szCs w:val="28"/>
              </w:rPr>
            </w:pPr>
          </w:p>
          <w:p w14:paraId="2694476A" w14:textId="77777777" w:rsidR="00EB31B3" w:rsidRDefault="00000000">
            <w:pPr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Times New Roman" w:hAnsi="Times New Roman" w:hint="eastAsia" w:eastAsia="Songti SC"/>
                <w:b/>
                <w:sz w:val="28"/>
                <w:szCs w:val="28"/>
              </w:rPr>
              <w:t>专家组组长签字（签章）：</w:t>
            </w:r>
          </w:p>
          <w:p w14:paraId="218486C0" w14:textId="77777777" w:rsidR="00EB31B3" w:rsidRDefault="00000000">
            <w:pPr>
              <w:ind w:firstLineChars="2053" w:firstLine="5771"/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hint="eastAsia" w:eastAsia="Songti SC"/>
                <w:b/>
                <w:sz w:val="28"/>
                <w:szCs w:val="28"/>
              </w:rPr>
              <w:t>年  月  日</w:t>
            </w:r>
          </w:p>
        </w:tc>
      </w:tr>
      <w:tr w:rsidR="00EB31B3" w14:paraId="528112F8" w14:textId="77777777">
        <w:trPr>
          <w:trHeight w:val="7752"/>
        </w:trPr>
        <w:tc>
          <w:tcPr>
            <w:tcW w:w="8460" w:type="dxa"/>
          </w:tcPr>
          <w:p w14:paraId="450337A1" w14:textId="77777777" w:rsidR="00EB31B3" w:rsidRDefault="00000000">
            <w:pPr>
              <w:rPr>
                <w:rFonts w:ascii="宋体" w:hAnsi="宋体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hint="eastAsia" w:eastAsia="Songti SC"/>
                <w:b/>
                <w:bCs/>
                <w:sz w:val="28"/>
                <w:szCs w:val="28"/>
              </w:rPr>
              <w:t>学院（中心）审查意见</w:t>
            </w:r>
          </w:p>
          <w:p w14:paraId="2779E6CB" w14:textId="77777777" w:rsidR="00EB31B3" w:rsidRDefault="00EB31B3">
            <w:pPr>
              <w:rPr>
                <w:rFonts w:ascii="宋体" w:hAnsi="宋体"/>
                <w:b/>
                <w:sz w:val="28"/>
                <w:szCs w:val="28"/>
              </w:rPr>
            </w:pPr>
          </w:p>
          <w:p w14:paraId="0A97C248" w14:textId="77777777" w:rsidR="00EB31B3" w:rsidRDefault="00EB31B3">
            <w:pPr>
              <w:rPr>
                <w:rFonts w:ascii="宋体" w:hAnsi="宋体"/>
                <w:b/>
                <w:sz w:val="28"/>
                <w:szCs w:val="28"/>
              </w:rPr>
            </w:pPr>
          </w:p>
          <w:p w14:paraId="7B04F109" w14:textId="77777777" w:rsidR="00EB31B3" w:rsidRDefault="00EB31B3">
            <w:pPr>
              <w:rPr>
                <w:rFonts w:ascii="宋体" w:hAnsi="宋体"/>
                <w:b/>
                <w:sz w:val="28"/>
                <w:szCs w:val="28"/>
              </w:rPr>
            </w:pPr>
          </w:p>
          <w:p w14:paraId="079FDEE8" w14:textId="77777777" w:rsidR="00EB31B3" w:rsidRDefault="00EB31B3">
            <w:pPr>
              <w:rPr>
                <w:rFonts w:ascii="宋体" w:hAnsi="宋体"/>
                <w:b/>
                <w:sz w:val="28"/>
                <w:szCs w:val="28"/>
              </w:rPr>
            </w:pPr>
          </w:p>
          <w:p w14:paraId="1B372EB1" w14:textId="77777777" w:rsidR="00EB31B3" w:rsidRDefault="00000000">
            <w:pPr>
              <w:ind w:firstLine="1275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Times New Roman" w:hAnsi="Times New Roman" w:hint="eastAsia" w:eastAsia="Songti SC"/>
                <w:b/>
                <w:sz w:val="28"/>
                <w:szCs w:val="28"/>
              </w:rPr>
              <w:t xml:space="preserve">                          </w:t>
            </w:r>
          </w:p>
          <w:p w14:paraId="2F070FEC" w14:textId="77777777" w:rsidR="00EB31B3" w:rsidRDefault="00EB31B3">
            <w:pPr>
              <w:ind w:firstLine="1275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  <w:p w14:paraId="3CFA9F7C" w14:textId="77777777" w:rsidR="00EB31B3" w:rsidRDefault="00EB31B3">
            <w:pPr>
              <w:ind w:firstLine="1275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  <w:p w14:paraId="75C52E36" w14:textId="77777777" w:rsidR="00EB31B3" w:rsidRDefault="00EB31B3">
            <w:pPr>
              <w:ind w:firstLine="1275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  <w:p w14:paraId="288AC97A" w14:textId="77777777" w:rsidR="00EB31B3" w:rsidRDefault="00000000">
            <w:pPr>
              <w:ind w:firstLine="1275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Times New Roman" w:hAnsi="Times New Roman" w:hint="eastAsia" w:eastAsia="Songti SC"/>
                <w:b/>
                <w:sz w:val="28"/>
                <w:szCs w:val="28"/>
              </w:rPr>
              <w:t xml:space="preserve">              公    章</w:t>
            </w:r>
          </w:p>
          <w:p w14:paraId="6F600A89" w14:textId="77777777" w:rsidR="00EB31B3" w:rsidRDefault="00000000">
            <w:pPr>
              <w:ind w:firstLineChars="2110" w:firstLine="5931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Times New Roman" w:hAnsi="Times New Roman" w:hint="eastAsia" w:eastAsia="Songti SC"/>
                <w:b/>
                <w:sz w:val="28"/>
                <w:szCs w:val="28"/>
              </w:rPr>
              <w:t>年  月  日</w:t>
            </w:r>
          </w:p>
        </w:tc>
      </w:tr>
    </w:tbl>
    <w:p w14:paraId="3CC18ED5" w14:textId="77777777" w:rsidR="00B268B6" w:rsidRDefault="00B268B6"/>
    <w:sectPr w:rsidR="00B268B6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微软雅黑"/>
    <w:panose1 w:val="020B0604020202020204"/>
    <w:charset w:val="86"/>
    <w:family w:val="modern"/>
    <w:pitch w:val="default"/>
    <w:sig w:usb0="00000001" w:usb1="080E0000" w:usb2="00000000" w:usb3="00000000" w:csb0="00040000" w:csb1="00000000"/>
  </w:font>
  <w:font w:name="华文仿宋">
    <w:altName w:val="STFa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9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2I3YmY0ZTQ0NmQ1OWE3OTI2YWM2MzRlNDc5YTE5YTAifQ=="/>
  </w:docVars>
  <w:rsids>
    <w:rsidRoot w:val="001E39C2"/>
    <w:rsid w:val="00027F5A"/>
    <w:rsid w:val="00053712"/>
    <w:rsid w:val="0008114B"/>
    <w:rsid w:val="000923D3"/>
    <w:rsid w:val="00121BB8"/>
    <w:rsid w:val="00152333"/>
    <w:rsid w:val="00173938"/>
    <w:rsid w:val="001B58D6"/>
    <w:rsid w:val="001E39C2"/>
    <w:rsid w:val="00210D40"/>
    <w:rsid w:val="002468A4"/>
    <w:rsid w:val="002A6F21"/>
    <w:rsid w:val="002C046E"/>
    <w:rsid w:val="002E57F8"/>
    <w:rsid w:val="002F1AB0"/>
    <w:rsid w:val="00383B05"/>
    <w:rsid w:val="003C150E"/>
    <w:rsid w:val="004B6E01"/>
    <w:rsid w:val="004E45A7"/>
    <w:rsid w:val="0057056C"/>
    <w:rsid w:val="005A55A0"/>
    <w:rsid w:val="005A56A6"/>
    <w:rsid w:val="005C50CE"/>
    <w:rsid w:val="005C5286"/>
    <w:rsid w:val="00683A43"/>
    <w:rsid w:val="006E2DC4"/>
    <w:rsid w:val="00706011"/>
    <w:rsid w:val="00712094"/>
    <w:rsid w:val="007878D8"/>
    <w:rsid w:val="007A4C35"/>
    <w:rsid w:val="007D079D"/>
    <w:rsid w:val="008045DA"/>
    <w:rsid w:val="00810F38"/>
    <w:rsid w:val="008A0CFA"/>
    <w:rsid w:val="00900DF8"/>
    <w:rsid w:val="00962980"/>
    <w:rsid w:val="009D37F1"/>
    <w:rsid w:val="00A765D2"/>
    <w:rsid w:val="00AA5CCB"/>
    <w:rsid w:val="00AD0344"/>
    <w:rsid w:val="00B22BB9"/>
    <w:rsid w:val="00B268B6"/>
    <w:rsid w:val="00B644CD"/>
    <w:rsid w:val="00B70196"/>
    <w:rsid w:val="00B80854"/>
    <w:rsid w:val="00BB3BB7"/>
    <w:rsid w:val="00BF5EE5"/>
    <w:rsid w:val="00C76B68"/>
    <w:rsid w:val="00C91A3E"/>
    <w:rsid w:val="00C97EDC"/>
    <w:rsid w:val="00CA0F98"/>
    <w:rsid w:val="00CA6625"/>
    <w:rsid w:val="00D100AB"/>
    <w:rsid w:val="00D44DB2"/>
    <w:rsid w:val="00DB023B"/>
    <w:rsid w:val="00DC4066"/>
    <w:rsid w:val="00E44B87"/>
    <w:rsid w:val="00EB31B3"/>
    <w:rsid w:val="00EB324E"/>
    <w:rsid w:val="00EE3F69"/>
    <w:rsid w:val="00F05D46"/>
    <w:rsid w:val="00F408E5"/>
    <w:rsid w:val="00FE3924"/>
    <w:rsid w:val="00FF6B6F"/>
    <w:rsid w:val="114C07AB"/>
    <w:rsid w:val="4ED41302"/>
    <w:rsid w:val="7481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AEF3B3"/>
  <w15:chartTrackingRefBased/>
  <w15:docId w15:val="{93AB3573-4D69-6743-97FF-313EA7BB9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 w:eastAsia="Songti SC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rFonts w:ascii="Times New Roman" w:hAnsi="Times New Roman" w:eastAsia="Songti SC"/>
      <w:kern w:val="6"/>
      <w:sz w:val="24"/>
      <w:szCs w:val="24"/>
    </w:rPr>
  </w:style>
  <w:style w:type="paragraph" w:styleId="a4">
    <w:name w:val="footer"/>
    <w:basedOn w:val="a"/>
    <w:link w:val="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5">
    <w:name w:val="页脚 字符"/>
    <w:link w:val="a4"/>
    <w:rPr>
      <w:kern w:val="2"/>
      <w:sz w:val="18"/>
      <w:szCs w:val="18"/>
    </w:rPr>
  </w:style>
  <w:style w:type="paragraph" w:styleId="a6">
    <w:name w:val="header"/>
    <w:basedOn w:val="a"/>
    <w:link w:val="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Pr>
      <w:kern w:val="2"/>
      <w:sz w:val="18"/>
      <w:szCs w:val="18"/>
    </w:rPr>
  </w:style>
  <w:style w:type="paragraph" w:styleId="a8">
    <w:name w:val="Normal (Web)"/>
    <w:basedOn w:val="a"/>
    <w:pPr>
      <w:widowControl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25</Pages>
  <Words>2111</Words>
  <Characters>12038</Characters>
  <Application>Microsoft Office Word</Application>
  <DocSecurity>0</DocSecurity>
  <Lines>100</Lines>
  <Paragraphs>28</Paragraphs>
  <ScaleCrop>false</ScaleCrop>
  <Company>we</Company>
  <LinksUpToDate>false</LinksUpToDate>
  <CharactersWithSpaces>14121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红壤区设施大棚水肥智能管控平台设计与灌溉模型预测控制研究</dc:title>
  <dc:subject>专业硕士学位论文开题报告</dc:subject>
  <dc:creator>微软用户</dc:creator>
  <cp:keywords>红壤；设施大棚；水肥智能管控平台；灌溉；模型预测控制</cp:keywords>
  <cp:lastModifiedBy>P ogacar</cp:lastModifiedBy>
  <cp:revision>5</cp:revision>
  <dcterms:created xsi:type="dcterms:W3CDTF">2026-08-25T01:50:00Z</dcterms:created>
  <dcterms:modified xsi:type="dcterms:W3CDTF">2026-09-04T02:14:00Z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430C46776BB74E029B2178330AE8C6AB</vt:lpwstr>
  </property>
  <property fmtid="{D5CDD505-2E9C-101B-9397-08002B2CF9AE}" pid="4" name="KSOTemplateDocerSaveRecord">
    <vt:lpwstr>eyJoZGlkIjoiMzk4N2JiMWFhNWRlYzNlNjZhNzU1NWNjODk5NDUwMmQiLCJ1c2VySWQiOiI0MjQ0NTIwOTYifQ==</vt:lpwstr>
  </property>
</Properties>
</file>