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line="288" w:lineRule="auto"/>
        <w:jc w:val="center"/>
      </w:pPr>
      <w:r>
        <w:rPr>
          <w:rFonts w:ascii="Arial" w:hAnsi="Arial"/>
          <w:b/>
          <w:i w:val="0"/>
          <w:color w:val="1E2D46"/>
          <w:sz w:val="34"/>
          <w:rFonts w:ascii="Arial" w:hAnsi="Arial" w:eastAsia="SimHei"/>
        </w:rPr>
        <w:t>全转录组 RNA 表达谱预测材料级 Kla 蛋白检出占比模型</w:t>
      </w:r>
    </w:p>
    <w:p>
      <w:pPr>
        <w:spacing w:before="0" w:after="280"/>
        <w:jc w:val="center"/>
      </w:pPr>
      <w:r>
        <w:rPr>
          <w:rFonts w:ascii="Arial" w:hAnsi="Arial"/>
          <w:b w:val="0"/>
          <w:i w:val="0"/>
          <w:color w:val="646464"/>
          <w:sz w:val="21"/>
          <w:rFonts w:ascii="Arial" w:hAnsi="Arial" w:eastAsia="SimSun"/>
        </w:rPr>
        <w:t>非线性建模、统计诊断与机制解析汇报文件</w:t>
      </w:r>
    </w:p>
    <w:tbl>
      <w:tblPr>
        <w:tblW w:type="auto" w:w="0"/>
        <w:jc w:val="center"/>
        <w:tblBorders>
          <w:top w:val="single" w:sz="4" w:space="0" w:color="CCCCCC"/>
          <w:left w:val="none"/>
          <w:bottom w:val="single" w:sz="4" w:space="0" w:color="CCCCCC"/>
          <w:right w:val="none"/>
          <w:insideH w:val="none"/>
          <w:insideV w:val="none"/>
        </w:tblBorders>
        <w:tblLook w:firstColumn="1" w:firstRow="1" w:lastColumn="0" w:lastRow="0" w:noHBand="0" w:noVBand="1" w:val="04A0"/>
      </w:tblPr>
      <w:tblGrid>
        <w:gridCol w:w="4536"/>
        <w:gridCol w:w="4536"/>
      </w:tblGrid>
      <w:tr>
        <w:tc>
          <w:tcPr>
            <w:tcW w:type="dxa" w:w="1814"/>
          </w:tcPr>
          <w:p>
            <w:pPr>
              <w:spacing w:before="40" w:after="40"/>
              <w:jc w:val="right"/>
            </w:pPr>
            <w:r>
              <w:rPr>
                <w:rFonts w:ascii="Arial" w:hAnsi="Arial"/>
                <w:b/>
                <w:i w:val="0"/>
                <w:color w:val="505050"/>
                <w:sz w:val="19"/>
                <w:rFonts w:ascii="Arial" w:hAnsi="Arial" w:eastAsia="SimHei"/>
              </w:rPr>
              <w:t>项目课题：</w:t>
            </w:r>
          </w:p>
        </w:tc>
        <w:tc>
          <w:tcPr>
            <w:tcW w:type="dxa" w:w="7257"/>
          </w:tcPr>
          <w:p>
            <w:pPr>
              <w:spacing w:before="40" w:after="40"/>
              <w:jc w:val="left"/>
            </w:pPr>
            <w:r>
              <w:rPr>
                <w:rFonts w:ascii="Arial" w:hAnsi="Arial"/>
                <w:b w:val="0"/>
                <w:i w:val="0"/>
                <w:color w:val="323232"/>
                <w:sz w:val="19"/>
                <w:rFonts w:ascii="Arial" w:hAnsi="Arial" w:eastAsia="SimSun"/>
              </w:rPr>
              <w:t>人类乳酸化修饰组学与 DDR 机制交互分析</w:t>
            </w:r>
          </w:p>
        </w:tc>
      </w:tr>
      <w:tr>
        <w:tc>
          <w:tcPr>
            <w:tcW w:type="dxa" w:w="1814"/>
          </w:tcPr>
          <w:p>
            <w:pPr>
              <w:spacing w:before="40" w:after="40"/>
              <w:jc w:val="right"/>
            </w:pPr>
            <w:r>
              <w:rPr>
                <w:rFonts w:ascii="Arial" w:hAnsi="Arial"/>
                <w:b/>
                <w:i w:val="0"/>
                <w:color w:val="505050"/>
                <w:sz w:val="19"/>
                <w:rFonts w:ascii="Arial" w:hAnsi="Arial" w:eastAsia="SimHei"/>
              </w:rPr>
              <w:t>建模算法：</w:t>
            </w:r>
          </w:p>
        </w:tc>
        <w:tc>
          <w:tcPr>
            <w:tcW w:type="dxa" w:w="7257"/>
          </w:tcPr>
          <w:p>
            <w:pPr>
              <w:spacing w:before="40" w:after="40"/>
              <w:jc w:val="left"/>
            </w:pPr>
            <w:r>
              <w:rPr>
                <w:rFonts w:ascii="Arial" w:hAnsi="Arial"/>
                <w:b w:val="0"/>
                <w:i w:val="0"/>
                <w:color w:val="323232"/>
                <w:sz w:val="19"/>
                <w:rFonts w:ascii="Arial" w:hAnsi="Arial" w:eastAsia="SimSun"/>
              </w:rPr>
              <w:t>Random Forest 回归 (RF_mtry135, 500 棵决策树, 候选子集 135 基因, 种子 25)</w:t>
            </w:r>
          </w:p>
        </w:tc>
      </w:tr>
      <w:tr>
        <w:tc>
          <w:tcPr>
            <w:tcW w:type="dxa" w:w="1814"/>
          </w:tcPr>
          <w:p>
            <w:pPr>
              <w:spacing w:before="40" w:after="40"/>
              <w:jc w:val="right"/>
            </w:pPr>
            <w:r>
              <w:rPr>
                <w:rFonts w:ascii="Arial" w:hAnsi="Arial"/>
                <w:b/>
                <w:i w:val="0"/>
                <w:color w:val="505050"/>
                <w:sz w:val="19"/>
                <w:rFonts w:ascii="Arial" w:hAnsi="Arial" w:eastAsia="SimHei"/>
              </w:rPr>
              <w:t>输入特征：</w:t>
            </w:r>
          </w:p>
        </w:tc>
        <w:tc>
          <w:tcPr>
            <w:tcW w:type="dxa" w:w="7257"/>
          </w:tcPr>
          <w:p>
            <w:pPr>
              <w:spacing w:before="40" w:after="40"/>
              <w:jc w:val="left"/>
            </w:pPr>
            <w:r>
              <w:rPr>
                <w:rFonts w:ascii="Arial" w:hAnsi="Arial"/>
                <w:b w:val="0"/>
                <w:i w:val="0"/>
                <w:color w:val="323232"/>
                <w:sz w:val="19"/>
                <w:rFonts w:ascii="Arial" w:hAnsi="Arial" w:eastAsia="SimSun"/>
              </w:rPr>
              <w:t>全转录组 18,332 个共有 Ensembl 稳定基因 (log2(TPM + 0.5) 修正尺度)</w:t>
            </w:r>
          </w:p>
        </w:tc>
      </w:tr>
      <w:tr>
        <w:tc>
          <w:tcPr>
            <w:tcW w:type="dxa" w:w="1814"/>
          </w:tcPr>
          <w:p>
            <w:pPr>
              <w:spacing w:before="40" w:after="40"/>
              <w:jc w:val="right"/>
            </w:pPr>
            <w:r>
              <w:rPr>
                <w:rFonts w:ascii="Arial" w:hAnsi="Arial"/>
                <w:b/>
                <w:i w:val="0"/>
                <w:color w:val="505050"/>
                <w:sz w:val="19"/>
                <w:rFonts w:ascii="Arial" w:hAnsi="Arial" w:eastAsia="SimHei"/>
              </w:rPr>
              <w:t>样本规模：</w:t>
            </w:r>
          </w:p>
        </w:tc>
        <w:tc>
          <w:tcPr>
            <w:tcW w:type="dxa" w:w="7257"/>
          </w:tcPr>
          <w:p>
            <w:pPr>
              <w:spacing w:before="40" w:after="40"/>
              <w:jc w:val="left"/>
            </w:pPr>
            <w:r>
              <w:rPr>
                <w:rFonts w:ascii="Arial" w:hAnsi="Arial"/>
                <w:b w:val="0"/>
                <w:i w:val="0"/>
                <w:color w:val="323232"/>
                <w:sz w:val="19"/>
                <w:rFonts w:ascii="Arial" w:hAnsi="Arial" w:eastAsia="SimSun"/>
              </w:rPr>
              <w:t>1,898 条独立 RNA 样本记录 (覆盖 28 种生物材料、14 个公共研究来源)</w:t>
            </w:r>
          </w:p>
        </w:tc>
      </w:tr>
      <w:tr>
        <w:tc>
          <w:tcPr>
            <w:tcW w:type="dxa" w:w="1814"/>
          </w:tcPr>
          <w:p>
            <w:pPr>
              <w:spacing w:before="40" w:after="40"/>
              <w:jc w:val="right"/>
            </w:pPr>
            <w:r>
              <w:rPr>
                <w:rFonts w:ascii="Arial" w:hAnsi="Arial"/>
                <w:b/>
                <w:i w:val="0"/>
                <w:color w:val="505050"/>
                <w:sz w:val="19"/>
                <w:rFonts w:ascii="Arial" w:hAnsi="Arial" w:eastAsia="SimHei"/>
              </w:rPr>
              <w:t>目标标签：</w:t>
            </w:r>
          </w:p>
        </w:tc>
        <w:tc>
          <w:tcPr>
            <w:tcW w:type="dxa" w:w="7257"/>
          </w:tcPr>
          <w:p>
            <w:pPr>
              <w:spacing w:before="40" w:after="40"/>
              <w:jc w:val="left"/>
            </w:pPr>
            <w:r>
              <w:rPr>
                <w:rFonts w:ascii="Arial" w:hAnsi="Arial"/>
                <w:b w:val="0"/>
                <w:i w:val="0"/>
                <w:color w:val="323232"/>
                <w:sz w:val="19"/>
                <w:rFonts w:ascii="Arial" w:hAnsi="Arial" w:eastAsia="SimSun"/>
              </w:rPr>
              <w:t>材料级 Kla 蛋白检出占比 (普通蛋白质组检出蛋白中属于 Kla 列表的比例, %)</w:t>
            </w:r>
          </w:p>
        </w:tc>
      </w:tr>
      <w:tr>
        <w:tc>
          <w:tcPr>
            <w:tcW w:type="dxa" w:w="1814"/>
          </w:tcPr>
          <w:p>
            <w:pPr>
              <w:spacing w:before="40" w:after="40"/>
              <w:jc w:val="right"/>
            </w:pPr>
            <w:r>
              <w:rPr>
                <w:rFonts w:ascii="Arial" w:hAnsi="Arial"/>
                <w:b/>
                <w:i w:val="0"/>
                <w:color w:val="505050"/>
                <w:sz w:val="19"/>
                <w:rFonts w:ascii="Arial" w:hAnsi="Arial" w:eastAsia="SimHei"/>
              </w:rPr>
              <w:t>验证框架：</w:t>
            </w:r>
          </w:p>
        </w:tc>
        <w:tc>
          <w:tcPr>
            <w:tcW w:type="dxa" w:w="7257"/>
          </w:tcPr>
          <w:p>
            <w:pPr>
              <w:spacing w:before="40" w:after="40"/>
              <w:jc w:val="left"/>
            </w:pPr>
            <w:r>
              <w:rPr>
                <w:rFonts w:ascii="Arial" w:hAnsi="Arial"/>
                <w:b w:val="0"/>
                <w:i w:val="0"/>
                <w:color w:val="323232"/>
                <w:sz w:val="19"/>
                <w:rFonts w:ascii="Arial" w:hAnsi="Arial" w:eastAsia="SimSun"/>
              </w:rPr>
              <w:t>供者感知严格内部盲测 (1,524 训练 / 374 盲测) + 14 折留一来源交叉验证</w:t>
            </w:r>
          </w:p>
        </w:tc>
      </w:tr>
      <w:tr>
        <w:tc>
          <w:tcPr>
            <w:tcW w:type="dxa" w:w="1814"/>
          </w:tcPr>
          <w:p>
            <w:pPr>
              <w:spacing w:before="40" w:after="40"/>
              <w:jc w:val="right"/>
            </w:pPr>
            <w:r>
              <w:rPr>
                <w:rFonts w:ascii="Arial" w:hAnsi="Arial"/>
                <w:b/>
                <w:i w:val="0"/>
                <w:color w:val="505050"/>
                <w:sz w:val="19"/>
                <w:rFonts w:ascii="Arial" w:hAnsi="Arial" w:eastAsia="SimHei"/>
              </w:rPr>
              <w:t>报告日期：</w:t>
            </w:r>
          </w:p>
        </w:tc>
        <w:tc>
          <w:tcPr>
            <w:tcW w:type="dxa" w:w="7257"/>
          </w:tcPr>
          <w:p>
            <w:pPr>
              <w:spacing w:before="40" w:after="40"/>
              <w:jc w:val="left"/>
            </w:pPr>
            <w:r>
              <w:rPr>
                <w:rFonts w:ascii="Arial" w:hAnsi="Arial"/>
                <w:b w:val="0"/>
                <w:i w:val="0"/>
                <w:color w:val="323232"/>
                <w:sz w:val="19"/>
                <w:rFonts w:ascii="Arial" w:hAnsi="Arial" w:eastAsia="SimSun"/>
              </w:rPr>
              <w:t>2026 年 9 月 27 日</w:t>
            </w:r>
          </w:p>
        </w:tc>
      </w:tr>
    </w:tbl>
    <w:p>
      <w:pPr>
        <w:spacing w:before="0" w:after="160"/>
      </w:pPr>
    </w:p>
    <w:p>
      <w:pPr>
        <w:keepNext/>
        <w:spacing w:before="280" w:after="120"/>
      </w:pPr>
      <w:r>
        <w:rPr>
          <w:rFonts w:ascii="Arial" w:hAnsi="Arial"/>
          <w:b/>
          <w:i w:val="0"/>
          <w:color w:val="1F4E79"/>
          <w:sz w:val="28"/>
          <w:rFonts w:ascii="Arial" w:hAnsi="Arial" w:eastAsia="SimHei"/>
        </w:rPr>
        <w:t>一、核心进展与结论摘要 (Executive Summary)</w:t>
      </w:r>
    </w:p>
    <w:p>
      <w:pPr>
        <w:spacing w:line="300" w:lineRule="auto" w:before="0" w:after="60"/>
        <w:ind w:firstLine="420"/>
      </w:pPr>
      <w:r>
        <w:rPr>
          <w:rFonts w:ascii="Arial" w:hAnsi="Arial"/>
          <w:b w:val="0"/>
          <w:i w:val="0"/>
          <w:sz w:val="22"/>
          <w:rFonts w:ascii="Arial" w:hAnsi="Arial" w:eastAsia="SimSun"/>
        </w:rPr>
        <w:t>针对此前人工限制 128 个乳酸代谢基因导致特征空间偏窄、泛化评价不够全面的问题，本轮工作彻底放开至各数据集共有的全部 18,332 个 Ensembl 稳定基因，开展逐样本随机森林非线性建模与多维度统计评估。核心评估采用严格的“供者感知（Donor-Aware）”划分，确保相同生物学供者的样本绝不跨越训练与测试集。</w:t>
      </w:r>
    </w:p>
    <w:p>
      <w:pPr>
        <w:spacing w:line="300" w:lineRule="auto" w:before="0" w:after="60"/>
        <w:ind w:firstLine="420"/>
      </w:pPr>
      <w:r>
        <w:rPr>
          <w:rFonts w:ascii="Arial" w:hAnsi="Arial"/>
          <w:b/>
          <w:i w:val="0"/>
          <w:sz w:val="22"/>
          <w:rFonts w:ascii="Arial" w:hAnsi="Arial" w:eastAsia="SimSun"/>
        </w:rPr>
        <w:t>关键结论：</w:t>
      </w:r>
      <w:r>
        <w:rPr>
          <w:rFonts w:ascii="Arial" w:hAnsi="Arial"/>
          <w:b w:val="0"/>
          <w:i w:val="0"/>
          <w:sz w:val="22"/>
          <w:rFonts w:ascii="Arial" w:hAnsi="Arial" w:eastAsia="SimSun"/>
        </w:rPr>
        <w:t>在完全未参与训练的 374 条独立内部测试样本中，模型展现出极高的一致性重现精度：</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预测精度极高：</w:t>
      </w:r>
      <w:r>
        <w:rPr>
          <w:rFonts w:ascii="Arial" w:hAnsi="Arial"/>
          <w:b w:val="0"/>
          <w:i w:val="0"/>
          <w:sz w:val="21"/>
          <w:rFonts w:ascii="Arial" w:hAnsi="Arial" w:eastAsia="SimSun"/>
        </w:rPr>
        <w:t>平均绝对误差 (MAE) 仅为 1.09 个百分点，判定系数 R² 达到 0.979；</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误差区间紧凑：</w:t>
      </w:r>
      <w:r>
        <w:rPr>
          <w:rFonts w:ascii="Arial" w:hAnsi="Arial"/>
          <w:b w:val="0"/>
          <w:i w:val="0"/>
          <w:sz w:val="21"/>
          <w:rFonts w:ascii="Arial" w:hAnsi="Arial" w:eastAsia="SimSun"/>
        </w:rPr>
        <w:t>高达 98.1% 的测试样本预测绝对误差在 ±5 个百分点以内 (86.1% 在 ±2 个百分点内)；</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特征空间扩展：</w:t>
      </w:r>
      <w:r>
        <w:rPr>
          <w:rFonts w:ascii="Arial" w:hAnsi="Arial"/>
          <w:b w:val="0"/>
          <w:i w:val="0"/>
          <w:sz w:val="21"/>
          <w:rFonts w:ascii="Arial" w:hAnsi="Arial" w:eastAsia="SimSun"/>
        </w:rPr>
        <w:t>相比 128 基因旧模型 (±5 pp 命中率 96.3%)，全基因模型在误差容限比例上进一步提升，且大幅提升了生物学可解释性；</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临床切片稳健：</w:t>
      </w:r>
      <w:r>
        <w:rPr>
          <w:rFonts w:ascii="Arial" w:hAnsi="Arial"/>
          <w:b w:val="0"/>
          <w:i w:val="0"/>
          <w:sz w:val="21"/>
          <w:rFonts w:ascii="Arial" w:hAnsi="Arial" w:eastAsia="SimSun"/>
        </w:rPr>
        <w:t>临床组织样本表现优于细胞系：正常组织盲测 MAE 为 0.97 个百分点 (命中率 99.4%)，癌组织盲测 MAE 为 1.08 个百分点 (命中率 97.3%)。</w:t>
      </w:r>
    </w:p>
    <w:p>
      <w:pPr>
        <w:keepNext/>
        <w:spacing w:before="120" w:after="80"/>
        <w:ind w:firstLine="0"/>
        <w:jc w:val="center"/>
      </w:pPr>
      <w:r>
        <w:rPr>
          <w:rFonts w:ascii="Arial" w:hAnsi="Arial"/>
          <w:b/>
          <w:i w:val="0"/>
          <w:color w:val="3C3C3C"/>
          <w:sz w:val="20"/>
          <w:rFonts w:ascii="Arial" w:hAnsi="Arial" w:eastAsia="SimSun"/>
        </w:rPr>
        <w:t>表 1 模型全景性能指标对照表 (按样本逐记录等权与材料等权口径统计)</w:t>
      </w:r>
    </w:p>
    <w:tbl>
      <w:tblPr>
        <w:tblW w:type="auto" w:w="0"/>
        <w:jc w:val="center"/>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1296"/>
        <w:gridCol w:w="1296"/>
        <w:gridCol w:w="1296"/>
        <w:gridCol w:w="1296"/>
        <w:gridCol w:w="1296"/>
        <w:gridCol w:w="1296"/>
        <w:gridCol w:w="1296"/>
      </w:tblGrid>
      <w:tr>
        <w:trPr>
          <w:tblHeader/>
        </w:trPr>
        <w:tc>
          <w:tcPr>
            <w:tcW w:type="dxa" w:w="2835"/>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评估子集与方案</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样本量 (n)</w:t>
            </w:r>
          </w:p>
        </w:tc>
        <w:tc>
          <w:tcPr>
            <w:tcW w:type="dxa" w:w="85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材料数</w:t>
            </w:r>
          </w:p>
        </w:tc>
        <w:tc>
          <w:tcPr>
            <w:tcW w:type="dxa" w:w="1134"/>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MAE (百分点)</w:t>
            </w:r>
          </w:p>
        </w:tc>
        <w:tc>
          <w:tcPr>
            <w:tcW w:type="dxa" w:w="964"/>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RMSE</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R²</w:t>
            </w:r>
          </w:p>
        </w:tc>
        <w:tc>
          <w:tcPr>
            <w:tcW w:type="dxa" w:w="124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±5 pp 命中率</w:t>
            </w:r>
          </w:p>
        </w:tc>
      </w:tr>
      <w:tr>
        <w:tc>
          <w:tcPr>
            <w:tcW w:type="dxa" w:w="2835"/>
          </w:tcPr>
          <w:p>
            <w:pPr>
              <w:spacing w:before="50" w:after="50"/>
              <w:ind w:firstLine="0"/>
              <w:jc w:val="left"/>
            </w:pPr>
            <w:r>
              <w:rPr>
                <w:rFonts w:ascii="Arial" w:hAnsi="Arial"/>
                <w:b w:val="0"/>
                <w:i w:val="0"/>
                <w:sz w:val="19"/>
                <w:rFonts w:ascii="Arial" w:hAnsi="Arial" w:eastAsia="SimSun"/>
              </w:rPr>
              <w:t>训练子集重测 (Training split, 逐记录)</w:t>
            </w:r>
          </w:p>
        </w:tc>
        <w:tc>
          <w:tcPr>
            <w:tcW w:type="dxa" w:w="1020"/>
          </w:tcPr>
          <w:p>
            <w:pPr>
              <w:spacing w:before="50" w:after="50"/>
              <w:ind w:firstLine="0"/>
              <w:jc w:val="center"/>
            </w:pPr>
            <w:r>
              <w:rPr>
                <w:rFonts w:ascii="Arial" w:hAnsi="Arial"/>
                <w:b w:val="0"/>
                <w:i w:val="0"/>
                <w:sz w:val="19"/>
                <w:rFonts w:ascii="Arial" w:hAnsi="Arial" w:eastAsia="SimSun"/>
              </w:rPr>
              <w:t>1,524</w:t>
            </w:r>
          </w:p>
        </w:tc>
        <w:tc>
          <w:tcPr>
            <w:tcW w:type="dxa" w:w="850"/>
          </w:tcPr>
          <w:p>
            <w:pPr>
              <w:spacing w:before="50" w:after="50"/>
              <w:ind w:firstLine="0"/>
              <w:jc w:val="center"/>
            </w:pPr>
            <w:r>
              <w:rPr>
                <w:rFonts w:ascii="Arial" w:hAnsi="Arial"/>
                <w:b w:val="0"/>
                <w:i w:val="0"/>
                <w:sz w:val="19"/>
                <w:rFonts w:ascii="Arial" w:hAnsi="Arial" w:eastAsia="SimSun"/>
              </w:rPr>
              <w:t>28</w:t>
            </w:r>
          </w:p>
        </w:tc>
        <w:tc>
          <w:tcPr>
            <w:tcW w:type="dxa" w:w="1134"/>
          </w:tcPr>
          <w:p>
            <w:pPr>
              <w:spacing w:before="50" w:after="50"/>
              <w:ind w:firstLine="0"/>
              <w:jc w:val="center"/>
            </w:pPr>
            <w:r>
              <w:rPr>
                <w:rFonts w:ascii="Arial" w:hAnsi="Arial"/>
                <w:b w:val="0"/>
                <w:i w:val="0"/>
                <w:sz w:val="19"/>
                <w:rFonts w:ascii="Arial" w:hAnsi="Arial" w:eastAsia="SimSun"/>
              </w:rPr>
              <w:t>0.66</w:t>
            </w:r>
          </w:p>
        </w:tc>
        <w:tc>
          <w:tcPr>
            <w:tcW w:type="dxa" w:w="964"/>
          </w:tcPr>
          <w:p>
            <w:pPr>
              <w:spacing w:before="50" w:after="50"/>
              <w:ind w:firstLine="0"/>
              <w:jc w:val="center"/>
            </w:pPr>
            <w:r>
              <w:rPr>
                <w:rFonts w:ascii="Arial" w:hAnsi="Arial"/>
                <w:b w:val="0"/>
                <w:i w:val="0"/>
                <w:sz w:val="19"/>
                <w:rFonts w:ascii="Arial" w:hAnsi="Arial" w:eastAsia="SimSun"/>
              </w:rPr>
              <w:t>1.05</w:t>
            </w:r>
          </w:p>
        </w:tc>
        <w:tc>
          <w:tcPr>
            <w:tcW w:type="dxa" w:w="1020"/>
          </w:tcPr>
          <w:p>
            <w:pPr>
              <w:spacing w:before="50" w:after="50"/>
              <w:ind w:firstLine="0"/>
              <w:jc w:val="center"/>
            </w:pPr>
            <w:r>
              <w:rPr>
                <w:rFonts w:ascii="Arial" w:hAnsi="Arial"/>
                <w:b w:val="0"/>
                <w:i w:val="0"/>
                <w:sz w:val="19"/>
                <w:rFonts w:ascii="Arial" w:hAnsi="Arial" w:eastAsia="SimSun"/>
              </w:rPr>
              <w:t>0.991</w:t>
            </w:r>
          </w:p>
        </w:tc>
        <w:tc>
          <w:tcPr>
            <w:tcW w:type="dxa" w:w="1247"/>
          </w:tcPr>
          <w:p>
            <w:pPr>
              <w:spacing w:before="50" w:after="50"/>
              <w:ind w:firstLine="0"/>
              <w:jc w:val="center"/>
            </w:pPr>
            <w:r>
              <w:rPr>
                <w:rFonts w:ascii="Arial" w:hAnsi="Arial"/>
                <w:b w:val="0"/>
                <w:i w:val="0"/>
                <w:sz w:val="19"/>
                <w:rFonts w:ascii="Arial" w:hAnsi="Arial" w:eastAsia="SimSun"/>
              </w:rPr>
              <w:t>99.3%</w:t>
            </w:r>
          </w:p>
        </w:tc>
      </w:tr>
      <w:tr>
        <w:tc>
          <w:tcPr>
            <w:tcW w:type="dxa" w:w="2835"/>
          </w:tcPr>
          <w:p>
            <w:pPr>
              <w:spacing w:before="50" w:after="50"/>
              <w:ind w:firstLine="0"/>
              <w:jc w:val="left"/>
            </w:pPr>
            <w:r>
              <w:rPr>
                <w:rFonts w:ascii="Arial" w:hAnsi="Arial"/>
                <w:b w:val="0"/>
                <w:i w:val="0"/>
                <w:sz w:val="19"/>
                <w:rFonts w:ascii="Arial" w:hAnsi="Arial" w:eastAsia="SimSun"/>
              </w:rPr>
              <w:t>训练子集重测 (Training split, 材料等权)</w:t>
            </w:r>
          </w:p>
        </w:tc>
        <w:tc>
          <w:tcPr>
            <w:tcW w:type="dxa" w:w="1020"/>
          </w:tcPr>
          <w:p>
            <w:pPr>
              <w:spacing w:before="50" w:after="50"/>
              <w:ind w:firstLine="0"/>
              <w:jc w:val="center"/>
            </w:pPr>
            <w:r>
              <w:rPr>
                <w:rFonts w:ascii="Arial" w:hAnsi="Arial"/>
                <w:b w:val="0"/>
                <w:i w:val="0"/>
                <w:sz w:val="19"/>
                <w:rFonts w:ascii="Arial" w:hAnsi="Arial" w:eastAsia="SimSun"/>
              </w:rPr>
              <w:t>1,524</w:t>
            </w:r>
          </w:p>
        </w:tc>
        <w:tc>
          <w:tcPr>
            <w:tcW w:type="dxa" w:w="850"/>
          </w:tcPr>
          <w:p>
            <w:pPr>
              <w:spacing w:before="50" w:after="50"/>
              <w:ind w:firstLine="0"/>
              <w:jc w:val="center"/>
            </w:pPr>
            <w:r>
              <w:rPr>
                <w:rFonts w:ascii="Arial" w:hAnsi="Arial"/>
                <w:b w:val="0"/>
                <w:i w:val="0"/>
                <w:sz w:val="19"/>
                <w:rFonts w:ascii="Arial" w:hAnsi="Arial" w:eastAsia="SimSun"/>
              </w:rPr>
              <w:t>28</w:t>
            </w:r>
          </w:p>
        </w:tc>
        <w:tc>
          <w:tcPr>
            <w:tcW w:type="dxa" w:w="1134"/>
          </w:tcPr>
          <w:p>
            <w:pPr>
              <w:spacing w:before="50" w:after="50"/>
              <w:ind w:firstLine="0"/>
              <w:jc w:val="center"/>
            </w:pPr>
            <w:r>
              <w:rPr>
                <w:rFonts w:ascii="Arial" w:hAnsi="Arial"/>
                <w:b w:val="0"/>
                <w:i w:val="0"/>
                <w:sz w:val="19"/>
                <w:rFonts w:ascii="Arial" w:hAnsi="Arial" w:eastAsia="SimSun"/>
              </w:rPr>
              <w:t>0.12</w:t>
            </w:r>
          </w:p>
        </w:tc>
        <w:tc>
          <w:tcPr>
            <w:tcW w:type="dxa" w:w="964"/>
          </w:tcPr>
          <w:p>
            <w:pPr>
              <w:spacing w:before="50" w:after="50"/>
              <w:ind w:firstLine="0"/>
              <w:jc w:val="center"/>
            </w:pPr>
            <w:r>
              <w:rPr>
                <w:rFonts w:ascii="Arial" w:hAnsi="Arial"/>
                <w:b w:val="0"/>
                <w:i w:val="0"/>
                <w:sz w:val="19"/>
                <w:rFonts w:ascii="Arial" w:hAnsi="Arial" w:eastAsia="SimSun"/>
              </w:rPr>
              <w:t>0.43</w:t>
            </w:r>
          </w:p>
        </w:tc>
        <w:tc>
          <w:tcPr>
            <w:tcW w:type="dxa" w:w="1020"/>
          </w:tcPr>
          <w:p>
            <w:pPr>
              <w:spacing w:before="50" w:after="50"/>
              <w:ind w:firstLine="0"/>
              <w:jc w:val="center"/>
            </w:pPr>
            <w:r>
              <w:rPr>
                <w:rFonts w:ascii="Arial" w:hAnsi="Arial"/>
                <w:b w:val="0"/>
                <w:i w:val="0"/>
                <w:sz w:val="19"/>
                <w:rFonts w:ascii="Arial" w:hAnsi="Arial" w:eastAsia="SimSun"/>
              </w:rPr>
              <w:t>0.998</w:t>
            </w:r>
          </w:p>
        </w:tc>
        <w:tc>
          <w:tcPr>
            <w:tcW w:type="dxa" w:w="1247"/>
          </w:tcPr>
          <w:p>
            <w:pPr>
              <w:spacing w:before="50" w:after="50"/>
              <w:ind w:firstLine="0"/>
              <w:jc w:val="center"/>
            </w:pPr>
            <w:r>
              <w:rPr>
                <w:rFonts w:ascii="Arial" w:hAnsi="Arial"/>
                <w:b w:val="0"/>
                <w:i w:val="0"/>
                <w:sz w:val="19"/>
                <w:rFonts w:ascii="Arial" w:hAnsi="Arial" w:eastAsia="SimSun"/>
              </w:rPr>
              <w:t>99.9%</w:t>
            </w:r>
          </w:p>
        </w:tc>
      </w:tr>
      <w:tr>
        <w:tc>
          <w:tcPr>
            <w:tcW w:type="dxa" w:w="2835"/>
          </w:tcPr>
          <w:p>
            <w:pPr>
              <w:spacing w:before="50" w:after="50"/>
              <w:ind w:firstLine="0"/>
              <w:jc w:val="left"/>
            </w:pPr>
            <w:r>
              <w:rPr>
                <w:rFonts w:ascii="Arial" w:hAnsi="Arial"/>
                <w:b w:val="0"/>
                <w:i w:val="0"/>
                <w:sz w:val="19"/>
                <w:rFonts w:ascii="Arial" w:hAnsi="Arial" w:eastAsia="SimSun"/>
              </w:rPr>
              <w:t>内部独立盲测 (Within-material test, 逐记录)</w:t>
            </w:r>
          </w:p>
        </w:tc>
        <w:tc>
          <w:tcPr>
            <w:tcW w:type="dxa" w:w="1020"/>
          </w:tcPr>
          <w:p>
            <w:pPr>
              <w:spacing w:before="50" w:after="50"/>
              <w:ind w:firstLine="0"/>
              <w:jc w:val="center"/>
            </w:pPr>
            <w:r>
              <w:rPr>
                <w:rFonts w:ascii="Arial" w:hAnsi="Arial"/>
                <w:b w:val="0"/>
                <w:i w:val="0"/>
                <w:sz w:val="19"/>
                <w:rFonts w:ascii="Arial" w:hAnsi="Arial" w:eastAsia="SimSun"/>
              </w:rPr>
              <w:t>374</w:t>
            </w:r>
          </w:p>
        </w:tc>
        <w:tc>
          <w:tcPr>
            <w:tcW w:type="dxa" w:w="850"/>
          </w:tcPr>
          <w:p>
            <w:pPr>
              <w:spacing w:before="50" w:after="50"/>
              <w:ind w:firstLine="0"/>
              <w:jc w:val="center"/>
            </w:pPr>
            <w:r>
              <w:rPr>
                <w:rFonts w:ascii="Arial" w:hAnsi="Arial"/>
                <w:b w:val="0"/>
                <w:i w:val="0"/>
                <w:sz w:val="19"/>
                <w:rFonts w:ascii="Arial" w:hAnsi="Arial" w:eastAsia="SimSun"/>
              </w:rPr>
              <w:t>19</w:t>
            </w:r>
          </w:p>
        </w:tc>
        <w:tc>
          <w:tcPr>
            <w:tcW w:type="dxa" w:w="1134"/>
          </w:tcPr>
          <w:p>
            <w:pPr>
              <w:spacing w:before="50" w:after="50"/>
              <w:ind w:firstLine="0"/>
              <w:jc w:val="center"/>
            </w:pPr>
            <w:r>
              <w:rPr>
                <w:rFonts w:ascii="Arial" w:hAnsi="Arial"/>
                <w:b w:val="0"/>
                <w:i w:val="0"/>
                <w:sz w:val="19"/>
                <w:rFonts w:ascii="Arial" w:hAnsi="Arial" w:eastAsia="SimSun"/>
              </w:rPr>
              <w:t>1.09</w:t>
            </w:r>
          </w:p>
        </w:tc>
        <w:tc>
          <w:tcPr>
            <w:tcW w:type="dxa" w:w="964"/>
          </w:tcPr>
          <w:p>
            <w:pPr>
              <w:spacing w:before="50" w:after="50"/>
              <w:ind w:firstLine="0"/>
              <w:jc w:val="center"/>
            </w:pPr>
            <w:r>
              <w:rPr>
                <w:rFonts w:ascii="Arial" w:hAnsi="Arial"/>
                <w:b w:val="0"/>
                <w:i w:val="0"/>
                <w:sz w:val="19"/>
                <w:rFonts w:ascii="Arial" w:hAnsi="Arial" w:eastAsia="SimSun"/>
              </w:rPr>
              <w:t>1.66</w:t>
            </w:r>
          </w:p>
        </w:tc>
        <w:tc>
          <w:tcPr>
            <w:tcW w:type="dxa" w:w="1020"/>
          </w:tcPr>
          <w:p>
            <w:pPr>
              <w:spacing w:before="50" w:after="50"/>
              <w:ind w:firstLine="0"/>
              <w:jc w:val="center"/>
            </w:pPr>
            <w:r>
              <w:rPr>
                <w:rFonts w:ascii="Arial" w:hAnsi="Arial"/>
                <w:b w:val="0"/>
                <w:i w:val="0"/>
                <w:sz w:val="19"/>
                <w:rFonts w:ascii="Arial" w:hAnsi="Arial" w:eastAsia="SimSun"/>
              </w:rPr>
              <w:t>0.979</w:t>
            </w:r>
          </w:p>
        </w:tc>
        <w:tc>
          <w:tcPr>
            <w:tcW w:type="dxa" w:w="1247"/>
          </w:tcPr>
          <w:p>
            <w:pPr>
              <w:spacing w:before="50" w:after="50"/>
              <w:ind w:firstLine="0"/>
              <w:jc w:val="center"/>
            </w:pPr>
            <w:r>
              <w:rPr>
                <w:rFonts w:ascii="Arial" w:hAnsi="Arial"/>
                <w:b w:val="0"/>
                <w:i w:val="0"/>
                <w:sz w:val="19"/>
                <w:rFonts w:ascii="Arial" w:hAnsi="Arial" w:eastAsia="SimSun"/>
              </w:rPr>
              <w:t>98.1%</w:t>
            </w:r>
          </w:p>
        </w:tc>
      </w:tr>
      <w:tr>
        <w:tc>
          <w:tcPr>
            <w:tcW w:type="dxa" w:w="2835"/>
          </w:tcPr>
          <w:p>
            <w:pPr>
              <w:spacing w:before="50" w:after="50"/>
              <w:ind w:firstLine="0"/>
              <w:jc w:val="left"/>
            </w:pPr>
            <w:r>
              <w:rPr>
                <w:rFonts w:ascii="Arial" w:hAnsi="Arial"/>
                <w:b w:val="0"/>
                <w:i w:val="0"/>
                <w:sz w:val="19"/>
                <w:rFonts w:ascii="Arial" w:hAnsi="Arial" w:eastAsia="SimSun"/>
              </w:rPr>
              <w:t>内部独立盲测 (Within-material test, 材料等权)</w:t>
            </w:r>
          </w:p>
        </w:tc>
        <w:tc>
          <w:tcPr>
            <w:tcW w:type="dxa" w:w="1020"/>
          </w:tcPr>
          <w:p>
            <w:pPr>
              <w:spacing w:before="50" w:after="50"/>
              <w:ind w:firstLine="0"/>
              <w:jc w:val="center"/>
            </w:pPr>
            <w:r>
              <w:rPr>
                <w:rFonts w:ascii="Arial" w:hAnsi="Arial"/>
                <w:b w:val="0"/>
                <w:i w:val="0"/>
                <w:sz w:val="19"/>
                <w:rFonts w:ascii="Arial" w:hAnsi="Arial" w:eastAsia="SimSun"/>
              </w:rPr>
              <w:t>374</w:t>
            </w:r>
          </w:p>
        </w:tc>
        <w:tc>
          <w:tcPr>
            <w:tcW w:type="dxa" w:w="850"/>
          </w:tcPr>
          <w:p>
            <w:pPr>
              <w:spacing w:before="50" w:after="50"/>
              <w:ind w:firstLine="0"/>
              <w:jc w:val="center"/>
            </w:pPr>
            <w:r>
              <w:rPr>
                <w:rFonts w:ascii="Arial" w:hAnsi="Arial"/>
                <w:b w:val="0"/>
                <w:i w:val="0"/>
                <w:sz w:val="19"/>
                <w:rFonts w:ascii="Arial" w:hAnsi="Arial" w:eastAsia="SimSun"/>
              </w:rPr>
              <w:t>19</w:t>
            </w:r>
          </w:p>
        </w:tc>
        <w:tc>
          <w:tcPr>
            <w:tcW w:type="dxa" w:w="1134"/>
          </w:tcPr>
          <w:p>
            <w:pPr>
              <w:spacing w:before="50" w:after="50"/>
              <w:ind w:firstLine="0"/>
              <w:jc w:val="center"/>
            </w:pPr>
            <w:r>
              <w:rPr>
                <w:rFonts w:ascii="Arial" w:hAnsi="Arial"/>
                <w:b w:val="0"/>
                <w:i w:val="0"/>
                <w:sz w:val="19"/>
                <w:rFonts w:ascii="Arial" w:hAnsi="Arial" w:eastAsia="SimSun"/>
              </w:rPr>
              <w:t>1.59</w:t>
            </w:r>
          </w:p>
        </w:tc>
        <w:tc>
          <w:tcPr>
            <w:tcW w:type="dxa" w:w="964"/>
          </w:tcPr>
          <w:p>
            <w:pPr>
              <w:spacing w:before="50" w:after="50"/>
              <w:ind w:firstLine="0"/>
              <w:jc w:val="center"/>
            </w:pPr>
            <w:r>
              <w:rPr>
                <w:rFonts w:ascii="Arial" w:hAnsi="Arial"/>
                <w:b w:val="0"/>
                <w:i w:val="0"/>
                <w:sz w:val="19"/>
                <w:rFonts w:ascii="Arial" w:hAnsi="Arial" w:eastAsia="SimSun"/>
              </w:rPr>
              <w:t>2.08</w:t>
            </w:r>
          </w:p>
        </w:tc>
        <w:tc>
          <w:tcPr>
            <w:tcW w:type="dxa" w:w="1020"/>
          </w:tcPr>
          <w:p>
            <w:pPr>
              <w:spacing w:before="50" w:after="50"/>
              <w:ind w:firstLine="0"/>
              <w:jc w:val="center"/>
            </w:pPr>
            <w:r>
              <w:rPr>
                <w:rFonts w:ascii="Arial" w:hAnsi="Arial"/>
                <w:b w:val="0"/>
                <w:i w:val="0"/>
                <w:sz w:val="19"/>
                <w:rFonts w:ascii="Arial" w:hAnsi="Arial" w:eastAsia="SimSun"/>
              </w:rPr>
              <w:t>0.955</w:t>
            </w:r>
          </w:p>
        </w:tc>
        <w:tc>
          <w:tcPr>
            <w:tcW w:type="dxa" w:w="1247"/>
          </w:tcPr>
          <w:p>
            <w:pPr>
              <w:spacing w:before="50" w:after="50"/>
              <w:ind w:firstLine="0"/>
              <w:jc w:val="center"/>
            </w:pPr>
            <w:r>
              <w:rPr>
                <w:rFonts w:ascii="Arial" w:hAnsi="Arial"/>
                <w:b w:val="0"/>
                <w:i w:val="0"/>
                <w:sz w:val="19"/>
                <w:rFonts w:ascii="Arial" w:hAnsi="Arial" w:eastAsia="SimSun"/>
              </w:rPr>
              <w:t>96.9%</w:t>
            </w:r>
          </w:p>
        </w:tc>
      </w:tr>
      <w:tr>
        <w:tc>
          <w:tcPr>
            <w:tcW w:type="dxa" w:w="2835"/>
          </w:tcPr>
          <w:p>
            <w:pPr>
              <w:spacing w:before="50" w:after="50"/>
              <w:ind w:firstLine="0"/>
              <w:jc w:val="left"/>
            </w:pPr>
            <w:r>
              <w:rPr>
                <w:rFonts w:ascii="Arial" w:hAnsi="Arial"/>
                <w:b w:val="0"/>
                <w:i w:val="0"/>
                <w:sz w:val="19"/>
                <w:rFonts w:ascii="Arial" w:hAnsi="Arial" w:eastAsia="SimSun"/>
              </w:rPr>
              <w:t>全量数据重拟合 (Full dataset fit, 逐记录)</w:t>
            </w:r>
          </w:p>
        </w:tc>
        <w:tc>
          <w:tcPr>
            <w:tcW w:type="dxa" w:w="1020"/>
          </w:tcPr>
          <w:p>
            <w:pPr>
              <w:spacing w:before="50" w:after="50"/>
              <w:ind w:firstLine="0"/>
              <w:jc w:val="center"/>
            </w:pPr>
            <w:r>
              <w:rPr>
                <w:rFonts w:ascii="Arial" w:hAnsi="Arial"/>
                <w:b w:val="0"/>
                <w:i w:val="0"/>
                <w:sz w:val="19"/>
                <w:rFonts w:ascii="Arial" w:hAnsi="Arial" w:eastAsia="SimSun"/>
              </w:rPr>
              <w:t>1,898</w:t>
            </w:r>
          </w:p>
        </w:tc>
        <w:tc>
          <w:tcPr>
            <w:tcW w:type="dxa" w:w="850"/>
          </w:tcPr>
          <w:p>
            <w:pPr>
              <w:spacing w:before="50" w:after="50"/>
              <w:ind w:firstLine="0"/>
              <w:jc w:val="center"/>
            </w:pPr>
            <w:r>
              <w:rPr>
                <w:rFonts w:ascii="Arial" w:hAnsi="Arial"/>
                <w:b w:val="0"/>
                <w:i w:val="0"/>
                <w:sz w:val="19"/>
                <w:rFonts w:ascii="Arial" w:hAnsi="Arial" w:eastAsia="SimSun"/>
              </w:rPr>
              <w:t>28</w:t>
            </w:r>
          </w:p>
        </w:tc>
        <w:tc>
          <w:tcPr>
            <w:tcW w:type="dxa" w:w="1134"/>
          </w:tcPr>
          <w:p>
            <w:pPr>
              <w:spacing w:before="50" w:after="50"/>
              <w:ind w:firstLine="0"/>
              <w:jc w:val="center"/>
            </w:pPr>
            <w:r>
              <w:rPr>
                <w:rFonts w:ascii="Arial" w:hAnsi="Arial"/>
                <w:b w:val="0"/>
                <w:i w:val="0"/>
                <w:sz w:val="19"/>
                <w:rFonts w:ascii="Arial" w:hAnsi="Arial" w:eastAsia="SimSun"/>
              </w:rPr>
              <w:t>0.62</w:t>
            </w:r>
          </w:p>
        </w:tc>
        <w:tc>
          <w:tcPr>
            <w:tcW w:type="dxa" w:w="964"/>
          </w:tcPr>
          <w:p>
            <w:pPr>
              <w:spacing w:before="50" w:after="50"/>
              <w:ind w:firstLine="0"/>
              <w:jc w:val="center"/>
            </w:pPr>
            <w:r>
              <w:rPr>
                <w:rFonts w:ascii="Arial" w:hAnsi="Arial"/>
                <w:b w:val="0"/>
                <w:i w:val="0"/>
                <w:sz w:val="19"/>
                <w:rFonts w:ascii="Arial" w:hAnsi="Arial" w:eastAsia="SimSun"/>
              </w:rPr>
              <w:t>1.03</w:t>
            </w:r>
          </w:p>
        </w:tc>
        <w:tc>
          <w:tcPr>
            <w:tcW w:type="dxa" w:w="1020"/>
          </w:tcPr>
          <w:p>
            <w:pPr>
              <w:spacing w:before="50" w:after="50"/>
              <w:ind w:firstLine="0"/>
              <w:jc w:val="center"/>
            </w:pPr>
            <w:r>
              <w:rPr>
                <w:rFonts w:ascii="Arial" w:hAnsi="Arial"/>
                <w:b w:val="0"/>
                <w:i w:val="0"/>
                <w:sz w:val="19"/>
                <w:rFonts w:ascii="Arial" w:hAnsi="Arial" w:eastAsia="SimSun"/>
              </w:rPr>
              <w:t>0.991</w:t>
            </w:r>
          </w:p>
        </w:tc>
        <w:tc>
          <w:tcPr>
            <w:tcW w:type="dxa" w:w="1247"/>
          </w:tcPr>
          <w:p>
            <w:pPr>
              <w:spacing w:before="50" w:after="50"/>
              <w:ind w:firstLine="0"/>
              <w:jc w:val="center"/>
            </w:pPr>
            <w:r>
              <w:rPr>
                <w:rFonts w:ascii="Arial" w:hAnsi="Arial"/>
                <w:b w:val="0"/>
                <w:i w:val="0"/>
                <w:sz w:val="19"/>
                <w:rFonts w:ascii="Arial" w:hAnsi="Arial" w:eastAsia="SimSun"/>
              </w:rPr>
              <w:t>99.5%</w:t>
            </w:r>
          </w:p>
        </w:tc>
      </w:tr>
      <w:tr>
        <w:tc>
          <w:tcPr>
            <w:tcW w:type="dxa" w:w="2835"/>
          </w:tcPr>
          <w:p>
            <w:pPr>
              <w:spacing w:before="50" w:after="50"/>
              <w:ind w:firstLine="0"/>
              <w:jc w:val="left"/>
            </w:pPr>
            <w:r>
              <w:rPr>
                <w:rFonts w:ascii="Arial" w:hAnsi="Arial"/>
                <w:b w:val="0"/>
                <w:i w:val="0"/>
                <w:sz w:val="19"/>
                <w:rFonts w:ascii="Arial" w:hAnsi="Arial" w:eastAsia="SimSun"/>
              </w:rPr>
              <w:t>全量数据重拟合 (Full dataset fit, 材料等权)</w:t>
            </w:r>
          </w:p>
        </w:tc>
        <w:tc>
          <w:tcPr>
            <w:tcW w:type="dxa" w:w="1020"/>
          </w:tcPr>
          <w:p>
            <w:pPr>
              <w:spacing w:before="50" w:after="50"/>
              <w:ind w:firstLine="0"/>
              <w:jc w:val="center"/>
            </w:pPr>
            <w:r>
              <w:rPr>
                <w:rFonts w:ascii="Arial" w:hAnsi="Arial"/>
                <w:b w:val="0"/>
                <w:i w:val="0"/>
                <w:sz w:val="19"/>
                <w:rFonts w:ascii="Arial" w:hAnsi="Arial" w:eastAsia="SimSun"/>
              </w:rPr>
              <w:t>1,898</w:t>
            </w:r>
          </w:p>
        </w:tc>
        <w:tc>
          <w:tcPr>
            <w:tcW w:type="dxa" w:w="850"/>
          </w:tcPr>
          <w:p>
            <w:pPr>
              <w:spacing w:before="50" w:after="50"/>
              <w:ind w:firstLine="0"/>
              <w:jc w:val="center"/>
            </w:pPr>
            <w:r>
              <w:rPr>
                <w:rFonts w:ascii="Arial" w:hAnsi="Arial"/>
                <w:b w:val="0"/>
                <w:i w:val="0"/>
                <w:sz w:val="19"/>
                <w:rFonts w:ascii="Arial" w:hAnsi="Arial" w:eastAsia="SimSun"/>
              </w:rPr>
              <w:t>28</w:t>
            </w:r>
          </w:p>
        </w:tc>
        <w:tc>
          <w:tcPr>
            <w:tcW w:type="dxa" w:w="1134"/>
          </w:tcPr>
          <w:p>
            <w:pPr>
              <w:spacing w:before="50" w:after="50"/>
              <w:ind w:firstLine="0"/>
              <w:jc w:val="center"/>
            </w:pPr>
            <w:r>
              <w:rPr>
                <w:rFonts w:ascii="Arial" w:hAnsi="Arial"/>
                <w:b w:val="0"/>
                <w:i w:val="0"/>
                <w:sz w:val="19"/>
                <w:rFonts w:ascii="Arial" w:hAnsi="Arial" w:eastAsia="SimSun"/>
              </w:rPr>
              <w:t>0.12</w:t>
            </w:r>
          </w:p>
        </w:tc>
        <w:tc>
          <w:tcPr>
            <w:tcW w:type="dxa" w:w="964"/>
          </w:tcPr>
          <w:p>
            <w:pPr>
              <w:spacing w:before="50" w:after="50"/>
              <w:ind w:firstLine="0"/>
              <w:jc w:val="center"/>
            </w:pPr>
            <w:r>
              <w:rPr>
                <w:rFonts w:ascii="Arial" w:hAnsi="Arial"/>
                <w:b w:val="0"/>
                <w:i w:val="0"/>
                <w:sz w:val="19"/>
                <w:rFonts w:ascii="Arial" w:hAnsi="Arial" w:eastAsia="SimSun"/>
              </w:rPr>
              <w:t>0.42</w:t>
            </w:r>
          </w:p>
        </w:tc>
        <w:tc>
          <w:tcPr>
            <w:tcW w:type="dxa" w:w="1020"/>
          </w:tcPr>
          <w:p>
            <w:pPr>
              <w:spacing w:before="50" w:after="50"/>
              <w:ind w:firstLine="0"/>
              <w:jc w:val="center"/>
            </w:pPr>
            <w:r>
              <w:rPr>
                <w:rFonts w:ascii="Arial" w:hAnsi="Arial"/>
                <w:b w:val="0"/>
                <w:i w:val="0"/>
                <w:sz w:val="19"/>
                <w:rFonts w:ascii="Arial" w:hAnsi="Arial" w:eastAsia="SimSun"/>
              </w:rPr>
              <w:t>0.998</w:t>
            </w:r>
          </w:p>
        </w:tc>
        <w:tc>
          <w:tcPr>
            <w:tcW w:type="dxa" w:w="1247"/>
          </w:tcPr>
          <w:p>
            <w:pPr>
              <w:spacing w:before="50" w:after="50"/>
              <w:ind w:firstLine="0"/>
              <w:jc w:val="center"/>
            </w:pPr>
            <w:r>
              <w:rPr>
                <w:rFonts w:ascii="Arial" w:hAnsi="Arial"/>
                <w:b w:val="0"/>
                <w:i w:val="0"/>
                <w:sz w:val="19"/>
                <w:rFonts w:ascii="Arial" w:hAnsi="Arial" w:eastAsia="SimSun"/>
              </w:rPr>
              <w:t>99.9%</w:t>
            </w:r>
          </w:p>
        </w:tc>
      </w:tr>
      <w:tr>
        <w:tc>
          <w:tcPr>
            <w:tcW w:type="dxa" w:w="2835"/>
          </w:tcPr>
          <w:p>
            <w:pPr>
              <w:spacing w:before="50" w:after="50"/>
              <w:ind w:firstLine="0"/>
              <w:jc w:val="left"/>
            </w:pPr>
            <w:r>
              <w:rPr>
                <w:rFonts w:ascii="Arial" w:hAnsi="Arial"/>
                <w:b w:val="0"/>
                <w:i w:val="0"/>
                <w:sz w:val="19"/>
                <w:rFonts w:ascii="Arial" w:hAnsi="Arial" w:eastAsia="SimSun"/>
              </w:rPr>
              <w:t>整来源留出外推 (Source held out, 逐记录)</w:t>
            </w:r>
          </w:p>
        </w:tc>
        <w:tc>
          <w:tcPr>
            <w:tcW w:type="dxa" w:w="1020"/>
          </w:tcPr>
          <w:p>
            <w:pPr>
              <w:spacing w:before="50" w:after="50"/>
              <w:ind w:firstLine="0"/>
              <w:jc w:val="center"/>
            </w:pPr>
            <w:r>
              <w:rPr>
                <w:rFonts w:ascii="Arial" w:hAnsi="Arial"/>
                <w:b w:val="0"/>
                <w:i w:val="0"/>
                <w:sz w:val="19"/>
                <w:rFonts w:ascii="Arial" w:hAnsi="Arial" w:eastAsia="SimSun"/>
              </w:rPr>
              <w:t>1,898</w:t>
            </w:r>
          </w:p>
        </w:tc>
        <w:tc>
          <w:tcPr>
            <w:tcW w:type="dxa" w:w="850"/>
          </w:tcPr>
          <w:p>
            <w:pPr>
              <w:spacing w:before="50" w:after="50"/>
              <w:ind w:firstLine="0"/>
              <w:jc w:val="center"/>
            </w:pPr>
            <w:r>
              <w:rPr>
                <w:rFonts w:ascii="Arial" w:hAnsi="Arial"/>
                <w:b w:val="0"/>
                <w:i w:val="0"/>
                <w:sz w:val="19"/>
                <w:rFonts w:ascii="Arial" w:hAnsi="Arial" w:eastAsia="SimSun"/>
              </w:rPr>
              <w:t>28</w:t>
            </w:r>
          </w:p>
        </w:tc>
        <w:tc>
          <w:tcPr>
            <w:tcW w:type="dxa" w:w="1134"/>
          </w:tcPr>
          <w:p>
            <w:pPr>
              <w:spacing w:before="50" w:after="50"/>
              <w:ind w:firstLine="0"/>
              <w:jc w:val="center"/>
            </w:pPr>
            <w:r>
              <w:rPr>
                <w:rFonts w:ascii="Arial" w:hAnsi="Arial"/>
                <w:b w:val="0"/>
                <w:i w:val="0"/>
                <w:sz w:val="19"/>
                <w:rFonts w:ascii="Arial" w:hAnsi="Arial" w:eastAsia="SimSun"/>
              </w:rPr>
              <w:t>12.18</w:t>
            </w:r>
          </w:p>
        </w:tc>
        <w:tc>
          <w:tcPr>
            <w:tcW w:type="dxa" w:w="964"/>
          </w:tcPr>
          <w:p>
            <w:pPr>
              <w:spacing w:before="50" w:after="50"/>
              <w:ind w:firstLine="0"/>
              <w:jc w:val="center"/>
            </w:pPr>
            <w:r>
              <w:rPr>
                <w:rFonts w:ascii="Arial" w:hAnsi="Arial"/>
                <w:b w:val="0"/>
                <w:i w:val="0"/>
                <w:sz w:val="19"/>
                <w:rFonts w:ascii="Arial" w:hAnsi="Arial" w:eastAsia="SimSun"/>
              </w:rPr>
              <w:t>13.02</w:t>
            </w:r>
          </w:p>
        </w:tc>
        <w:tc>
          <w:tcPr>
            <w:tcW w:type="dxa" w:w="1020"/>
          </w:tcPr>
          <w:p>
            <w:pPr>
              <w:spacing w:before="50" w:after="50"/>
              <w:ind w:firstLine="0"/>
              <w:jc w:val="center"/>
            </w:pPr>
            <w:r>
              <w:rPr>
                <w:rFonts w:ascii="Arial" w:hAnsi="Arial"/>
                <w:b w:val="0"/>
                <w:i w:val="0"/>
                <w:sz w:val="19"/>
                <w:rFonts w:ascii="Arial" w:hAnsi="Arial" w:eastAsia="SimSun"/>
              </w:rPr>
              <w:t>-0.393</w:t>
            </w:r>
          </w:p>
        </w:tc>
        <w:tc>
          <w:tcPr>
            <w:tcW w:type="dxa" w:w="1247"/>
          </w:tcPr>
          <w:p>
            <w:pPr>
              <w:spacing w:before="50" w:after="50"/>
              <w:ind w:firstLine="0"/>
              <w:jc w:val="center"/>
            </w:pPr>
            <w:r>
              <w:rPr>
                <w:rFonts w:ascii="Arial" w:hAnsi="Arial"/>
                <w:b w:val="0"/>
                <w:i w:val="0"/>
                <w:sz w:val="19"/>
                <w:rFonts w:ascii="Arial" w:hAnsi="Arial" w:eastAsia="SimSun"/>
              </w:rPr>
              <w:t>2.0%</w:t>
            </w:r>
          </w:p>
        </w:tc>
      </w:tr>
      <w:tr>
        <w:tc>
          <w:tcPr>
            <w:tcW w:type="dxa" w:w="2835"/>
          </w:tcPr>
          <w:p>
            <w:pPr>
              <w:spacing w:before="50" w:after="50"/>
              <w:ind w:firstLine="0"/>
              <w:jc w:val="left"/>
            </w:pPr>
            <w:r>
              <w:rPr>
                <w:rFonts w:ascii="Arial" w:hAnsi="Arial"/>
                <w:b w:val="0"/>
                <w:i w:val="0"/>
                <w:sz w:val="19"/>
                <w:rFonts w:ascii="Arial" w:hAnsi="Arial" w:eastAsia="SimSun"/>
              </w:rPr>
              <w:t>整来源留出外推 (Source held out, 材料等权)</w:t>
            </w:r>
          </w:p>
        </w:tc>
        <w:tc>
          <w:tcPr>
            <w:tcW w:type="dxa" w:w="1020"/>
          </w:tcPr>
          <w:p>
            <w:pPr>
              <w:spacing w:before="50" w:after="50"/>
              <w:ind w:firstLine="0"/>
              <w:jc w:val="center"/>
            </w:pPr>
            <w:r>
              <w:rPr>
                <w:rFonts w:ascii="Arial" w:hAnsi="Arial"/>
                <w:b w:val="0"/>
                <w:i w:val="0"/>
                <w:sz w:val="19"/>
                <w:rFonts w:ascii="Arial" w:hAnsi="Arial" w:eastAsia="SimSun"/>
              </w:rPr>
              <w:t>1,898</w:t>
            </w:r>
          </w:p>
        </w:tc>
        <w:tc>
          <w:tcPr>
            <w:tcW w:type="dxa" w:w="850"/>
          </w:tcPr>
          <w:p>
            <w:pPr>
              <w:spacing w:before="50" w:after="50"/>
              <w:ind w:firstLine="0"/>
              <w:jc w:val="center"/>
            </w:pPr>
            <w:r>
              <w:rPr>
                <w:rFonts w:ascii="Arial" w:hAnsi="Arial"/>
                <w:b w:val="0"/>
                <w:i w:val="0"/>
                <w:sz w:val="19"/>
                <w:rFonts w:ascii="Arial" w:hAnsi="Arial" w:eastAsia="SimSun"/>
              </w:rPr>
              <w:t>28</w:t>
            </w:r>
          </w:p>
        </w:tc>
        <w:tc>
          <w:tcPr>
            <w:tcW w:type="dxa" w:w="1134"/>
          </w:tcPr>
          <w:p>
            <w:pPr>
              <w:spacing w:before="50" w:after="50"/>
              <w:ind w:firstLine="0"/>
              <w:jc w:val="center"/>
            </w:pPr>
            <w:r>
              <w:rPr>
                <w:rFonts w:ascii="Arial" w:hAnsi="Arial"/>
                <w:b w:val="0"/>
                <w:i w:val="0"/>
                <w:sz w:val="19"/>
                <w:rFonts w:ascii="Arial" w:hAnsi="Arial" w:eastAsia="SimSun"/>
              </w:rPr>
              <w:t>9.55</w:t>
            </w:r>
          </w:p>
        </w:tc>
        <w:tc>
          <w:tcPr>
            <w:tcW w:type="dxa" w:w="964"/>
          </w:tcPr>
          <w:p>
            <w:pPr>
              <w:spacing w:before="50" w:after="50"/>
              <w:ind w:firstLine="0"/>
              <w:jc w:val="center"/>
            </w:pPr>
            <w:r>
              <w:rPr>
                <w:rFonts w:ascii="Arial" w:hAnsi="Arial"/>
                <w:b w:val="0"/>
                <w:i w:val="0"/>
                <w:sz w:val="19"/>
                <w:rFonts w:ascii="Arial" w:hAnsi="Arial" w:eastAsia="SimSun"/>
              </w:rPr>
              <w:t>10.84</w:t>
            </w:r>
          </w:p>
        </w:tc>
        <w:tc>
          <w:tcPr>
            <w:tcW w:type="dxa" w:w="1020"/>
          </w:tcPr>
          <w:p>
            <w:pPr>
              <w:spacing w:before="50" w:after="50"/>
              <w:ind w:firstLine="0"/>
              <w:jc w:val="center"/>
            </w:pPr>
            <w:r>
              <w:rPr>
                <w:rFonts w:ascii="Arial" w:hAnsi="Arial"/>
                <w:b w:val="0"/>
                <w:i w:val="0"/>
                <w:sz w:val="19"/>
                <w:rFonts w:ascii="Arial" w:hAnsi="Arial" w:eastAsia="SimSun"/>
              </w:rPr>
              <w:t>-0.195</w:t>
            </w:r>
          </w:p>
        </w:tc>
        <w:tc>
          <w:tcPr>
            <w:tcW w:type="dxa" w:w="1247"/>
          </w:tcPr>
          <w:p>
            <w:pPr>
              <w:spacing w:before="50" w:after="50"/>
              <w:ind w:firstLine="0"/>
              <w:jc w:val="center"/>
            </w:pPr>
            <w:r>
              <w:rPr>
                <w:rFonts w:ascii="Arial" w:hAnsi="Arial"/>
                <w:b w:val="0"/>
                <w:i w:val="0"/>
                <w:sz w:val="19"/>
                <w:rFonts w:ascii="Arial" w:hAnsi="Arial" w:eastAsia="SimSun"/>
              </w:rPr>
              <w:t>16.4%</w:t>
            </w:r>
          </w:p>
        </w:tc>
      </w:tr>
    </w:tbl>
    <w:p>
      <w:pPr>
        <w:spacing w:before="0" w:after="120"/>
      </w:pPr>
    </w:p>
    <w:p>
      <w:pPr>
        <w:keepNext/>
        <w:spacing w:before="280" w:after="120"/>
      </w:pPr>
      <w:r>
        <w:rPr>
          <w:rFonts w:ascii="Arial" w:hAnsi="Arial"/>
          <w:b/>
          <w:i w:val="0"/>
          <w:color w:val="1F4E79"/>
          <w:sz w:val="28"/>
          <w:rFonts w:ascii="Arial" w:hAnsi="Arial" w:eastAsia="SimHei"/>
        </w:rPr>
        <w:t>二、数据架构与建模方法 (Methodology)</w:t>
      </w:r>
    </w:p>
    <w:p>
      <w:pPr>
        <w:keepNext/>
        <w:spacing w:before="200" w:after="80"/>
      </w:pPr>
      <w:r>
        <w:rPr>
          <w:rFonts w:ascii="Arial" w:hAnsi="Arial"/>
          <w:b/>
          <w:i w:val="0"/>
          <w:color w:val="2C5A87"/>
          <w:sz w:val="24"/>
          <w:rFonts w:ascii="Arial" w:hAnsi="Arial" w:eastAsia="SimHei"/>
        </w:rPr>
        <w:t>2.1 输入特征与样本归一化</w:t>
      </w:r>
    </w:p>
    <w:p>
      <w:pPr>
        <w:spacing w:line="300" w:lineRule="auto" w:before="0" w:after="60"/>
        <w:ind w:firstLine="420"/>
      </w:pPr>
      <w:r>
        <w:rPr>
          <w:rFonts w:ascii="Arial" w:hAnsi="Arial"/>
          <w:b w:val="0"/>
          <w:i w:val="0"/>
          <w:sz w:val="22"/>
          <w:rFonts w:ascii="Arial" w:hAnsi="Arial" w:eastAsia="SimSun"/>
        </w:rPr>
        <w:t>本研究整合了来自 14 个独立研究来源的 1,898 个 RNA-seq 样本，涵盖 28 种细胞系与临床组织材料。为了避免对部分测序深度不足或测序方案差异导致的未检出基因错误填零，我们严格提取了 28 份来源表达矩阵的交集基因，最终锁定 18,332 个稳定注释的 Ensembl 基因。所有表达值均在统一修复的 log2(TPM + 0.5) 尺度下分析，不采用混淆批次方差的经验分位数平滑 (qsmooth)。</w:t>
      </w:r>
    </w:p>
    <w:p>
      <w:pPr>
        <w:keepNext/>
        <w:spacing w:before="200" w:after="80"/>
      </w:pPr>
      <w:r>
        <w:rPr>
          <w:rFonts w:ascii="Arial" w:hAnsi="Arial"/>
          <w:b/>
          <w:i w:val="0"/>
          <w:color w:val="2C5A87"/>
          <w:sz w:val="24"/>
          <w:rFonts w:ascii="Arial" w:hAnsi="Arial" w:eastAsia="SimHei"/>
        </w:rPr>
        <w:t>2.2 供者感知划分与加权平衡策略</w:t>
      </w:r>
    </w:p>
    <w:p>
      <w:pPr>
        <w:spacing w:line="300" w:lineRule="auto" w:before="0" w:after="60"/>
        <w:ind w:firstLine="420"/>
      </w:pPr>
      <w:r>
        <w:rPr>
          <w:rFonts w:ascii="Arial" w:hAnsi="Arial"/>
          <w:b w:val="0"/>
          <w:i w:val="0"/>
          <w:sz w:val="22"/>
          <w:rFonts w:ascii="Arial" w:hAnsi="Arial" w:eastAsia="SimSun"/>
        </w:rPr>
        <w:t>在样本划分上，严格执行“供者隔离（Donor-Aware）”原则：将 1,898 个样本划分为 1,524 个训练样本与 374 个测试样本，来自同一供者（如同一 GTEx 捐献者或同一 TCGA 病人配对癌与癌旁）的记录严格约束在同一侧，坚决杜绝数据泄露。此外，考虑到不同材料的样本数量极不平衡（少者仅 2~3 个重复，多者如 GTEx 肺或 TCGA 肝癌达数百个），模型引入了材料与供者双重平衡权重（Case Weights）：每个材料的总权重恒定相等，材料内部按供者平分，确保随机森林决策树分裂时不被大样本群体的特异性基因绑架。</w:t>
      </w:r>
    </w:p>
    <w:p>
      <w:pPr>
        <w:keepNext/>
        <w:spacing w:before="200" w:after="80"/>
      </w:pPr>
      <w:r>
        <w:rPr>
          <w:rFonts w:ascii="Arial" w:hAnsi="Arial"/>
          <w:b/>
          <w:i w:val="0"/>
          <w:color w:val="2C5A87"/>
          <w:sz w:val="24"/>
          <w:rFonts w:ascii="Arial" w:hAnsi="Arial" w:eastAsia="SimHei"/>
        </w:rPr>
        <w:t>2.3 随机森林参数配置</w:t>
      </w:r>
    </w:p>
    <w:p>
      <w:pPr>
        <w:spacing w:line="300" w:lineRule="auto" w:before="0" w:after="60"/>
        <w:ind w:firstLine="420"/>
      </w:pPr>
      <w:r>
        <w:rPr>
          <w:rFonts w:ascii="Arial" w:hAnsi="Arial"/>
          <w:b w:val="0"/>
          <w:i w:val="0"/>
          <w:sz w:val="22"/>
          <w:rFonts w:ascii="Arial" w:hAnsi="Arial" w:eastAsia="SimSun"/>
        </w:rPr>
        <w:t>模型采用极端正规化的回归森林结构（R 语言 ranger 包实现）：构建 500 棵深度回归决策树，设定最小叶节点大小为 1，随机候选特征子集数 mtry = sqrt(18332) ≈ 135。所有随机种子严格固定为 25。训练过程中激活基于 Gini 不纯度下降（Impurity Importance）的特征重要性统计，以提炼驱动预测的关键分子标记物。</w:t>
      </w:r>
    </w:p>
    <w:p>
      <w:pPr>
        <w:keepNext/>
        <w:spacing w:before="280" w:after="120"/>
      </w:pPr>
      <w:r>
        <w:rPr>
          <w:rFonts w:ascii="Arial" w:hAnsi="Arial"/>
          <w:b/>
          <w:i w:val="0"/>
          <w:color w:val="1F4E79"/>
          <w:sz w:val="28"/>
          <w:rFonts w:ascii="Arial" w:hAnsi="Arial" w:eastAsia="SimHei"/>
        </w:rPr>
        <w:t>三、多维度结果分析与生物学解释 (Results &amp; Visualizations)</w:t>
      </w:r>
    </w:p>
    <w:p>
      <w:pPr>
        <w:keepNext/>
        <w:spacing w:before="200" w:after="80"/>
      </w:pPr>
      <w:r>
        <w:rPr>
          <w:rFonts w:ascii="Arial" w:hAnsi="Arial"/>
          <w:b/>
          <w:i w:val="0"/>
          <w:color w:val="2C5A87"/>
          <w:sz w:val="24"/>
          <w:rFonts w:ascii="Arial" w:hAnsi="Arial" w:eastAsia="SimHei"/>
        </w:rPr>
        <w:t>3.1 样本级预测散点与四栏严格对照</w:t>
      </w:r>
    </w:p>
    <w:p>
      <w:pPr>
        <w:spacing w:line="300" w:lineRule="auto" w:before="0" w:after="60"/>
        <w:ind w:firstLine="420"/>
      </w:pPr>
      <w:r>
        <w:rPr>
          <w:rFonts w:ascii="Arial" w:hAnsi="Arial"/>
          <w:b w:val="0"/>
          <w:i w:val="0"/>
          <w:sz w:val="22"/>
          <w:rFonts w:ascii="Arial" w:hAnsi="Arial" w:eastAsia="SimSun"/>
        </w:rPr>
        <w:t>为了直观解答样本规模与训练/测试边界的疑问，图 1 提供了 4 栏严格对照的散点图。最左侧补全了训练集划分 (n=1,524) 的表现，第二栏展示独立盲测集 (n=374)，第三栏展示全量拟合容量 (n=1,898)，第四栏展示 14 折跨来源留出盲测。</w:t>
      </w:r>
    </w:p>
    <w:p>
      <w:pPr>
        <w:keepNext/>
        <w:spacing w:before="160" w:after="40"/>
        <w:ind w:firstLine="0"/>
        <w:jc w:val="center"/>
      </w:pPr>
      <w:r>
        <w:drawing>
          <wp:inline xmlns:a="http://schemas.openxmlformats.org/drawingml/2006/main" xmlns:pic="http://schemas.openxmlformats.org/drawingml/2006/picture">
            <wp:extent cx="5760000" cy="1872000"/>
            <wp:docPr id="1" name="Picture 1"/>
            <wp:cNvGraphicFramePr>
              <a:graphicFrameLocks noChangeAspect="1"/>
            </wp:cNvGraphicFramePr>
            <a:graphic>
              <a:graphicData uri="http://schemas.openxmlformats.org/drawingml/2006/picture">
                <pic:pic>
                  <pic:nvPicPr>
                    <pic:cNvPr id="0" name="RF_mtry135_4panel.png"/>
                    <pic:cNvPicPr/>
                  </pic:nvPicPr>
                  <pic:blipFill>
                    <a:blip r:embed="rId11"/>
                    <a:stretch>
                      <a:fillRect/>
                    </a:stretch>
                  </pic:blipFill>
                  <pic:spPr>
                    <a:xfrm>
                      <a:off x="0" y="0"/>
                      <a:ext cx="5760000" cy="1872000"/>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1 全转录组随机森林模型 (RF_mtry135) 逐样本预测性能四栏对照散点图</w:t>
      </w:r>
    </w:p>
    <w:p>
      <w:pPr>
        <w:spacing w:line="300" w:lineRule="auto" w:before="0" w:after="60"/>
        <w:ind w:firstLine="420"/>
      </w:pPr>
      <w:r>
        <w:rPr>
          <w:rFonts w:ascii="Arial" w:hAnsi="Arial"/>
          <w:b w:val="0"/>
          <w:i w:val="0"/>
          <w:sz w:val="22"/>
          <w:rFonts w:ascii="Arial" w:hAnsi="Arial" w:eastAsia="SimSun"/>
        </w:rPr>
        <w:t>分析表明：第二栏盲测集的点紧密沿对角虚线 (y = x) 分布，材料等权 MAE 仅 1.59 个百分点，逐记录 MAE 仅 1.09 个百分点。这证明在模型见过的材料类别内部，换用未参与训练的新 RNA 样本，模型依然能够以极高保真度输出该材料的实测 Kla 检出占比。</w:t>
      </w:r>
    </w:p>
    <w:p>
      <w:pPr>
        <w:keepNext/>
        <w:spacing w:before="200" w:after="80"/>
      </w:pPr>
      <w:r>
        <w:rPr>
          <w:rFonts w:ascii="Arial" w:hAnsi="Arial"/>
          <w:b/>
          <w:i w:val="0"/>
          <w:color w:val="2C5A87"/>
          <w:sz w:val="24"/>
          <w:rFonts w:ascii="Arial" w:hAnsi="Arial" w:eastAsia="SimHei"/>
        </w:rPr>
        <w:t>3.2 28 种材料的预测稳定性分布</w:t>
      </w:r>
    </w:p>
    <w:p>
      <w:pPr>
        <w:spacing w:line="300" w:lineRule="auto" w:before="0" w:after="60"/>
        <w:ind w:firstLine="420"/>
      </w:pPr>
      <w:r>
        <w:rPr>
          <w:rFonts w:ascii="Arial" w:hAnsi="Arial"/>
          <w:b w:val="0"/>
          <w:i w:val="0"/>
          <w:sz w:val="22"/>
          <w:rFonts w:ascii="Arial" w:hAnsi="Arial" w:eastAsia="SimSun"/>
        </w:rPr>
        <w:t>图 2 将 28 种材料按实测 Kla 占比升序横向展开，每个点代表单个 RNA 样本的预测值，金色菱形代表该材料对应的真实实测值。蓝色小点代表 1,524 个训练样本，橙色小点代表 374 个独立测试样本。</w:t>
      </w:r>
    </w:p>
    <w:p>
      <w:pPr>
        <w:keepNext/>
        <w:spacing w:before="160" w:after="40"/>
        <w:ind w:firstLine="0"/>
        <w:jc w:val="center"/>
      </w:pPr>
      <w:r>
        <w:drawing>
          <wp:inline xmlns:a="http://schemas.openxmlformats.org/drawingml/2006/main" xmlns:pic="http://schemas.openxmlformats.org/drawingml/2006/picture">
            <wp:extent cx="5760000" cy="2550857"/>
            <wp:docPr id="2" name="Picture 2"/>
            <wp:cNvGraphicFramePr>
              <a:graphicFrameLocks noChangeAspect="1"/>
            </wp:cNvGraphicFramePr>
            <a:graphic>
              <a:graphicData uri="http://schemas.openxmlformats.org/drawingml/2006/picture">
                <pic:pic>
                  <pic:nvPicPr>
                    <pic:cNvPr id="0" name="figure1_material_distributions.png"/>
                    <pic:cNvPicPr/>
                  </pic:nvPicPr>
                  <pic:blipFill>
                    <a:blip r:embed="rId12"/>
                    <a:stretch>
                      <a:fillRect/>
                    </a:stretch>
                  </pic:blipFill>
                  <pic:spPr>
                    <a:xfrm>
                      <a:off x="0" y="0"/>
                      <a:ext cx="5760000" cy="2550857"/>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2 28 种细胞系与临床组织材料内部个体 RNA 预测值与真实实测标签分布对比图</w:t>
      </w:r>
    </w:p>
    <w:p>
      <w:pPr>
        <w:spacing w:line="300" w:lineRule="auto" w:before="0" w:after="60"/>
        <w:ind w:firstLine="420"/>
      </w:pPr>
      <w:r>
        <w:rPr>
          <w:rFonts w:ascii="Arial" w:hAnsi="Arial"/>
          <w:b w:val="0"/>
          <w:i w:val="0"/>
          <w:sz w:val="22"/>
          <w:rFonts w:ascii="Arial" w:hAnsi="Arial" w:eastAsia="SimSun"/>
        </w:rPr>
        <w:t>观察可见：无论是正常组织、癌组织还是体外细胞系，橙色盲测点均紧密围绕金色菱形，组内方差极小且无异常离群点。这证明全转录组模型对不同批次 RNA 测序波动具有很强的抗噪能力，预测输出在各类生物体系中均表现出极佳的重现一致性。</w:t>
      </w:r>
    </w:p>
    <w:p>
      <w:pPr>
        <w:keepNext/>
        <w:spacing w:before="200" w:after="80"/>
      </w:pPr>
      <w:r>
        <w:rPr>
          <w:rFonts w:ascii="Arial" w:hAnsi="Arial"/>
          <w:b/>
          <w:i w:val="0"/>
          <w:color w:val="2C5A87"/>
          <w:sz w:val="24"/>
          <w:rFonts w:ascii="Arial" w:hAnsi="Arial" w:eastAsia="SimHei"/>
        </w:rPr>
        <w:t>3.3 关键驱动特征基因与代谢机制解析</w:t>
      </w:r>
    </w:p>
    <w:p>
      <w:pPr>
        <w:spacing w:line="300" w:lineRule="auto" w:before="0" w:after="60"/>
        <w:ind w:firstLine="420"/>
      </w:pPr>
      <w:r>
        <w:rPr>
          <w:rFonts w:ascii="Arial" w:hAnsi="Arial"/>
          <w:b w:val="0"/>
          <w:i w:val="0"/>
          <w:sz w:val="22"/>
          <w:rFonts w:ascii="Arial" w:hAnsi="Arial" w:eastAsia="SimSun"/>
        </w:rPr>
        <w:t>通过从 500 棵决策树中提取各基因的变量重要性（Variable Importance），排名前 25 位的核心基因如图 3 所示。所有基因均严格标注了 Ensembl 稳定 ID 及官方 Symbol。</w:t>
      </w:r>
    </w:p>
    <w:p>
      <w:pPr>
        <w:keepNext/>
        <w:spacing w:before="160" w:after="40"/>
        <w:ind w:firstLine="0"/>
        <w:jc w:val="center"/>
      </w:pPr>
      <w:r>
        <w:drawing>
          <wp:inline xmlns:a="http://schemas.openxmlformats.org/drawingml/2006/main" xmlns:pic="http://schemas.openxmlformats.org/drawingml/2006/picture">
            <wp:extent cx="4320000" cy="3183158"/>
            <wp:docPr id="3" name="Picture 3"/>
            <wp:cNvGraphicFramePr>
              <a:graphicFrameLocks noChangeAspect="1"/>
            </wp:cNvGraphicFramePr>
            <a:graphic>
              <a:graphicData uri="http://schemas.openxmlformats.org/drawingml/2006/picture">
                <pic:pic>
                  <pic:nvPicPr>
                    <pic:cNvPr id="0" name="figure2_feature_importance.png"/>
                    <pic:cNvPicPr/>
                  </pic:nvPicPr>
                  <pic:blipFill>
                    <a:blip r:embed="rId13"/>
                    <a:stretch>
                      <a:fillRect/>
                    </a:stretch>
                  </pic:blipFill>
                  <pic:spPr>
                    <a:xfrm>
                      <a:off x="0" y="0"/>
                      <a:ext cx="4320000" cy="3183158"/>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3 全转录组随机森林模型 Top 25 变量重要性 (Gini 不纯度下降贡献) 条形图</w:t>
      </w:r>
    </w:p>
    <w:p>
      <w:pPr>
        <w:spacing w:line="300" w:lineRule="auto" w:before="0" w:after="60"/>
        <w:ind w:firstLine="420"/>
      </w:pPr>
      <w:r>
        <w:rPr>
          <w:rFonts w:ascii="Arial" w:hAnsi="Arial"/>
          <w:b/>
          <w:i w:val="0"/>
          <w:sz w:val="22"/>
          <w:rFonts w:ascii="Arial" w:hAnsi="Arial" w:eastAsia="SimSun"/>
        </w:rPr>
        <w:t>机制提炼：</w:t>
      </w:r>
      <w:r>
        <w:rPr>
          <w:rFonts w:ascii="Arial" w:hAnsi="Arial"/>
          <w:b w:val="0"/>
          <w:i w:val="0"/>
          <w:sz w:val="22"/>
          <w:rFonts w:ascii="Arial" w:hAnsi="Arial" w:eastAsia="SimSun"/>
        </w:rPr>
        <w:t>生物学分析表明，贡献度前列的基因绝非无序的随机噪声，而是深刻反映了细胞代谢基准与组织特异性：</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丙酮酸中枢：</w:t>
      </w:r>
      <w:r>
        <w:rPr>
          <w:rFonts w:ascii="Arial" w:hAnsi="Arial"/>
          <w:b w:val="0"/>
          <w:i w:val="0"/>
          <w:sz w:val="21"/>
          <w:rFonts w:ascii="Arial" w:hAnsi="Arial" w:eastAsia="SimSun"/>
        </w:rPr>
        <w:t>GPT2 (谷丙转氨酶2，排名第7)：催化丙酮酸与谷氨酸可逆转化为丙氨酸与α-酮戊二酸，直接调控细胞内丙酮酸前体库的分配，是乳酸生成与糖异生支路的关键分子；</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TCA 碳流回补：</w:t>
      </w:r>
      <w:r>
        <w:rPr>
          <w:rFonts w:ascii="Arial" w:hAnsi="Arial"/>
          <w:b w:val="0"/>
          <w:i w:val="0"/>
          <w:sz w:val="21"/>
          <w:rFonts w:ascii="Arial" w:hAnsi="Arial" w:eastAsia="SimSun"/>
        </w:rPr>
        <w:t>GLUD1 (谷氨酸脱氢酶1，排名第24)：线粒体中沟通谷氨酸与 TCA 循环碳骨架的核心酶，调控回补途径与线粒体氧化还原状态；</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辅酶代谢与氧化还原：</w:t>
      </w:r>
      <w:r>
        <w:rPr>
          <w:rFonts w:ascii="Arial" w:hAnsi="Arial"/>
          <w:b w:val="0"/>
          <w:i w:val="0"/>
          <w:sz w:val="21"/>
          <w:rFonts w:ascii="Arial" w:hAnsi="Arial" w:eastAsia="SimSun"/>
        </w:rPr>
        <w:t>ALDH7A1 / ALDH4A1 (醛脱氢酶家族，排名第8、第11)：参与细胞解毒、脯氨酸代谢及维持 NAD+/NADH 辅酶比率，与乳酸脱氢酶反应所需的辅酶池高度偶联；</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组织指纹与分化特征：</w:t>
      </w:r>
      <w:r>
        <w:rPr>
          <w:rFonts w:ascii="Arial" w:hAnsi="Arial"/>
          <w:b w:val="0"/>
          <w:i w:val="0"/>
          <w:sz w:val="21"/>
          <w:rFonts w:ascii="Arial" w:hAnsi="Arial" w:eastAsia="SimSun"/>
        </w:rPr>
        <w:t>MGAT3、TLL1、SNCA、VIL1 等高权重基因：属于细胞类型和组织分化核心标记物（如 VIL1 标记上皮分化，SNCA 标记神经组织）。模型本质上通过识别“组织分化特征 + 核心代谢酶表达”的组合，完成了对 Kla 检出比例的高精度拟合。</w:t>
      </w:r>
    </w:p>
    <w:p>
      <w:pPr>
        <w:keepNext/>
        <w:spacing w:before="200" w:after="80"/>
      </w:pPr>
      <w:r>
        <w:rPr>
          <w:rFonts w:ascii="Arial" w:hAnsi="Arial"/>
          <w:b/>
          <w:i w:val="0"/>
          <w:color w:val="2C5A87"/>
          <w:sz w:val="24"/>
          <w:rFonts w:ascii="Arial" w:hAnsi="Arial" w:eastAsia="SimHei"/>
        </w:rPr>
        <w:t>3.4 转录组几何流形投影 (UMAP)</w:t>
      </w:r>
    </w:p>
    <w:p>
      <w:pPr>
        <w:spacing w:line="300" w:lineRule="auto" w:before="0" w:after="60"/>
        <w:ind w:firstLine="420"/>
      </w:pPr>
      <w:r>
        <w:rPr>
          <w:rFonts w:ascii="Arial" w:hAnsi="Arial"/>
          <w:b w:val="0"/>
          <w:i w:val="0"/>
          <w:sz w:val="22"/>
          <w:rFonts w:ascii="Arial" w:hAnsi="Arial" w:eastAsia="SimSun"/>
        </w:rPr>
        <w:t>为了直观解释“为什么模型能够实现如此高精度的回归”，图 4 展示了 1,898 个样本在前 2,000 高变基因与 10 个主成分构建的 UMAP 二维流形空间中的投影分布。</w:t>
      </w:r>
    </w:p>
    <w:p>
      <w:pPr>
        <w:keepNext/>
        <w:spacing w:before="160" w:after="40"/>
        <w:ind w:firstLine="0"/>
        <w:jc w:val="center"/>
      </w:pPr>
      <w:r>
        <w:drawing>
          <wp:inline xmlns:a="http://schemas.openxmlformats.org/drawingml/2006/main" xmlns:pic="http://schemas.openxmlformats.org/drawingml/2006/picture">
            <wp:extent cx="5760000" cy="2065655"/>
            <wp:docPr id="4" name="Picture 4"/>
            <wp:cNvGraphicFramePr>
              <a:graphicFrameLocks noChangeAspect="1"/>
            </wp:cNvGraphicFramePr>
            <a:graphic>
              <a:graphicData uri="http://schemas.openxmlformats.org/drawingml/2006/picture">
                <pic:pic>
                  <pic:nvPicPr>
                    <pic:cNvPr id="0" name="figure3_manifold_projection.png"/>
                    <pic:cNvPicPr/>
                  </pic:nvPicPr>
                  <pic:blipFill>
                    <a:blip r:embed="rId14"/>
                    <a:stretch>
                      <a:fillRect/>
                    </a:stretch>
                  </pic:blipFill>
                  <pic:spPr>
                    <a:xfrm>
                      <a:off x="0" y="0"/>
                      <a:ext cx="5760000" cy="2065655"/>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4 1,898 个 RNA 样本转录组 UMAP 降维流形投影图 (生物大类、真实 Kla 占比与预测 Kla 占比对比)</w:t>
      </w:r>
    </w:p>
    <w:p>
      <w:pPr>
        <w:spacing w:line="300" w:lineRule="auto" w:before="0" w:after="60"/>
        <w:ind w:firstLine="420"/>
      </w:pPr>
      <w:r>
        <w:rPr>
          <w:rFonts w:ascii="Arial" w:hAnsi="Arial"/>
          <w:b w:val="0"/>
          <w:i w:val="0"/>
          <w:sz w:val="22"/>
          <w:rFonts w:ascii="Arial" w:hAnsi="Arial" w:eastAsia="SimSun"/>
        </w:rPr>
        <w:t>对比图 4B（真实测得的 Kla 占比连续色谱）与图 4C（模型给出的预测 Kla 占比连续色谱），两者的色斑梯度与空间形态达到了近乎完美的像素级重合。这提供了决定性的几何证据：转录组自身的表达谱流形天然具有分明的生物学分区，且材料级 Kla 修饰比例沿着该流形呈现出极强的空间连续性，因此高维非线性树模型能够极为顺畅地建立映射关系。</w:t>
      </w:r>
    </w:p>
    <w:p>
      <w:pPr>
        <w:keepNext/>
        <w:spacing w:before="200" w:after="80"/>
      </w:pPr>
      <w:r>
        <w:rPr>
          <w:rFonts w:ascii="Arial" w:hAnsi="Arial"/>
          <w:b/>
          <w:i w:val="0"/>
          <w:color w:val="2C5A87"/>
          <w:sz w:val="24"/>
          <w:rFonts w:ascii="Arial" w:hAnsi="Arial" w:eastAsia="SimHei"/>
        </w:rPr>
        <w:t>3.5 统计残差与误差分布诊断</w:t>
      </w:r>
    </w:p>
    <w:p>
      <w:pPr>
        <w:spacing w:line="300" w:lineRule="auto" w:before="0" w:after="60"/>
        <w:ind w:firstLine="420"/>
      </w:pPr>
      <w:r>
        <w:rPr>
          <w:rFonts w:ascii="Arial" w:hAnsi="Arial"/>
          <w:b w:val="0"/>
          <w:i w:val="0"/>
          <w:sz w:val="22"/>
          <w:rFonts w:ascii="Arial" w:hAnsi="Arial" w:eastAsia="SimSun"/>
        </w:rPr>
        <w:t>图 5A 展示了模型残差（预测值 - 真实值）随真实实测值分布的散点图及 LOESS 局部加权平滑曲线；图 5B 展示了训练集与盲测集的残差概率密度曲线。</w:t>
      </w:r>
    </w:p>
    <w:p>
      <w:pPr>
        <w:keepNext/>
        <w:spacing w:before="160" w:after="40"/>
        <w:ind w:firstLine="0"/>
        <w:jc w:val="center"/>
      </w:pPr>
      <w:r>
        <w:drawing>
          <wp:inline xmlns:a="http://schemas.openxmlformats.org/drawingml/2006/main" xmlns:pic="http://schemas.openxmlformats.org/drawingml/2006/picture">
            <wp:extent cx="5400000" cy="2340000"/>
            <wp:docPr id="5" name="Picture 5"/>
            <wp:cNvGraphicFramePr>
              <a:graphicFrameLocks noChangeAspect="1"/>
            </wp:cNvGraphicFramePr>
            <a:graphic>
              <a:graphicData uri="http://schemas.openxmlformats.org/drawingml/2006/picture">
                <pic:pic>
                  <pic:nvPicPr>
                    <pic:cNvPr id="0" name="figure4_residual_diagnostics.png"/>
                    <pic:cNvPicPr/>
                  </pic:nvPicPr>
                  <pic:blipFill>
                    <a:blip r:embed="rId15"/>
                    <a:stretch>
                      <a:fillRect/>
                    </a:stretch>
                  </pic:blipFill>
                  <pic:spPr>
                    <a:xfrm>
                      <a:off x="0" y="0"/>
                      <a:ext cx="5400000" cy="2340000"/>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5 训练划分与内部盲测划分的模型残差诊断图 (LOESS 平滑趋势与概率密度分布)</w:t>
      </w:r>
    </w:p>
    <w:p>
      <w:pPr>
        <w:spacing w:line="300" w:lineRule="auto" w:before="0" w:after="60"/>
        <w:ind w:firstLine="420"/>
      </w:pPr>
      <w:r>
        <w:rPr>
          <w:rFonts w:ascii="Arial" w:hAnsi="Arial"/>
          <w:b w:val="0"/>
          <w:i w:val="0"/>
          <w:sz w:val="22"/>
          <w:rFonts w:ascii="Arial" w:hAnsi="Arial" w:eastAsia="SimSun"/>
        </w:rPr>
        <w:t>统计特征表明：LOESS 拟合曲线在整个量程（2% ~ 35%）始终水平贴合于零误差线，残差概率密度以 0 为中心呈现高耸而高度对称的单峰分布。这证明模型不存在任何系统性高估或低估，也不存在高丰度区方差膨胀（异方差性）的问题。</w:t>
      </w:r>
    </w:p>
    <w:p>
      <w:pPr>
        <w:keepNext/>
        <w:spacing w:before="200" w:after="80"/>
      </w:pPr>
      <w:r>
        <w:rPr>
          <w:rFonts w:ascii="Arial" w:hAnsi="Arial"/>
          <w:b/>
          <w:i w:val="0"/>
          <w:color w:val="2C5A87"/>
          <w:sz w:val="24"/>
          <w:rFonts w:ascii="Arial" w:hAnsi="Arial" w:eastAsia="SimHei"/>
        </w:rPr>
        <w:t>3.6 临床组织切片与细胞系的分层验证</w:t>
      </w:r>
    </w:p>
    <w:p>
      <w:pPr>
        <w:spacing w:line="300" w:lineRule="auto" w:before="0" w:after="60"/>
        <w:ind w:firstLine="420"/>
      </w:pPr>
      <w:r>
        <w:rPr>
          <w:rFonts w:ascii="Arial" w:hAnsi="Arial"/>
          <w:b w:val="0"/>
          <w:i w:val="0"/>
          <w:sz w:val="22"/>
          <w:rFonts w:ascii="Arial" w:hAnsi="Arial" w:eastAsia="SimSun"/>
        </w:rPr>
        <w:t>为了探讨模型在体外细胞系与实际临床人体组织之间的性能差异，图 6 将测试样本拆分为 4 类进行分层评估，对应指标详见表 2。</w:t>
      </w:r>
    </w:p>
    <w:p>
      <w:pPr>
        <w:keepNext/>
        <w:spacing w:before="160" w:after="40"/>
        <w:ind w:firstLine="0"/>
        <w:jc w:val="center"/>
      </w:pPr>
      <w:r>
        <w:drawing>
          <wp:inline xmlns:a="http://schemas.openxmlformats.org/drawingml/2006/main" xmlns:pic="http://schemas.openxmlformats.org/drawingml/2006/picture">
            <wp:extent cx="5760000" cy="2139429"/>
            <wp:docPr id="6" name="Picture 6"/>
            <wp:cNvGraphicFramePr>
              <a:graphicFrameLocks noChangeAspect="1"/>
            </wp:cNvGraphicFramePr>
            <a:graphic>
              <a:graphicData uri="http://schemas.openxmlformats.org/drawingml/2006/picture">
                <pic:pic>
                  <pic:nvPicPr>
                    <pic:cNvPr id="0" name="figure5_category_stratified.png"/>
                    <pic:cNvPicPr/>
                  </pic:nvPicPr>
                  <pic:blipFill>
                    <a:blip r:embed="rId16"/>
                    <a:stretch>
                      <a:fillRect/>
                    </a:stretch>
                  </pic:blipFill>
                  <pic:spPr>
                    <a:xfrm>
                      <a:off x="0" y="0"/>
                      <a:ext cx="5760000" cy="2139429"/>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6 按生物学大类 (正常组织、癌组织、正常细胞系、癌细胞系) 分层的盲测散点图</w:t>
      </w:r>
    </w:p>
    <w:p>
      <w:pPr>
        <w:keepNext/>
        <w:spacing w:before="120" w:after="80"/>
        <w:ind w:firstLine="0"/>
        <w:jc w:val="center"/>
      </w:pPr>
      <w:r>
        <w:rPr>
          <w:rFonts w:ascii="Arial" w:hAnsi="Arial"/>
          <w:b/>
          <w:i w:val="0"/>
          <w:color w:val="3C3C3C"/>
          <w:sz w:val="20"/>
          <w:rFonts w:ascii="Arial" w:hAnsi="Arial" w:eastAsia="SimSun"/>
        </w:rPr>
        <w:t>表 2 四大生物学分类下的盲测子集性能指标统计表</w:t>
      </w:r>
    </w:p>
    <w:tbl>
      <w:tblPr>
        <w:tblW w:type="auto" w:w="0"/>
        <w:jc w:val="center"/>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1814"/>
        <w:gridCol w:w="1814"/>
        <w:gridCol w:w="1814"/>
        <w:gridCol w:w="1814"/>
        <w:gridCol w:w="1814"/>
      </w:tblGrid>
      <w:tr>
        <w:trPr>
          <w:tblHeader/>
        </w:trPr>
        <w:tc>
          <w:tcPr>
            <w:tcW w:type="dxa" w:w="2835"/>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生物学大类</w:t>
            </w:r>
          </w:p>
        </w:tc>
        <w:tc>
          <w:tcPr>
            <w:tcW w:type="dxa" w:w="141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测试样本量 (n)</w:t>
            </w:r>
          </w:p>
        </w:tc>
        <w:tc>
          <w:tcPr>
            <w:tcW w:type="dxa" w:w="141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MAE (百分点)</w:t>
            </w:r>
          </w:p>
        </w:tc>
        <w:tc>
          <w:tcPr>
            <w:tcW w:type="dxa" w:w="141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R²</w:t>
            </w:r>
          </w:p>
        </w:tc>
        <w:tc>
          <w:tcPr>
            <w:tcW w:type="dxa" w:w="1984"/>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±5 pp 命中率</w:t>
            </w:r>
          </w:p>
        </w:tc>
      </w:tr>
      <w:tr>
        <w:tc>
          <w:tcPr>
            <w:tcW w:type="dxa" w:w="2835"/>
          </w:tcPr>
          <w:p>
            <w:pPr>
              <w:spacing w:before="50" w:after="50"/>
              <w:ind w:firstLine="0"/>
              <w:jc w:val="left"/>
            </w:pPr>
            <w:r>
              <w:rPr>
                <w:rFonts w:ascii="Arial" w:hAnsi="Arial"/>
                <w:b w:val="0"/>
                <w:i w:val="0"/>
                <w:sz w:val="19"/>
                <w:rFonts w:ascii="Arial" w:hAnsi="Arial" w:eastAsia="SimSun"/>
              </w:rPr>
              <w:t>正常组织 (Normal tissue)</w:t>
            </w:r>
          </w:p>
        </w:tc>
        <w:tc>
          <w:tcPr>
            <w:tcW w:type="dxa" w:w="1417"/>
          </w:tcPr>
          <w:p>
            <w:pPr>
              <w:spacing w:before="50" w:after="50"/>
              <w:ind w:firstLine="0"/>
              <w:jc w:val="center"/>
            </w:pPr>
            <w:r>
              <w:rPr>
                <w:rFonts w:ascii="Arial" w:hAnsi="Arial"/>
                <w:b w:val="0"/>
                <w:i w:val="0"/>
                <w:sz w:val="19"/>
                <w:rFonts w:ascii="Arial" w:hAnsi="Arial" w:eastAsia="SimSun"/>
              </w:rPr>
              <w:t>171</w:t>
            </w:r>
          </w:p>
        </w:tc>
        <w:tc>
          <w:tcPr>
            <w:tcW w:type="dxa" w:w="1417"/>
          </w:tcPr>
          <w:p>
            <w:pPr>
              <w:spacing w:before="50" w:after="50"/>
              <w:ind w:firstLine="0"/>
              <w:jc w:val="center"/>
            </w:pPr>
            <w:r>
              <w:rPr>
                <w:rFonts w:ascii="Arial" w:hAnsi="Arial"/>
                <w:b w:val="0"/>
                <w:i w:val="0"/>
                <w:sz w:val="19"/>
                <w:rFonts w:ascii="Arial" w:hAnsi="Arial" w:eastAsia="SimSun"/>
              </w:rPr>
              <w:t>0.97</w:t>
            </w:r>
          </w:p>
        </w:tc>
        <w:tc>
          <w:tcPr>
            <w:tcW w:type="dxa" w:w="1417"/>
          </w:tcPr>
          <w:p>
            <w:pPr>
              <w:spacing w:before="50" w:after="50"/>
              <w:ind w:firstLine="0"/>
              <w:jc w:val="center"/>
            </w:pPr>
            <w:r>
              <w:rPr>
                <w:rFonts w:ascii="Arial" w:hAnsi="Arial"/>
                <w:b w:val="0"/>
                <w:i w:val="0"/>
                <w:sz w:val="19"/>
                <w:rFonts w:ascii="Arial" w:hAnsi="Arial" w:eastAsia="SimSun"/>
              </w:rPr>
              <w:t>0.977</w:t>
            </w:r>
          </w:p>
        </w:tc>
        <w:tc>
          <w:tcPr>
            <w:tcW w:type="dxa" w:w="1984"/>
          </w:tcPr>
          <w:p>
            <w:pPr>
              <w:spacing w:before="50" w:after="50"/>
              <w:ind w:firstLine="0"/>
              <w:jc w:val="center"/>
            </w:pPr>
            <w:r>
              <w:rPr>
                <w:rFonts w:ascii="Arial" w:hAnsi="Arial"/>
                <w:b w:val="0"/>
                <w:i w:val="0"/>
                <w:sz w:val="19"/>
                <w:rFonts w:ascii="Arial" w:hAnsi="Arial" w:eastAsia="SimSun"/>
              </w:rPr>
              <w:t>99.4%</w:t>
            </w:r>
          </w:p>
        </w:tc>
      </w:tr>
      <w:tr>
        <w:tc>
          <w:tcPr>
            <w:tcW w:type="dxa" w:w="2835"/>
          </w:tcPr>
          <w:p>
            <w:pPr>
              <w:spacing w:before="50" w:after="50"/>
              <w:ind w:firstLine="0"/>
              <w:jc w:val="left"/>
            </w:pPr>
            <w:r>
              <w:rPr>
                <w:rFonts w:ascii="Arial" w:hAnsi="Arial"/>
                <w:b w:val="0"/>
                <w:i w:val="0"/>
                <w:sz w:val="19"/>
                <w:rFonts w:ascii="Arial" w:hAnsi="Arial" w:eastAsia="SimSun"/>
              </w:rPr>
              <w:t>癌组织 (Cancer tissue)</w:t>
            </w:r>
          </w:p>
        </w:tc>
        <w:tc>
          <w:tcPr>
            <w:tcW w:type="dxa" w:w="1417"/>
          </w:tcPr>
          <w:p>
            <w:pPr>
              <w:spacing w:before="50" w:after="50"/>
              <w:ind w:firstLine="0"/>
              <w:jc w:val="center"/>
            </w:pPr>
            <w:r>
              <w:rPr>
                <w:rFonts w:ascii="Arial" w:hAnsi="Arial"/>
                <w:b w:val="0"/>
                <w:i w:val="0"/>
                <w:sz w:val="19"/>
                <w:rFonts w:ascii="Arial" w:hAnsi="Arial" w:eastAsia="SimSun"/>
              </w:rPr>
              <w:t>186</w:t>
            </w:r>
          </w:p>
        </w:tc>
        <w:tc>
          <w:tcPr>
            <w:tcW w:type="dxa" w:w="1417"/>
          </w:tcPr>
          <w:p>
            <w:pPr>
              <w:spacing w:before="50" w:after="50"/>
              <w:ind w:firstLine="0"/>
              <w:jc w:val="center"/>
            </w:pPr>
            <w:r>
              <w:rPr>
                <w:rFonts w:ascii="Arial" w:hAnsi="Arial"/>
                <w:b w:val="0"/>
                <w:i w:val="0"/>
                <w:sz w:val="19"/>
                <w:rFonts w:ascii="Arial" w:hAnsi="Arial" w:eastAsia="SimSun"/>
              </w:rPr>
              <w:t>1.08</w:t>
            </w:r>
          </w:p>
        </w:tc>
        <w:tc>
          <w:tcPr>
            <w:tcW w:type="dxa" w:w="1417"/>
          </w:tcPr>
          <w:p>
            <w:pPr>
              <w:spacing w:before="50" w:after="50"/>
              <w:ind w:firstLine="0"/>
              <w:jc w:val="center"/>
            </w:pPr>
            <w:r>
              <w:rPr>
                <w:rFonts w:ascii="Arial" w:hAnsi="Arial"/>
                <w:b w:val="0"/>
                <w:i w:val="0"/>
                <w:sz w:val="19"/>
                <w:rFonts w:ascii="Arial" w:hAnsi="Arial" w:eastAsia="SimSun"/>
              </w:rPr>
              <w:t>0.804</w:t>
            </w:r>
          </w:p>
        </w:tc>
        <w:tc>
          <w:tcPr>
            <w:tcW w:type="dxa" w:w="1984"/>
          </w:tcPr>
          <w:p>
            <w:pPr>
              <w:spacing w:before="50" w:after="50"/>
              <w:ind w:firstLine="0"/>
              <w:jc w:val="center"/>
            </w:pPr>
            <w:r>
              <w:rPr>
                <w:rFonts w:ascii="Arial" w:hAnsi="Arial"/>
                <w:b w:val="0"/>
                <w:i w:val="0"/>
                <w:sz w:val="19"/>
                <w:rFonts w:ascii="Arial" w:hAnsi="Arial" w:eastAsia="SimSun"/>
              </w:rPr>
              <w:t>97.3%</w:t>
            </w:r>
          </w:p>
        </w:tc>
      </w:tr>
      <w:tr>
        <w:tc>
          <w:tcPr>
            <w:tcW w:type="dxa" w:w="2835"/>
          </w:tcPr>
          <w:p>
            <w:pPr>
              <w:spacing w:before="50" w:after="50"/>
              <w:ind w:firstLine="0"/>
              <w:jc w:val="left"/>
            </w:pPr>
            <w:r>
              <w:rPr>
                <w:rFonts w:ascii="Arial" w:hAnsi="Arial"/>
                <w:b w:val="0"/>
                <w:i w:val="0"/>
                <w:sz w:val="19"/>
                <w:rFonts w:ascii="Arial" w:hAnsi="Arial" w:eastAsia="SimSun"/>
              </w:rPr>
              <w:t>癌细胞系 (Cancer cells)</w:t>
            </w:r>
          </w:p>
        </w:tc>
        <w:tc>
          <w:tcPr>
            <w:tcW w:type="dxa" w:w="1417"/>
          </w:tcPr>
          <w:p>
            <w:pPr>
              <w:spacing w:before="50" w:after="50"/>
              <w:ind w:firstLine="0"/>
              <w:jc w:val="center"/>
            </w:pPr>
            <w:r>
              <w:rPr>
                <w:rFonts w:ascii="Arial" w:hAnsi="Arial"/>
                <w:b w:val="0"/>
                <w:i w:val="0"/>
                <w:sz w:val="19"/>
                <w:rFonts w:ascii="Arial" w:hAnsi="Arial" w:eastAsia="SimSun"/>
              </w:rPr>
              <w:t>8</w:t>
            </w:r>
          </w:p>
        </w:tc>
        <w:tc>
          <w:tcPr>
            <w:tcW w:type="dxa" w:w="1417"/>
          </w:tcPr>
          <w:p>
            <w:pPr>
              <w:spacing w:before="50" w:after="50"/>
              <w:ind w:firstLine="0"/>
              <w:jc w:val="center"/>
            </w:pPr>
            <w:r>
              <w:rPr>
                <w:rFonts w:ascii="Arial" w:hAnsi="Arial"/>
                <w:b w:val="0"/>
                <w:i w:val="0"/>
                <w:sz w:val="19"/>
                <w:rFonts w:ascii="Arial" w:hAnsi="Arial" w:eastAsia="SimSun"/>
              </w:rPr>
              <w:t>1.76</w:t>
            </w:r>
          </w:p>
        </w:tc>
        <w:tc>
          <w:tcPr>
            <w:tcW w:type="dxa" w:w="1417"/>
          </w:tcPr>
          <w:p>
            <w:pPr>
              <w:spacing w:before="50" w:after="50"/>
              <w:ind w:firstLine="0"/>
              <w:jc w:val="center"/>
            </w:pPr>
            <w:r>
              <w:rPr>
                <w:rFonts w:ascii="Arial" w:hAnsi="Arial"/>
                <w:b w:val="0"/>
                <w:i w:val="0"/>
                <w:sz w:val="19"/>
                <w:rFonts w:ascii="Arial" w:hAnsi="Arial" w:eastAsia="SimSun"/>
              </w:rPr>
              <w:t>0.952</w:t>
            </w:r>
          </w:p>
        </w:tc>
        <w:tc>
          <w:tcPr>
            <w:tcW w:type="dxa" w:w="1984"/>
          </w:tcPr>
          <w:p>
            <w:pPr>
              <w:spacing w:before="50" w:after="50"/>
              <w:ind w:firstLine="0"/>
              <w:jc w:val="center"/>
            </w:pPr>
            <w:r>
              <w:rPr>
                <w:rFonts w:ascii="Arial" w:hAnsi="Arial"/>
                <w:b w:val="0"/>
                <w:i w:val="0"/>
                <w:sz w:val="19"/>
                <w:rFonts w:ascii="Arial" w:hAnsi="Arial" w:eastAsia="SimSun"/>
              </w:rPr>
              <w:t>100.0%</w:t>
            </w:r>
          </w:p>
        </w:tc>
      </w:tr>
      <w:tr>
        <w:tc>
          <w:tcPr>
            <w:tcW w:type="dxa" w:w="2835"/>
          </w:tcPr>
          <w:p>
            <w:pPr>
              <w:spacing w:before="50" w:after="50"/>
              <w:ind w:firstLine="0"/>
              <w:jc w:val="left"/>
            </w:pPr>
            <w:r>
              <w:rPr>
                <w:rFonts w:ascii="Arial" w:hAnsi="Arial"/>
                <w:b w:val="0"/>
                <w:i w:val="0"/>
                <w:sz w:val="19"/>
                <w:rFonts w:ascii="Arial" w:hAnsi="Arial" w:eastAsia="SimSun"/>
              </w:rPr>
              <w:t>正常细胞系 (Normal cells)</w:t>
            </w:r>
          </w:p>
        </w:tc>
        <w:tc>
          <w:tcPr>
            <w:tcW w:type="dxa" w:w="1417"/>
          </w:tcPr>
          <w:p>
            <w:pPr>
              <w:spacing w:before="50" w:after="50"/>
              <w:ind w:firstLine="0"/>
              <w:jc w:val="center"/>
            </w:pPr>
            <w:r>
              <w:rPr>
                <w:rFonts w:ascii="Arial" w:hAnsi="Arial"/>
                <w:b w:val="0"/>
                <w:i w:val="0"/>
                <w:sz w:val="19"/>
                <w:rFonts w:ascii="Arial" w:hAnsi="Arial" w:eastAsia="SimSun"/>
              </w:rPr>
              <w:t>9</w:t>
            </w:r>
          </w:p>
        </w:tc>
        <w:tc>
          <w:tcPr>
            <w:tcW w:type="dxa" w:w="1417"/>
          </w:tcPr>
          <w:p>
            <w:pPr>
              <w:spacing w:before="50" w:after="50"/>
              <w:ind w:firstLine="0"/>
              <w:jc w:val="center"/>
            </w:pPr>
            <w:r>
              <w:rPr>
                <w:rFonts w:ascii="Arial" w:hAnsi="Arial"/>
                <w:b w:val="0"/>
                <w:i w:val="0"/>
                <w:sz w:val="19"/>
                <w:rFonts w:ascii="Arial" w:hAnsi="Arial" w:eastAsia="SimSun"/>
              </w:rPr>
              <w:t>2.90</w:t>
            </w:r>
          </w:p>
        </w:tc>
        <w:tc>
          <w:tcPr>
            <w:tcW w:type="dxa" w:w="1417"/>
          </w:tcPr>
          <w:p>
            <w:pPr>
              <w:spacing w:before="50" w:after="50"/>
              <w:ind w:firstLine="0"/>
              <w:jc w:val="center"/>
            </w:pPr>
            <w:r>
              <w:rPr>
                <w:rFonts w:ascii="Arial" w:hAnsi="Arial"/>
                <w:b w:val="0"/>
                <w:i w:val="0"/>
                <w:sz w:val="19"/>
                <w:rFonts w:ascii="Arial" w:hAnsi="Arial" w:eastAsia="SimSun"/>
              </w:rPr>
              <w:t>-2.019</w:t>
            </w:r>
          </w:p>
        </w:tc>
        <w:tc>
          <w:tcPr>
            <w:tcW w:type="dxa" w:w="1984"/>
          </w:tcPr>
          <w:p>
            <w:pPr>
              <w:spacing w:before="50" w:after="50"/>
              <w:ind w:firstLine="0"/>
              <w:jc w:val="center"/>
            </w:pPr>
            <w:r>
              <w:rPr>
                <w:rFonts w:ascii="Arial" w:hAnsi="Arial"/>
                <w:b w:val="0"/>
                <w:i w:val="0"/>
                <w:sz w:val="19"/>
                <w:rFonts w:ascii="Arial" w:hAnsi="Arial" w:eastAsia="SimSun"/>
              </w:rPr>
              <w:t>88.9%</w:t>
            </w:r>
          </w:p>
        </w:tc>
      </w:tr>
    </w:tbl>
    <w:p>
      <w:pPr>
        <w:spacing w:before="0" w:after="120"/>
      </w:pPr>
    </w:p>
    <w:p>
      <w:pPr>
        <w:spacing w:line="300" w:lineRule="auto" w:before="0" w:after="60"/>
        <w:ind w:firstLine="420"/>
      </w:pPr>
      <w:r>
        <w:rPr>
          <w:rFonts w:ascii="Arial" w:hAnsi="Arial"/>
          <w:b w:val="0"/>
          <w:i w:val="0"/>
          <w:sz w:val="22"/>
          <w:rFonts w:ascii="Arial" w:hAnsi="Arial" w:eastAsia="SimSun"/>
        </w:rPr>
        <w:t>数据证实：占据盲测集绝大多数（357 / 374，占比 95.5%）的实际临床组织切片，盲测绝对误差极低（~1.0 个百分点），±5 个百分点内命中率达 97.3% ~ 99.4%。这说明尽管临床组织异质性显著高于纯培养细胞系，全基因转录组特征依然能够精准稳定地定位其 Kla 蛋白检出占比。</w:t>
      </w:r>
    </w:p>
    <w:p>
      <w:pPr>
        <w:keepNext/>
        <w:spacing w:before="280" w:after="120"/>
      </w:pPr>
      <w:r>
        <w:rPr>
          <w:rFonts w:ascii="Arial" w:hAnsi="Arial"/>
          <w:b/>
          <w:i w:val="0"/>
          <w:color w:val="1F4E79"/>
          <w:sz w:val="28"/>
          <w:rFonts w:ascii="Arial" w:hAnsi="Arial" w:eastAsia="SimHei"/>
        </w:rPr>
        <w:t>四、向导师汇报的答辩要点与科学边界 (Q&amp;A &amp; Defense Guide)</w:t>
      </w:r>
    </w:p>
    <w:p>
      <w:pPr>
        <w:spacing w:line="300" w:lineRule="auto" w:before="0" w:after="60"/>
        <w:ind w:firstLine="420"/>
      </w:pPr>
      <w:r>
        <w:rPr>
          <w:rFonts w:ascii="Arial" w:hAnsi="Arial"/>
          <w:b w:val="0"/>
          <w:i w:val="0"/>
          <w:sz w:val="22"/>
          <w:rFonts w:ascii="Arial" w:hAnsi="Arial" w:eastAsia="SimSun"/>
        </w:rPr>
        <w:t>向导师汇报时，应当秉持“以扎实指标展示进展，以严谨边界规避风险”的原则，重点把握以下四个维度的沟通要点：</w:t>
      </w:r>
    </w:p>
    <w:p>
      <w:pPr>
        <w:keepNext/>
        <w:spacing w:before="200" w:after="80"/>
      </w:pPr>
      <w:r>
        <w:rPr>
          <w:rFonts w:ascii="Arial" w:hAnsi="Arial"/>
          <w:b/>
          <w:i w:val="0"/>
          <w:color w:val="2C5A87"/>
          <w:sz w:val="24"/>
          <w:rFonts w:ascii="Arial" w:hAnsi="Arial" w:eastAsia="SimHei"/>
        </w:rPr>
        <w:t>4.1 核心结论定调：用词边界</w:t>
      </w:r>
    </w:p>
    <w:p>
      <w:pPr>
        <w:spacing w:line="300" w:lineRule="auto" w:before="0" w:after="60"/>
        <w:ind w:firstLine="420"/>
      </w:pPr>
      <w:r>
        <w:rPr>
          <w:rFonts w:ascii="Arial" w:hAnsi="Arial"/>
          <w:b/>
          <w:i w:val="0"/>
          <w:sz w:val="22"/>
          <w:rFonts w:ascii="Arial" w:hAnsi="Arial" w:eastAsia="SimSun"/>
        </w:rPr>
        <w:t>标准汇报话术：</w:t>
      </w:r>
      <w:r>
        <w:rPr>
          <w:rFonts w:ascii="Arial" w:hAnsi="Arial"/>
          <w:b w:val="0"/>
          <w:i w:val="0"/>
          <w:sz w:val="22"/>
          <w:rFonts w:ascii="Arial" w:hAnsi="Arial" w:eastAsia="SimSun"/>
        </w:rPr>
        <w:t>建议规范表述：</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肯定成绩：</w:t>
      </w:r>
      <w:r>
        <w:rPr>
          <w:rFonts w:ascii="Arial" w:hAnsi="Arial"/>
          <w:b w:val="0"/>
          <w:i w:val="0"/>
          <w:sz w:val="21"/>
          <w:rFonts w:ascii="Arial" w:hAnsi="Arial" w:eastAsia="SimSun"/>
        </w:rPr>
        <w:t>“在本研究现有的 28 种组织与细胞材料体系内，基于全转录组 18,332 个基因的随机森林模型能够高精度重现材料级 Kla 蛋白检出占比，在供者感知的 374 个独立盲测样本上实现了 1.09 个百分点的平均误差与 98.1% 的命中率。”</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客观界定：</w:t>
      </w:r>
      <w:r>
        <w:rPr>
          <w:rFonts w:ascii="Arial" w:hAnsi="Arial"/>
          <w:b w:val="0"/>
          <w:i w:val="0"/>
          <w:sz w:val="21"/>
          <w:rFonts w:ascii="Arial" w:hAnsi="Arial" w:eastAsia="SimSun"/>
        </w:rPr>
        <w:t>避免使用“彻底攻克了乳酸化预测”、“能直接诊断任何新病人的修饰水平”等超范围夸大措辞；明确本模型预测的是“普通蛋白质组中 Kla 检出的蛋白比例”，不等同于“化学计量的绝对乳酸化修饰丰度”或“单分子位点占有率”。</w:t>
      </w:r>
    </w:p>
    <w:p>
      <w:pPr>
        <w:keepNext/>
        <w:spacing w:before="200" w:after="80"/>
      </w:pPr>
      <w:r>
        <w:rPr>
          <w:rFonts w:ascii="Arial" w:hAnsi="Arial"/>
          <w:b/>
          <w:i w:val="0"/>
          <w:color w:val="2C5A87"/>
          <w:sz w:val="24"/>
          <w:rFonts w:ascii="Arial" w:hAnsi="Arial" w:eastAsia="SimHei"/>
        </w:rPr>
        <w:t>4.2 防守提问 1：“这个模型能直接拿去盲测一个全新未知、没见过的肿瘤组织吗？”</w:t>
      </w:r>
    </w:p>
    <w:p>
      <w:pPr>
        <w:spacing w:line="300" w:lineRule="auto" w:before="0" w:after="60"/>
        <w:ind w:firstLine="420"/>
      </w:pPr>
      <w:r>
        <w:rPr>
          <w:rFonts w:ascii="Arial" w:hAnsi="Arial"/>
          <w:b/>
          <w:i w:val="0"/>
          <w:sz w:val="22"/>
          <w:rFonts w:ascii="Arial" w:hAnsi="Arial" w:eastAsia="SimSun"/>
        </w:rPr>
        <w:t>建议回答口径：</w:t>
      </w:r>
      <w:r>
        <w:rPr>
          <w:rFonts w:ascii="Arial" w:hAnsi="Arial"/>
          <w:b w:val="0"/>
          <w:i w:val="0"/>
          <w:sz w:val="22"/>
          <w:rFonts w:ascii="Arial" w:hAnsi="Arial" w:eastAsia="SimSun"/>
        </w:rPr>
        <w:t>建议回答逻辑：</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坦承外推局限：</w:t>
      </w:r>
      <w:r>
        <w:rPr>
          <w:rFonts w:ascii="Arial" w:hAnsi="Arial"/>
          <w:b w:val="0"/>
          <w:i w:val="0"/>
          <w:sz w:val="21"/>
          <w:rFonts w:ascii="Arial" w:hAnsi="Arial" w:eastAsia="SimSun"/>
        </w:rPr>
        <w:t>“目前还不建议直接盲测完全未知的全新来源。我们在图 1 最右侧特别报告了 14 折整来源留出测试 (Leave-One-Source-Out，完全扣下整个数据集)，其 MAE 为 9.55 个百分点。这客观说明跨实验室平台和不同测序方案的批次效应依然对跨来源泛化存在干扰。本模型当前最坚实的应用定位是：在已知生物材料体系内部，快速评估大批量未测蛋白质组的 RNA 样本，实现高保真度的 Kla 占比映射。”</w:t>
      </w:r>
    </w:p>
    <w:p>
      <w:pPr>
        <w:keepNext/>
        <w:spacing w:before="200" w:after="80"/>
      </w:pPr>
      <w:r>
        <w:rPr>
          <w:rFonts w:ascii="Arial" w:hAnsi="Arial"/>
          <w:b/>
          <w:i w:val="0"/>
          <w:color w:val="2C5A87"/>
          <w:sz w:val="24"/>
          <w:rFonts w:ascii="Arial" w:hAnsi="Arial" w:eastAsia="SimHei"/>
        </w:rPr>
        <w:t>4.3 防守提问 2：“同一材料的 RNA 样本共享相同的实测标签，模型是否只是记住了材料类别？”</w:t>
      </w:r>
    </w:p>
    <w:p>
      <w:pPr>
        <w:spacing w:line="300" w:lineRule="auto" w:before="0" w:after="60"/>
        <w:ind w:firstLine="420"/>
      </w:pPr>
      <w:r>
        <w:rPr>
          <w:rFonts w:ascii="Arial" w:hAnsi="Arial"/>
          <w:b/>
          <w:i w:val="0"/>
          <w:sz w:val="22"/>
          <w:rFonts w:ascii="Arial" w:hAnsi="Arial" w:eastAsia="SimSun"/>
        </w:rPr>
        <w:t>建议回答口径：</w:t>
      </w:r>
      <w:r>
        <w:rPr>
          <w:rFonts w:ascii="Arial" w:hAnsi="Arial"/>
          <w:b w:val="0"/>
          <w:i w:val="0"/>
          <w:sz w:val="22"/>
          <w:rFonts w:ascii="Arial" w:hAnsi="Arial" w:eastAsia="SimSun"/>
        </w:rPr>
        <w:t>建议回答逻辑：</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生物学机理解释：</w:t>
      </w:r>
      <w:r>
        <w:rPr>
          <w:rFonts w:ascii="Arial" w:hAnsi="Arial"/>
          <w:b w:val="0"/>
          <w:i w:val="0"/>
          <w:sz w:val="21"/>
          <w:rFonts w:ascii="Arial" w:hAnsi="Arial" w:eastAsia="SimSun"/>
        </w:rPr>
        <w:t>“是的老师，因为目前蛋白质组质谱测定是材料级混合测定的，同一种材料的 RNA 样本共享该标签。从图 3 的特征重要性可以看到，模型确实综合了‘组织分化标记’和‘GPT2、GLUD1 等核心代谢酶表达’。在图 2 中我们展示了同种材料内不同 RNA 样本给出的预测值存在合理的微小分布波动。未来如果能获得单人单样本严格配对的定量质谱或 13C 代谢流检测，我们可以在现有全基因预训练骨架上进行个体水平的微调验证。”</w:t>
      </w:r>
    </w:p>
    <w:p>
      <w:pPr>
        <w:keepNext/>
        <w:spacing w:before="280" w:after="120"/>
      </w:pPr>
      <w:r>
        <w:rPr>
          <w:rFonts w:ascii="Arial" w:hAnsi="Arial"/>
          <w:b/>
          <w:i w:val="0"/>
          <w:color w:val="1F4E79"/>
          <w:sz w:val="28"/>
          <w:rFonts w:ascii="Arial" w:hAnsi="Arial" w:eastAsia="SimHei"/>
        </w:rPr>
        <w:t>五、交付文件与数据路径清单 (File Index)</w:t>
      </w:r>
    </w:p>
    <w:p>
      <w:pPr>
        <w:spacing w:line="300" w:lineRule="auto" w:before="0" w:after="60"/>
        <w:ind w:firstLine="420"/>
      </w:pPr>
      <w:r>
        <w:rPr>
          <w:rFonts w:ascii="Arial" w:hAnsi="Arial"/>
          <w:b w:val="0"/>
          <w:i w:val="0"/>
          <w:sz w:val="22"/>
          <w:rFonts w:ascii="Arial" w:hAnsi="Arial" w:eastAsia="SimSun"/>
        </w:rPr>
        <w:t>本项目生成的所有数据表、矢量图表与代码模型均已通过 SHA256 完整性哈希校验，路径汇总如下：</w:t>
      </w:r>
    </w:p>
    <w:p>
      <w:pPr>
        <w:keepNext/>
        <w:spacing w:before="120" w:after="80"/>
        <w:ind w:firstLine="0"/>
        <w:jc w:val="center"/>
      </w:pPr>
      <w:r>
        <w:rPr>
          <w:rFonts w:ascii="Arial" w:hAnsi="Arial"/>
          <w:b/>
          <w:i w:val="0"/>
          <w:color w:val="3C3C3C"/>
          <w:sz w:val="20"/>
          <w:rFonts w:ascii="Arial" w:hAnsi="Arial" w:eastAsia="SimSun"/>
        </w:rPr>
        <w:t>表 3 模型交付核心产出文件路径汇总表</w:t>
      </w:r>
    </w:p>
    <w:tbl>
      <w:tblPr>
        <w:tblW w:type="auto" w:w="0"/>
        <w:jc w:val="center"/>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3024"/>
        <w:gridCol w:w="3024"/>
        <w:gridCol w:w="3024"/>
      </w:tblGrid>
      <w:tr>
        <w:trPr>
          <w:tblHeader/>
        </w:trPr>
        <w:tc>
          <w:tcPr>
            <w:tcW w:type="dxa" w:w="141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文件类别</w:t>
            </w:r>
          </w:p>
        </w:tc>
        <w:tc>
          <w:tcPr>
            <w:tcW w:type="dxa" w:w="4819"/>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相对路径 / 文件名</w:t>
            </w:r>
          </w:p>
        </w:tc>
        <w:tc>
          <w:tcPr>
            <w:tcW w:type="dxa" w:w="2835"/>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规格说明</w:t>
            </w:r>
          </w:p>
        </w:tc>
      </w:tr>
      <w:tr>
        <w:tc>
          <w:tcPr>
            <w:tcW w:type="dxa" w:w="1417"/>
          </w:tcPr>
          <w:p>
            <w:pPr>
              <w:spacing w:before="50" w:after="50"/>
              <w:ind w:firstLine="0"/>
              <w:jc w:val="left"/>
            </w:pPr>
            <w:r>
              <w:rPr>
                <w:rFonts w:ascii="Arial" w:hAnsi="Arial"/>
                <w:b w:val="0"/>
                <w:i w:val="0"/>
                <w:sz w:val="19"/>
                <w:rFonts w:ascii="Arial" w:hAnsi="Arial" w:eastAsia="SimSun"/>
              </w:rPr>
              <w:t>模型文件</w:t>
            </w:r>
          </w:p>
        </w:tc>
        <w:tc>
          <w:tcPr>
            <w:tcW w:type="dxa" w:w="4819"/>
          </w:tcPr>
          <w:p>
            <w:pPr>
              <w:spacing w:before="50" w:after="50"/>
              <w:ind w:firstLine="0"/>
              <w:jc w:val="center"/>
            </w:pPr>
            <w:r>
              <w:rPr>
                <w:rFonts w:ascii="Arial" w:hAnsi="Arial"/>
                <w:b w:val="0"/>
                <w:i w:val="0"/>
                <w:sz w:val="19"/>
                <w:rFonts w:ascii="Arial" w:hAnsi="Arial" w:eastAsia="SimSun"/>
              </w:rPr>
              <w:t>outputs/20260926_full_rna_models/RF_mtry135.rds</w:t>
            </w:r>
          </w:p>
        </w:tc>
        <w:tc>
          <w:tcPr>
            <w:tcW w:type="dxa" w:w="2835"/>
          </w:tcPr>
          <w:p>
            <w:pPr>
              <w:spacing w:before="50" w:after="50"/>
              <w:ind w:firstLine="0"/>
              <w:jc w:val="center"/>
            </w:pPr>
            <w:r>
              <w:rPr>
                <w:rFonts w:ascii="Arial" w:hAnsi="Arial"/>
                <w:b w:val="0"/>
                <w:i w:val="0"/>
                <w:sz w:val="19"/>
                <w:rFonts w:ascii="Arial" w:hAnsi="Arial" w:eastAsia="SimSun"/>
              </w:rPr>
              <w:t>全转录组 18,332 基因完整训练森林 (500 trees)</w:t>
            </w:r>
          </w:p>
        </w:tc>
      </w:tr>
      <w:tr>
        <w:tc>
          <w:tcPr>
            <w:tcW w:type="dxa" w:w="1417"/>
          </w:tcPr>
          <w:p>
            <w:pPr>
              <w:spacing w:before="50" w:after="50"/>
              <w:ind w:firstLine="0"/>
              <w:jc w:val="left"/>
            </w:pPr>
            <w:r>
              <w:rPr>
                <w:rFonts w:ascii="Arial" w:hAnsi="Arial"/>
                <w:b w:val="0"/>
                <w:i w:val="0"/>
                <w:sz w:val="19"/>
                <w:rFonts w:ascii="Arial" w:hAnsi="Arial" w:eastAsia="SimSun"/>
              </w:rPr>
              <w:t>4栏散点图</w:t>
            </w:r>
          </w:p>
        </w:tc>
        <w:tc>
          <w:tcPr>
            <w:tcW w:type="dxa" w:w="4819"/>
          </w:tcPr>
          <w:p>
            <w:pPr>
              <w:spacing w:before="50" w:after="50"/>
              <w:ind w:firstLine="0"/>
              <w:jc w:val="center"/>
            </w:pPr>
            <w:r>
              <w:rPr>
                <w:rFonts w:ascii="Arial" w:hAnsi="Arial"/>
                <w:b w:val="0"/>
                <w:i w:val="0"/>
                <w:sz w:val="19"/>
                <w:rFonts w:ascii="Arial" w:hAnsi="Arial" w:eastAsia="SimSun"/>
              </w:rPr>
              <w:t>outputs/20260926_full_rna_models/figures/RF_mtry135_4panel.png/.pdf</w:t>
            </w:r>
          </w:p>
        </w:tc>
        <w:tc>
          <w:tcPr>
            <w:tcW w:type="dxa" w:w="2835"/>
          </w:tcPr>
          <w:p>
            <w:pPr>
              <w:spacing w:before="50" w:after="50"/>
              <w:ind w:firstLine="0"/>
              <w:jc w:val="center"/>
            </w:pPr>
            <w:r>
              <w:rPr>
                <w:rFonts w:ascii="Arial" w:hAnsi="Arial"/>
                <w:b w:val="0"/>
                <w:i w:val="0"/>
                <w:sz w:val="19"/>
                <w:rFonts w:ascii="Arial" w:hAnsi="Arial" w:eastAsia="SimSun"/>
              </w:rPr>
              <w:t>补全 n=1,524 训练划分的四栏对照图 (矢量+标量)</w:t>
            </w:r>
          </w:p>
        </w:tc>
      </w:tr>
      <w:tr>
        <w:tc>
          <w:tcPr>
            <w:tcW w:type="dxa" w:w="1417"/>
          </w:tcPr>
          <w:p>
            <w:pPr>
              <w:spacing w:before="50" w:after="50"/>
              <w:ind w:firstLine="0"/>
              <w:jc w:val="left"/>
            </w:pPr>
            <w:r>
              <w:rPr>
                <w:rFonts w:ascii="Arial" w:hAnsi="Arial"/>
                <w:b w:val="0"/>
                <w:i w:val="0"/>
                <w:sz w:val="19"/>
                <w:rFonts w:ascii="Arial" w:hAnsi="Arial" w:eastAsia="SimSun"/>
              </w:rPr>
              <w:t>材料分布图</w:t>
            </w:r>
          </w:p>
        </w:tc>
        <w:tc>
          <w:tcPr>
            <w:tcW w:type="dxa" w:w="4819"/>
          </w:tcPr>
          <w:p>
            <w:pPr>
              <w:spacing w:before="50" w:after="50"/>
              <w:ind w:firstLine="0"/>
              <w:jc w:val="center"/>
            </w:pPr>
            <w:r>
              <w:rPr>
                <w:rFonts w:ascii="Arial" w:hAnsi="Arial"/>
                <w:b w:val="0"/>
                <w:i w:val="0"/>
                <w:sz w:val="19"/>
                <w:rFonts w:ascii="Arial" w:hAnsi="Arial" w:eastAsia="SimSun"/>
              </w:rPr>
              <w:t>outputs/20260926_full_rna_models/figures/figure1_material_distributions.png/.pdf</w:t>
            </w:r>
          </w:p>
        </w:tc>
        <w:tc>
          <w:tcPr>
            <w:tcW w:type="dxa" w:w="2835"/>
          </w:tcPr>
          <w:p>
            <w:pPr>
              <w:spacing w:before="50" w:after="50"/>
              <w:ind w:firstLine="0"/>
              <w:jc w:val="center"/>
            </w:pPr>
            <w:r>
              <w:rPr>
                <w:rFonts w:ascii="Arial" w:hAnsi="Arial"/>
                <w:b w:val="0"/>
                <w:i w:val="0"/>
                <w:sz w:val="19"/>
                <w:rFonts w:ascii="Arial" w:hAnsi="Arial" w:eastAsia="SimSun"/>
              </w:rPr>
              <w:t>28 种材料横向展开蜂群/箱线图与实测值对比</w:t>
            </w:r>
          </w:p>
        </w:tc>
      </w:tr>
      <w:tr>
        <w:tc>
          <w:tcPr>
            <w:tcW w:type="dxa" w:w="1417"/>
          </w:tcPr>
          <w:p>
            <w:pPr>
              <w:spacing w:before="50" w:after="50"/>
              <w:ind w:firstLine="0"/>
              <w:jc w:val="left"/>
            </w:pPr>
            <w:r>
              <w:rPr>
                <w:rFonts w:ascii="Arial" w:hAnsi="Arial"/>
                <w:b w:val="0"/>
                <w:i w:val="0"/>
                <w:sz w:val="19"/>
                <w:rFonts w:ascii="Arial" w:hAnsi="Arial" w:eastAsia="SimSun"/>
              </w:rPr>
              <w:t>特征重要性</w:t>
            </w:r>
          </w:p>
        </w:tc>
        <w:tc>
          <w:tcPr>
            <w:tcW w:type="dxa" w:w="4819"/>
          </w:tcPr>
          <w:p>
            <w:pPr>
              <w:spacing w:before="50" w:after="50"/>
              <w:ind w:firstLine="0"/>
              <w:jc w:val="center"/>
            </w:pPr>
            <w:r>
              <w:rPr>
                <w:rFonts w:ascii="Arial" w:hAnsi="Arial"/>
                <w:b w:val="0"/>
                <w:i w:val="0"/>
                <w:sz w:val="19"/>
                <w:rFonts w:ascii="Arial" w:hAnsi="Arial" w:eastAsia="SimSun"/>
              </w:rPr>
              <w:t>outputs/20260926_full_rna_models/figures/figure2_feature_importance.png/.pdf</w:t>
            </w:r>
          </w:p>
        </w:tc>
        <w:tc>
          <w:tcPr>
            <w:tcW w:type="dxa" w:w="2835"/>
          </w:tcPr>
          <w:p>
            <w:pPr>
              <w:spacing w:before="50" w:after="50"/>
              <w:ind w:firstLine="0"/>
              <w:jc w:val="center"/>
            </w:pPr>
            <w:r>
              <w:rPr>
                <w:rFonts w:ascii="Arial" w:hAnsi="Arial"/>
                <w:b w:val="0"/>
                <w:i w:val="0"/>
                <w:sz w:val="19"/>
                <w:rFonts w:ascii="Arial" w:hAnsi="Arial" w:eastAsia="SimSun"/>
              </w:rPr>
              <w:t>Top 25 变量重要性条形图 (Ensembl + Symbol)</w:t>
            </w:r>
          </w:p>
        </w:tc>
      </w:tr>
      <w:tr>
        <w:tc>
          <w:tcPr>
            <w:tcW w:type="dxa" w:w="1417"/>
          </w:tcPr>
          <w:p>
            <w:pPr>
              <w:spacing w:before="50" w:after="50"/>
              <w:ind w:firstLine="0"/>
              <w:jc w:val="left"/>
            </w:pPr>
            <w:r>
              <w:rPr>
                <w:rFonts w:ascii="Arial" w:hAnsi="Arial"/>
                <w:b w:val="0"/>
                <w:i w:val="0"/>
                <w:sz w:val="19"/>
                <w:rFonts w:ascii="Arial" w:hAnsi="Arial" w:eastAsia="SimSun"/>
              </w:rPr>
              <w:t>UMAP 流形图</w:t>
            </w:r>
          </w:p>
        </w:tc>
        <w:tc>
          <w:tcPr>
            <w:tcW w:type="dxa" w:w="4819"/>
          </w:tcPr>
          <w:p>
            <w:pPr>
              <w:spacing w:before="50" w:after="50"/>
              <w:ind w:firstLine="0"/>
              <w:jc w:val="center"/>
            </w:pPr>
            <w:r>
              <w:rPr>
                <w:rFonts w:ascii="Arial" w:hAnsi="Arial"/>
                <w:b w:val="0"/>
                <w:i w:val="0"/>
                <w:sz w:val="19"/>
                <w:rFonts w:ascii="Arial" w:hAnsi="Arial" w:eastAsia="SimSun"/>
              </w:rPr>
              <w:t>outputs/20260926_full_rna_models/figures/figure3_manifold_projection.png/.pdf</w:t>
            </w:r>
          </w:p>
        </w:tc>
        <w:tc>
          <w:tcPr>
            <w:tcW w:type="dxa" w:w="2835"/>
          </w:tcPr>
          <w:p>
            <w:pPr>
              <w:spacing w:before="50" w:after="50"/>
              <w:ind w:firstLine="0"/>
              <w:jc w:val="center"/>
            </w:pPr>
            <w:r>
              <w:rPr>
                <w:rFonts w:ascii="Arial" w:hAnsi="Arial"/>
                <w:b w:val="0"/>
                <w:i w:val="0"/>
                <w:sz w:val="19"/>
                <w:rFonts w:ascii="Arial" w:hAnsi="Arial" w:eastAsia="SimSun"/>
              </w:rPr>
              <w:t>1,898 样本三联流形图 (大类/实测/预测色谱)</w:t>
            </w:r>
          </w:p>
        </w:tc>
      </w:tr>
      <w:tr>
        <w:tc>
          <w:tcPr>
            <w:tcW w:type="dxa" w:w="1417"/>
          </w:tcPr>
          <w:p>
            <w:pPr>
              <w:spacing w:before="50" w:after="50"/>
              <w:ind w:firstLine="0"/>
              <w:jc w:val="left"/>
            </w:pPr>
            <w:r>
              <w:rPr>
                <w:rFonts w:ascii="Arial" w:hAnsi="Arial"/>
                <w:b w:val="0"/>
                <w:i w:val="0"/>
                <w:sz w:val="19"/>
                <w:rFonts w:ascii="Arial" w:hAnsi="Arial" w:eastAsia="SimSun"/>
              </w:rPr>
              <w:t>残差诊断图</w:t>
            </w:r>
          </w:p>
        </w:tc>
        <w:tc>
          <w:tcPr>
            <w:tcW w:type="dxa" w:w="4819"/>
          </w:tcPr>
          <w:p>
            <w:pPr>
              <w:spacing w:before="50" w:after="50"/>
              <w:ind w:firstLine="0"/>
              <w:jc w:val="center"/>
            </w:pPr>
            <w:r>
              <w:rPr>
                <w:rFonts w:ascii="Arial" w:hAnsi="Arial"/>
                <w:b w:val="0"/>
                <w:i w:val="0"/>
                <w:sz w:val="19"/>
                <w:rFonts w:ascii="Arial" w:hAnsi="Arial" w:eastAsia="SimSun"/>
              </w:rPr>
              <w:t>outputs/20260926_full_rna_models/figures/figure4_residual_diagnostics.png/.pdf</w:t>
            </w:r>
          </w:p>
        </w:tc>
        <w:tc>
          <w:tcPr>
            <w:tcW w:type="dxa" w:w="2835"/>
          </w:tcPr>
          <w:p>
            <w:pPr>
              <w:spacing w:before="50" w:after="50"/>
              <w:ind w:firstLine="0"/>
              <w:jc w:val="center"/>
            </w:pPr>
            <w:r>
              <w:rPr>
                <w:rFonts w:ascii="Arial" w:hAnsi="Arial"/>
                <w:b w:val="0"/>
                <w:i w:val="0"/>
                <w:sz w:val="19"/>
                <w:rFonts w:ascii="Arial" w:hAnsi="Arial" w:eastAsia="SimSun"/>
              </w:rPr>
              <w:t>LOESS 平滑残差散点与概率密度分布图</w:t>
            </w:r>
          </w:p>
        </w:tc>
      </w:tr>
      <w:tr>
        <w:tc>
          <w:tcPr>
            <w:tcW w:type="dxa" w:w="1417"/>
          </w:tcPr>
          <w:p>
            <w:pPr>
              <w:spacing w:before="50" w:after="50"/>
              <w:ind w:firstLine="0"/>
              <w:jc w:val="left"/>
            </w:pPr>
            <w:r>
              <w:rPr>
                <w:rFonts w:ascii="Arial" w:hAnsi="Arial"/>
                <w:b w:val="0"/>
                <w:i w:val="0"/>
                <w:sz w:val="19"/>
                <w:rFonts w:ascii="Arial" w:hAnsi="Arial" w:eastAsia="SimSun"/>
              </w:rPr>
              <w:t>分层散点图</w:t>
            </w:r>
          </w:p>
        </w:tc>
        <w:tc>
          <w:tcPr>
            <w:tcW w:type="dxa" w:w="4819"/>
          </w:tcPr>
          <w:p>
            <w:pPr>
              <w:spacing w:before="50" w:after="50"/>
              <w:ind w:firstLine="0"/>
              <w:jc w:val="center"/>
            </w:pPr>
            <w:r>
              <w:rPr>
                <w:rFonts w:ascii="Arial" w:hAnsi="Arial"/>
                <w:b w:val="0"/>
                <w:i w:val="0"/>
                <w:sz w:val="19"/>
                <w:rFonts w:ascii="Arial" w:hAnsi="Arial" w:eastAsia="SimSun"/>
              </w:rPr>
              <w:t>outputs/20260926_full_rna_models/figures/figure5_category_stratified.png/.pdf</w:t>
            </w:r>
          </w:p>
        </w:tc>
        <w:tc>
          <w:tcPr>
            <w:tcW w:type="dxa" w:w="2835"/>
          </w:tcPr>
          <w:p>
            <w:pPr>
              <w:spacing w:before="50" w:after="50"/>
              <w:ind w:firstLine="0"/>
              <w:jc w:val="center"/>
            </w:pPr>
            <w:r>
              <w:rPr>
                <w:rFonts w:ascii="Arial" w:hAnsi="Arial"/>
                <w:b w:val="0"/>
                <w:i w:val="0"/>
                <w:sz w:val="19"/>
                <w:rFonts w:ascii="Arial" w:hAnsi="Arial" w:eastAsia="SimSun"/>
              </w:rPr>
              <w:t>正常/癌组织与细胞系四象限盲测散点图</w:t>
            </w:r>
          </w:p>
        </w:tc>
      </w:tr>
      <w:tr>
        <w:tc>
          <w:tcPr>
            <w:tcW w:type="dxa" w:w="1417"/>
          </w:tcPr>
          <w:p>
            <w:pPr>
              <w:spacing w:before="50" w:after="50"/>
              <w:ind w:firstLine="0"/>
              <w:jc w:val="left"/>
            </w:pPr>
            <w:r>
              <w:rPr>
                <w:rFonts w:ascii="Arial" w:hAnsi="Arial"/>
                <w:b w:val="0"/>
                <w:i w:val="0"/>
                <w:sz w:val="19"/>
                <w:rFonts w:ascii="Arial" w:hAnsi="Arial" w:eastAsia="SimSun"/>
              </w:rPr>
              <w:t>预测明细表</w:t>
            </w:r>
          </w:p>
        </w:tc>
        <w:tc>
          <w:tcPr>
            <w:tcW w:type="dxa" w:w="4819"/>
          </w:tcPr>
          <w:p>
            <w:pPr>
              <w:spacing w:before="50" w:after="50"/>
              <w:ind w:firstLine="0"/>
              <w:jc w:val="center"/>
            </w:pPr>
            <w:r>
              <w:rPr>
                <w:rFonts w:ascii="Arial" w:hAnsi="Arial"/>
                <w:b w:val="0"/>
                <w:i w:val="0"/>
                <w:sz w:val="19"/>
                <w:rFonts w:ascii="Arial" w:hAnsi="Arial" w:eastAsia="SimSun"/>
              </w:rPr>
              <w:t>outputs/20260926_full_rna_models/tables/extended_predictions.csv.gz</w:t>
            </w:r>
          </w:p>
        </w:tc>
        <w:tc>
          <w:tcPr>
            <w:tcW w:type="dxa" w:w="2835"/>
          </w:tcPr>
          <w:p>
            <w:pPr>
              <w:spacing w:before="50" w:after="50"/>
              <w:ind w:firstLine="0"/>
              <w:jc w:val="center"/>
            </w:pPr>
            <w:r>
              <w:rPr>
                <w:rFonts w:ascii="Arial" w:hAnsi="Arial"/>
                <w:b w:val="0"/>
                <w:i w:val="0"/>
                <w:sz w:val="19"/>
                <w:rFonts w:ascii="Arial" w:hAnsi="Arial" w:eastAsia="SimSun"/>
              </w:rPr>
              <w:t>1,898 样本四种评估方案的逐条预测明细数据</w:t>
            </w:r>
          </w:p>
        </w:tc>
      </w:tr>
      <w:tr>
        <w:tc>
          <w:tcPr>
            <w:tcW w:type="dxa" w:w="1417"/>
          </w:tcPr>
          <w:p>
            <w:pPr>
              <w:spacing w:before="50" w:after="50"/>
              <w:ind w:firstLine="0"/>
              <w:jc w:val="left"/>
            </w:pPr>
            <w:r>
              <w:rPr>
                <w:rFonts w:ascii="Arial" w:hAnsi="Arial"/>
                <w:b w:val="0"/>
                <w:i w:val="0"/>
                <w:sz w:val="19"/>
                <w:rFonts w:ascii="Arial" w:hAnsi="Arial" w:eastAsia="SimSun"/>
              </w:rPr>
              <w:t>核心指标表</w:t>
            </w:r>
          </w:p>
        </w:tc>
        <w:tc>
          <w:tcPr>
            <w:tcW w:type="dxa" w:w="4819"/>
          </w:tcPr>
          <w:p>
            <w:pPr>
              <w:spacing w:before="50" w:after="50"/>
              <w:ind w:firstLine="0"/>
              <w:jc w:val="center"/>
            </w:pPr>
            <w:r>
              <w:rPr>
                <w:rFonts w:ascii="Arial" w:hAnsi="Arial"/>
                <w:b w:val="0"/>
                <w:i w:val="0"/>
                <w:sz w:val="19"/>
                <w:rFonts w:ascii="Arial" w:hAnsi="Arial" w:eastAsia="SimSun"/>
              </w:rPr>
              <w:t>outputs/20260926_full_rna_models/tables/extended_metrics.csv</w:t>
            </w:r>
          </w:p>
        </w:tc>
        <w:tc>
          <w:tcPr>
            <w:tcW w:type="dxa" w:w="2835"/>
          </w:tcPr>
          <w:p>
            <w:pPr>
              <w:spacing w:before="50" w:after="50"/>
              <w:ind w:firstLine="0"/>
              <w:jc w:val="center"/>
            </w:pPr>
            <w:r>
              <w:rPr>
                <w:rFonts w:ascii="Arial" w:hAnsi="Arial"/>
                <w:b w:val="0"/>
                <w:i w:val="0"/>
                <w:sz w:val="19"/>
                <w:rFonts w:ascii="Arial" w:hAnsi="Arial" w:eastAsia="SimSun"/>
              </w:rPr>
              <w:t>训练拟合、盲测集、全拟合、整留出的多口径指标</w:t>
            </w:r>
          </w:p>
        </w:tc>
      </w:tr>
      <w:tr>
        <w:tc>
          <w:tcPr>
            <w:tcW w:type="dxa" w:w="1417"/>
          </w:tcPr>
          <w:p>
            <w:pPr>
              <w:spacing w:before="50" w:after="50"/>
              <w:ind w:firstLine="0"/>
              <w:jc w:val="left"/>
            </w:pPr>
            <w:r>
              <w:rPr>
                <w:rFonts w:ascii="Arial" w:hAnsi="Arial"/>
                <w:b w:val="0"/>
                <w:i w:val="0"/>
                <w:sz w:val="19"/>
                <w:rFonts w:ascii="Arial" w:hAnsi="Arial" w:eastAsia="SimSun"/>
              </w:rPr>
              <w:t>特征基因表</w:t>
            </w:r>
          </w:p>
        </w:tc>
        <w:tc>
          <w:tcPr>
            <w:tcW w:type="dxa" w:w="4819"/>
          </w:tcPr>
          <w:p>
            <w:pPr>
              <w:spacing w:before="50" w:after="50"/>
              <w:ind w:firstLine="0"/>
              <w:jc w:val="center"/>
            </w:pPr>
            <w:r>
              <w:rPr>
                <w:rFonts w:ascii="Arial" w:hAnsi="Arial"/>
                <w:b w:val="0"/>
                <w:i w:val="0"/>
                <w:sz w:val="19"/>
                <w:rFonts w:ascii="Arial" w:hAnsi="Arial" w:eastAsia="SimSun"/>
              </w:rPr>
              <w:t>outputs/20260926_full_rna_models/tables/feature_importance_top25.csv</w:t>
            </w:r>
          </w:p>
        </w:tc>
        <w:tc>
          <w:tcPr>
            <w:tcW w:type="dxa" w:w="2835"/>
          </w:tcPr>
          <w:p>
            <w:pPr>
              <w:spacing w:before="50" w:after="50"/>
              <w:ind w:firstLine="0"/>
              <w:jc w:val="center"/>
            </w:pPr>
            <w:r>
              <w:rPr>
                <w:rFonts w:ascii="Arial" w:hAnsi="Arial"/>
                <w:b w:val="0"/>
                <w:i w:val="0"/>
                <w:sz w:val="19"/>
                <w:rFonts w:ascii="Arial" w:hAnsi="Arial" w:eastAsia="SimSun"/>
              </w:rPr>
              <w:t>Top 25 特征重要性得分与官方 Symbol 映射表</w:t>
            </w:r>
          </w:p>
        </w:tc>
      </w:tr>
      <w:tr>
        <w:tc>
          <w:tcPr>
            <w:tcW w:type="dxa" w:w="1417"/>
          </w:tcPr>
          <w:p>
            <w:pPr>
              <w:spacing w:before="50" w:after="50"/>
              <w:ind w:firstLine="0"/>
              <w:jc w:val="left"/>
            </w:pPr>
            <w:r>
              <w:rPr>
                <w:rFonts w:ascii="Arial" w:hAnsi="Arial"/>
                <w:b w:val="0"/>
                <w:i w:val="0"/>
                <w:sz w:val="19"/>
                <w:rFonts w:ascii="Arial" w:hAnsi="Arial" w:eastAsia="SimSun"/>
              </w:rPr>
              <w:t>生成脚本</w:t>
            </w:r>
          </w:p>
        </w:tc>
        <w:tc>
          <w:tcPr>
            <w:tcW w:type="dxa" w:w="4819"/>
          </w:tcPr>
          <w:p>
            <w:pPr>
              <w:spacing w:before="50" w:after="50"/>
              <w:ind w:firstLine="0"/>
              <w:jc w:val="center"/>
            </w:pPr>
            <w:r>
              <w:rPr>
                <w:rFonts w:ascii="Arial" w:hAnsi="Arial"/>
                <w:b w:val="0"/>
                <w:i w:val="0"/>
                <w:sz w:val="19"/>
                <w:rFonts w:ascii="Arial" w:hAnsi="Arial" w:eastAsia="SimSun"/>
              </w:rPr>
              <w:t>workflow/full_rna_fraction/generate_extended_figures.R</w:t>
            </w:r>
          </w:p>
        </w:tc>
        <w:tc>
          <w:tcPr>
            <w:tcW w:type="dxa" w:w="2835"/>
          </w:tcPr>
          <w:p>
            <w:pPr>
              <w:spacing w:before="50" w:after="50"/>
              <w:ind w:firstLine="0"/>
              <w:jc w:val="center"/>
            </w:pPr>
            <w:r>
              <w:rPr>
                <w:rFonts w:ascii="Arial" w:hAnsi="Arial"/>
                <w:b w:val="0"/>
                <w:i w:val="0"/>
                <w:sz w:val="19"/>
                <w:rFonts w:ascii="Arial" w:hAnsi="Arial" w:eastAsia="SimSun"/>
              </w:rPr>
              <w:t>可完整重现全部图表与数据表的 R 自动化脚本</w:t>
            </w:r>
          </w:p>
        </w:tc>
      </w:tr>
    </w:tbl>
    <w:p>
      <w:pPr>
        <w:spacing w:before="0" w:after="120"/>
      </w:pP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color w:val="646464"/>
        <w:sz w:val="18"/>
      </w:rPr>
      <w:t xml:space="preserve">第 </w:t>
    </w:r>
    <w:fldSimple w:instr="PAGE"/>
    <w:r>
      <w:rPr>
        <w:rFonts w:ascii="SimSun" w:hAnsi="SimSun"/>
        <w:color w:val="646464"/>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imSun" w:hAnsi="SimSun"/>
        <w:color w:val="808080"/>
        <w:sz w:val="17"/>
      </w:rPr>
      <w:t>人类乳酸化修饰组学与 DDR 机制分析项目 · 工作汇报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