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eastAsia="SimHei"/>
          <w:b/>
          <w:i w:val="0"/>
          <w:sz w:val="32"/>
        </w:rPr>
        <w:t>课题统计检验与显著性分析汇总</w:t>
      </w:r>
    </w:p>
    <w:p>
      <w:pPr>
        <w:spacing w:before="40" w:after="40" w:line="300" w:lineRule="auto"/>
        <w:ind w:firstLine="480"/>
      </w:pPr>
      <w:r>
        <w:rPr>
          <w:rFonts w:ascii="Times New Roman" w:hAnsi="Times New Roman" w:eastAsia="SimSun"/>
          <w:b w:val="0"/>
          <w:i w:val="0"/>
          <w:sz w:val="22"/>
        </w:rPr>
        <w:t>本报告对全项目各分析模块的假设检验设计、检验对象及显著性结果进行完整梳理。统计推断采用来源聚类稳健线性对比模型（CR2小样本修正协方差与Satterthwaite自由度）或双侧配对Wilcoxon符号秩检验；显著性判定统一以Benjamini–Hochberg多重比较校正后的q值（FDR &lt; 0.05）为准。</w:t>
      </w:r>
    </w:p>
    <w:p>
      <w:pPr>
        <w:spacing w:before="240" w:after="120" w:line="288" w:lineRule="auto"/>
      </w:pPr>
      <w:r>
        <w:rPr>
          <w:rFonts w:ascii="Times New Roman" w:hAnsi="Times New Roman" w:eastAsia="SimHei"/>
          <w:b/>
          <w:i w:val="0"/>
          <w:sz w:val="28"/>
        </w:rPr>
        <w:t>一、我们一共对哪些进行了统计性检验？</w:t>
      </w:r>
    </w:p>
    <w:p>
      <w:pPr>
        <w:spacing w:before="40" w:after="40" w:line="300" w:lineRule="auto"/>
        <w:ind w:firstLine="480"/>
      </w:pPr>
      <w:r>
        <w:rPr>
          <w:rFonts w:ascii="Times New Roman" w:hAnsi="Times New Roman" w:eastAsia="SimSun"/>
          <w:b w:val="0"/>
          <w:i w:val="0"/>
          <w:sz w:val="22"/>
        </w:rPr>
        <w:t>全项目共设定了7大类检验分析，涵盖250项预设对比。在250项对比中，226项满足统计估计条件并得出有效推断；24项因数据特性不可估计（9项因类别内独立来源聚类少于2个，15项因零变异或对比自由度不足）。各类别的具体检验范围如下：</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1. DDR蛋白占比（16项）：</w:t>
      </w:r>
      <w:r>
        <w:rPr>
          <w:rFonts w:ascii="Times New Roman" w:hAnsi="Times New Roman" w:eastAsia="SimSun"/>
          <w:b w:val="0"/>
          <w:i w:val="0"/>
          <w:sz w:val="22"/>
        </w:rPr>
        <w:t>包含四类材料（非肿瘤组织、肿瘤组织、正常细胞系、癌细胞系）之间的类别间比较（12项对比），以及同材料内部乳酸化蛋白组（Kla）与全蛋白组（Whole proteome）的修饰富集比较（4项对比），共16项计划对比。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2. 12个调控因子的RNA表达（72项）：</w:t>
      </w:r>
      <w:r>
        <w:rPr>
          <w:rFonts w:ascii="Times New Roman" w:hAnsi="Times New Roman" w:eastAsia="SimSun"/>
          <w:b w:val="0"/>
          <w:i w:val="0"/>
          <w:sz w:val="22"/>
        </w:rPr>
        <w:t>针对12个关键调控因子（LDHA、LDHB、AARS1、AARS2、EP300、CREBBP、KAT5、HDAC1、HDAC2、HDAC3、SIRT2、SIRT3），分别在四类材料间计算全部6个两两对比，共72项计划对比。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3. 七条DNA修复通路（112项）：</w:t>
      </w:r>
      <w:r>
        <w:rPr>
          <w:rFonts w:ascii="Times New Roman" w:hAnsi="Times New Roman" w:eastAsia="SimSun"/>
          <w:b w:val="0"/>
          <w:i w:val="0"/>
          <w:sz w:val="22"/>
        </w:rPr>
        <w:t>涵盖碱基切除修复（BER）、核苷酸切除修复（NER）、错配修复（MMR）、范可尼贫血通路（FA）、同源重组（HR）、微同源末端连接（AEJ）和非同源末端连接（NHEJ）。检验分为两部分：一是7条通路的促进/抑制修饰比例在四类材料间的比较（84项对比）；二是同一来源单位内，促进修复与抑制修复注释蛋白占比的配对极性检验（28项对比），共112项计划对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4. MKI67蛋白表达比值（18项）：</w:t>
      </w:r>
      <w:r>
        <w:rPr>
          <w:rFonts w:ascii="Times New Roman" w:hAnsi="Times New Roman" w:eastAsia="SimSun"/>
          <w:b w:val="0"/>
          <w:i w:val="0"/>
          <w:sz w:val="22"/>
        </w:rPr>
        <w:t>在全蛋白组样本中，分别以组蛋白H3C1、骨架蛋白ACTB及TUBB为分母，检验增殖标记MKI67比值在四类材料间的差异，各6项对比，共18项计划对比（其中9项因ESCC等来源聚类不足标为不可估计）。</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5. G2M检查点基因评分（6项）：</w:t>
      </w:r>
      <w:r>
        <w:rPr>
          <w:rFonts w:ascii="Times New Roman" w:hAnsi="Times New Roman" w:eastAsia="SimSun"/>
          <w:b w:val="0"/>
          <w:i w:val="0"/>
          <w:sz w:val="22"/>
        </w:rPr>
        <w:t>评估固定196个G2M检查点基因在RNA样本中的平均表达水平，检验四类材料间的差异，共6项计划对比。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6. RNA靶基因检出与表达（22项）：</w:t>
      </w:r>
      <w:r>
        <w:rPr>
          <w:rFonts w:ascii="Times New Roman" w:hAnsi="Times New Roman" w:eastAsia="SimSun"/>
          <w:b w:val="0"/>
          <w:i w:val="0"/>
          <w:sz w:val="22"/>
        </w:rPr>
        <w:t>评估371个Kla–DDR靶基因与5,224个全Kla靶基因的表达中位数（12项）、同一样本内两靶集的表达差值（4项），以及已表达Kla–DDR靶基因占全表达基因的百分比（6项），共22项计划对比。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7. 机器学习外部独立队列验证（4项）：</w:t>
      </w:r>
      <w:r>
        <w:rPr>
          <w:rFonts w:ascii="Times New Roman" w:hAnsi="Times New Roman" w:eastAsia="SimSun"/>
          <w:b w:val="0"/>
          <w:i w:val="0"/>
          <w:sz w:val="22"/>
        </w:rPr>
        <w:t>在GSE130078外部队列的23对配对供者中，检验同一患者肿瘤组织与癌旁组织的RNA衍生预测值是否存在显著配对位移，涵盖Kla_DDR、Kla_DNA_repair、Proteome_DDR、Proteome_DNA_repair共4个预测目标。</w:t>
      </w:r>
    </w:p>
    <w:p>
      <w:pPr>
        <w:spacing w:before="240" w:after="120" w:line="288" w:lineRule="auto"/>
      </w:pPr>
      <w:r>
        <w:rPr>
          <w:rFonts w:ascii="Times New Roman" w:hAnsi="Times New Roman" w:eastAsia="SimHei"/>
          <w:b/>
          <w:i w:val="0"/>
          <w:sz w:val="28"/>
        </w:rPr>
        <w:t>二、一共是哪些显著？</w:t>
      </w:r>
    </w:p>
    <w:p>
      <w:pPr>
        <w:spacing w:before="40" w:after="40" w:line="300" w:lineRule="auto"/>
        <w:ind w:firstLine="480"/>
      </w:pPr>
      <w:r>
        <w:rPr>
          <w:rFonts w:ascii="Times New Roman" w:hAnsi="Times New Roman" w:eastAsia="SimSun"/>
          <w:b w:val="0"/>
          <w:i w:val="0"/>
          <w:sz w:val="22"/>
        </w:rPr>
        <w:t>在完整统计表的250项计划对比中，经各自族内Benjamini–Hochberg多重检验校正后达到q &lt; 0.05的显著项共有33项。具体分布如下：</w:t>
      </w:r>
    </w:p>
    <w:p>
      <w:pPr>
        <w:spacing w:before="160" w:after="80" w:line="288" w:lineRule="auto"/>
      </w:pPr>
      <w:r>
        <w:rPr>
          <w:rFonts w:ascii="Times New Roman" w:hAnsi="Times New Roman" w:eastAsia="SimHei"/>
          <w:b/>
          <w:i w:val="0"/>
          <w:sz w:val="24"/>
        </w:rPr>
        <w:t>1. DDR蛋白占比：共7项显著</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乳酸化DDR占比（类别间）：</w:t>
      </w:r>
      <w:r>
        <w:rPr>
          <w:rFonts w:ascii="Times New Roman" w:hAnsi="Times New Roman" w:eastAsia="SimSun"/>
          <w:b w:val="0"/>
          <w:i w:val="0"/>
          <w:sz w:val="22"/>
        </w:rPr>
        <w:t>正常细胞系显著高于非肿瘤组织（差值 +5.84个百分点，p = 5.59×10⁻⁵，q = 3.36×10⁻⁴）。</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乳酸化DDR占比（类别间）：</w:t>
      </w:r>
      <w:r>
        <w:rPr>
          <w:rFonts w:ascii="Times New Roman" w:hAnsi="Times New Roman" w:eastAsia="SimSun"/>
          <w:b w:val="0"/>
          <w:i w:val="0"/>
          <w:sz w:val="22"/>
        </w:rPr>
        <w:t>癌细胞系显著高于非肿瘤组织（差值 +5.99个百分点，p = 2.60×10⁻⁵，q = 3.12×10⁻⁴）。</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乳酸化DDR占比（类别间）：</w:t>
      </w:r>
      <w:r>
        <w:rPr>
          <w:rFonts w:ascii="Times New Roman" w:hAnsi="Times New Roman" w:eastAsia="SimSun"/>
          <w:b w:val="0"/>
          <w:i w:val="0"/>
          <w:sz w:val="22"/>
        </w:rPr>
        <w:t>正常细胞系显著高于肿瘤组织（差值 +4.11个百分点，p = 2.44×10⁻³，q = 0.0097）。</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乳酸化DDR占比（类别间）：</w:t>
      </w:r>
      <w:r>
        <w:rPr>
          <w:rFonts w:ascii="Times New Roman" w:hAnsi="Times New Roman" w:eastAsia="SimSun"/>
          <w:b w:val="0"/>
          <w:i w:val="0"/>
          <w:sz w:val="22"/>
        </w:rPr>
        <w:t>癌细胞系显著高于肿瘤组织（差值 +4.26个百分点，p = 0.0162，q = 0.0390）。</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全蛋白组DDR占比（类别间）：</w:t>
      </w:r>
      <w:r>
        <w:rPr>
          <w:rFonts w:ascii="Times New Roman" w:hAnsi="Times New Roman" w:eastAsia="SimSun"/>
          <w:b w:val="0"/>
          <w:i w:val="0"/>
          <w:sz w:val="22"/>
        </w:rPr>
        <w:t>正常细胞系显著高于非肿瘤组织（差值 +2.00个百分点，p = 3.90×10⁻³，q = 0.0117）。</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蛋白组间富集（Assay间）：</w:t>
      </w:r>
      <w:r>
        <w:rPr>
          <w:rFonts w:ascii="Times New Roman" w:hAnsi="Times New Roman" w:eastAsia="SimSun"/>
          <w:b w:val="0"/>
          <w:i w:val="0"/>
          <w:sz w:val="22"/>
        </w:rPr>
        <w:t>正常细胞系中，乳酸化DDR占比显著高于全蛋白组（差值 +4.78个百分点，p = 5.28×10⁻³，q = 0.0211）。</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蛋白组间富集（Assay间）：</w:t>
      </w:r>
      <w:r>
        <w:rPr>
          <w:rFonts w:ascii="Times New Roman" w:hAnsi="Times New Roman" w:eastAsia="SimSun"/>
          <w:b w:val="0"/>
          <w:i w:val="0"/>
          <w:sz w:val="22"/>
        </w:rPr>
        <w:t>癌细胞系中，乳酸化DDR占比显著高于全蛋白组（差值 +5.67个百分点，p = 0.0182，q = 0.0364）。</w:t>
      </w:r>
    </w:p>
    <w:p>
      <w:pPr>
        <w:spacing w:before="160" w:after="80" w:line="288" w:lineRule="auto"/>
      </w:pPr>
      <w:r>
        <w:rPr>
          <w:rFonts w:ascii="Times New Roman" w:hAnsi="Times New Roman" w:eastAsia="SimHei"/>
          <w:b/>
          <w:i w:val="0"/>
          <w:sz w:val="24"/>
        </w:rPr>
        <w:t>2. 调控因子RNA表达：仅SIRT2的2项对比显著</w:t>
      </w:r>
    </w:p>
    <w:p>
      <w:pPr>
        <w:spacing w:before="40" w:after="40" w:line="300" w:lineRule="auto"/>
        <w:ind w:firstLine="480"/>
      </w:pPr>
      <w:r>
        <w:rPr>
          <w:rFonts w:ascii="Times New Roman" w:hAnsi="Times New Roman" w:eastAsia="SimSun"/>
          <w:b w:val="0"/>
          <w:i w:val="0"/>
          <w:sz w:val="22"/>
        </w:rPr>
        <w:t>在检验的12个调控因子（72项对比）中，仅去乳酸化相关因子SIRT2检出显著差异：</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SIRT2（正常细胞系 vs 非肿瘤组织）：</w:t>
      </w:r>
      <w:r>
        <w:rPr>
          <w:rFonts w:ascii="Times New Roman" w:hAnsi="Times New Roman" w:eastAsia="SimSun"/>
          <w:b w:val="0"/>
          <w:i w:val="0"/>
          <w:sz w:val="22"/>
        </w:rPr>
        <w:t>正常细胞系表达显著低于非肿瘤组织（log2表达差值 -1.07，p = 2.996×10⁻³，q = 0.0449）。</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SIRT2（正常细胞系 vs 肿瘤组织）：</w:t>
      </w:r>
      <w:r>
        <w:rPr>
          <w:rFonts w:ascii="Times New Roman" w:hAnsi="Times New Roman" w:eastAsia="SimSun"/>
          <w:b w:val="0"/>
          <w:i w:val="0"/>
          <w:sz w:val="22"/>
        </w:rPr>
        <w:t>正常细胞系表达显著低于肿瘤组织（log2表达差值 -1.18，p = 1.399×10⁻³，q = 0.0420）。</w:t>
      </w:r>
    </w:p>
    <w:p>
      <w:pPr>
        <w:spacing w:before="40" w:after="40" w:line="300" w:lineRule="auto"/>
        <w:ind w:firstLine="480"/>
      </w:pPr>
      <w:r>
        <w:rPr>
          <w:rFonts w:ascii="Times New Roman" w:hAnsi="Times New Roman" w:eastAsia="SimSun"/>
          <w:b w:val="0"/>
          <w:i w:val="0"/>
          <w:sz w:val="22"/>
        </w:rPr>
        <w:t>其余11个调控因子（LDHA、LDHB、AARS1、AARS2、EP300、CREBBP、KAT5、HDAC1、HDAC2、HDAC3、SIRT3）在四类材料间的两两比较均未达显著性标准（q ≥ 0.05）。</w:t>
      </w:r>
    </w:p>
    <w:p>
      <w:pPr>
        <w:spacing w:before="160" w:after="80" w:line="288" w:lineRule="auto"/>
      </w:pPr>
      <w:r>
        <w:rPr>
          <w:rFonts w:ascii="Times New Roman" w:hAnsi="Times New Roman" w:eastAsia="SimHei"/>
          <w:b/>
          <w:i w:val="0"/>
          <w:sz w:val="24"/>
        </w:rPr>
        <w:t>3. 七条DNA修复通路：共19项配对极性检验显著</w:t>
      </w:r>
    </w:p>
    <w:p>
      <w:pPr>
        <w:spacing w:before="40" w:after="40" w:line="300" w:lineRule="auto"/>
        <w:ind w:firstLine="480"/>
      </w:pPr>
      <w:r>
        <w:rPr>
          <w:rFonts w:ascii="Times New Roman" w:hAnsi="Times New Roman" w:eastAsia="SimSun"/>
          <w:b w:val="0"/>
          <w:i w:val="0"/>
          <w:sz w:val="22"/>
        </w:rPr>
        <w:t>这19项显著结果均来自“同一来源单位内促进类蛋白占比与抑制类蛋白占比的配对差值检验”，且所有显著项均为“促进修复类蛋白占比显著高于抑制修复类蛋白占比”：</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碱基切除修复（BER）：</w:t>
      </w:r>
      <w:r>
        <w:rPr>
          <w:rFonts w:ascii="Times New Roman" w:hAnsi="Times New Roman" w:eastAsia="SimSun"/>
          <w:b w:val="0"/>
          <w:i w:val="0"/>
          <w:sz w:val="22"/>
        </w:rPr>
        <w:t>非肿瘤组织（差值 +15.55%，q = 0.0187）、正常细胞系（差值 +15.85%，q = 2.68×10⁻⁵）、癌细胞系（差值 +18.52%，q = 2.07×10⁻⁴）。</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核苷酸切除修复（NER）：</w:t>
      </w:r>
      <w:r>
        <w:rPr>
          <w:rFonts w:ascii="Times New Roman" w:hAnsi="Times New Roman" w:eastAsia="SimSun"/>
          <w:b w:val="0"/>
          <w:i w:val="0"/>
          <w:sz w:val="22"/>
        </w:rPr>
        <w:t>正常细胞系（差值 +11.96%，q = 2.38×10⁻⁴）、癌细胞系（差值 +10.86%，q = 6.61×10⁻⁶）。</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错配修复（MMR）：</w:t>
      </w:r>
      <w:r>
        <w:rPr>
          <w:rFonts w:ascii="Times New Roman" w:hAnsi="Times New Roman" w:eastAsia="SimSun"/>
          <w:b w:val="0"/>
          <w:i w:val="0"/>
          <w:sz w:val="22"/>
        </w:rPr>
        <w:t>肿瘤组织（差值 +6.69%，q = 0.0434）、正常细胞系（差值 +8.65%，q = 6.22×10⁻⁴）、癌细胞系（差值 +8.26%，q = 2.57×10⁻⁴）。</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范可尼贫血通路（FA）：</w:t>
      </w:r>
      <w:r>
        <w:rPr>
          <w:rFonts w:ascii="Times New Roman" w:hAnsi="Times New Roman" w:eastAsia="SimSun"/>
          <w:b w:val="0"/>
          <w:i w:val="0"/>
          <w:sz w:val="22"/>
        </w:rPr>
        <w:t>正常细胞系（差值 +7.58%，q = 2.68×10⁻³）、癌细胞系（差值 +6.33%，q = 3.09×10⁻³）。</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同源重组（HR）：</w:t>
      </w:r>
      <w:r>
        <w:rPr>
          <w:rFonts w:ascii="Times New Roman" w:hAnsi="Times New Roman" w:eastAsia="SimSun"/>
          <w:b w:val="0"/>
          <w:i w:val="0"/>
          <w:sz w:val="22"/>
        </w:rPr>
        <w:t>非肿瘤组织（差值 +27.41%，q = 6.00×10⁻³）、正常细胞系（差值 +36.01%，q = 2.38×10⁻⁴）、癌细胞系（差值 +30.83%，q = 8.39×10⁻⁵）。</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微同源末端连接（AEJ）：</w:t>
      </w:r>
      <w:r>
        <w:rPr>
          <w:rFonts w:ascii="Times New Roman" w:hAnsi="Times New Roman" w:eastAsia="SimSun"/>
          <w:b w:val="0"/>
          <w:i w:val="0"/>
          <w:sz w:val="22"/>
        </w:rPr>
        <w:t>正常细胞系（差值 +4.78%，q = 3.33×10⁻³）、癌细胞系（差值 +4.94%，q = 5.87×10⁻⁴）。</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非同源末端连接（NHEJ）：</w:t>
      </w:r>
      <w:r>
        <w:rPr>
          <w:rFonts w:ascii="Times New Roman" w:hAnsi="Times New Roman" w:eastAsia="SimSun"/>
          <w:b w:val="0"/>
          <w:i w:val="0"/>
          <w:sz w:val="22"/>
        </w:rPr>
        <w:t>非肿瘤组织（差值 +25.64%，q = 0.0115）、肿瘤组织（差值 +23.64%，q = 0.0397）、正常细胞系（差值 +20.55%，q = 2.98×10⁻⁴）、癌细胞系（差值 +21.26%，q = 8.39×10⁻⁵）。</w:t>
      </w:r>
    </w:p>
    <w:p>
      <w:pPr>
        <w:spacing w:before="160" w:after="80" w:line="288" w:lineRule="auto"/>
      </w:pPr>
      <w:r>
        <w:rPr>
          <w:rFonts w:ascii="Times New Roman" w:hAnsi="Times New Roman" w:eastAsia="SimHei"/>
          <w:b/>
          <w:i w:val="0"/>
          <w:sz w:val="24"/>
        </w:rPr>
        <w:t>4. RNA靶基因检出比例：共3项显著</w:t>
      </w:r>
    </w:p>
    <w:p>
      <w:pPr>
        <w:spacing w:before="40" w:after="40" w:line="300" w:lineRule="auto"/>
        <w:ind w:firstLine="480"/>
      </w:pPr>
      <w:r>
        <w:rPr>
          <w:rFonts w:ascii="Times New Roman" w:hAnsi="Times New Roman" w:eastAsia="SimSun"/>
          <w:b w:val="0"/>
          <w:i w:val="0"/>
          <w:sz w:val="22"/>
        </w:rPr>
        <w:t>在归一化表达空间中，Kla–DDR已表达靶基因占全表达基因的百分比在类别间呈现以下显著差异：</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正常细胞系 vs 非肿瘤组织：</w:t>
      </w:r>
      <w:r>
        <w:rPr>
          <w:rFonts w:ascii="Times New Roman" w:hAnsi="Times New Roman" w:eastAsia="SimSun"/>
          <w:b w:val="0"/>
          <w:i w:val="0"/>
          <w:sz w:val="22"/>
        </w:rPr>
        <w:t>正常细胞系显著高于非肿瘤组织（差值 +0.38个百分点，p = 5.42×10⁻⁴，q = 3.25×10⁻³）。</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癌细胞系 vs 非肿瘤组织：</w:t>
      </w:r>
      <w:r>
        <w:rPr>
          <w:rFonts w:ascii="Times New Roman" w:hAnsi="Times New Roman" w:eastAsia="SimSun"/>
          <w:b w:val="0"/>
          <w:i w:val="0"/>
          <w:sz w:val="22"/>
        </w:rPr>
        <w:t>癌细胞系显著高于非肿瘤组织（差值 +0.45个百分点，p = 9.94×10⁻³，q = 0.0199）。</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正常细胞系 vs 肿瘤组织：</w:t>
      </w:r>
      <w:r>
        <w:rPr>
          <w:rFonts w:ascii="Times New Roman" w:hAnsi="Times New Roman" w:eastAsia="SimSun"/>
          <w:b w:val="0"/>
          <w:i w:val="0"/>
          <w:sz w:val="22"/>
        </w:rPr>
        <w:t>正常细胞系显著高于肿瘤组织（差值 +0.29个百分点，p = 9.80×10⁻³，q = 0.0199）。</w:t>
      </w:r>
    </w:p>
    <w:p>
      <w:pPr>
        <w:spacing w:before="40" w:after="40" w:line="300" w:lineRule="auto"/>
        <w:ind w:firstLine="480"/>
      </w:pPr>
      <w:r>
        <w:rPr>
          <w:rFonts w:ascii="Times New Roman" w:hAnsi="Times New Roman" w:eastAsia="SimSun"/>
          <w:b w:val="0"/>
          <w:i w:val="0"/>
          <w:sz w:val="22"/>
        </w:rPr>
        <w:t>而Kla–DDR靶基因与全Kla靶基因的表达中位数本身及其样本内差值在四类别间均未达到统计显著性。</w:t>
      </w:r>
    </w:p>
    <w:p>
      <w:pPr>
        <w:spacing w:before="160" w:after="80" w:line="288" w:lineRule="auto"/>
      </w:pPr>
      <w:r>
        <w:rPr>
          <w:rFonts w:ascii="Times New Roman" w:hAnsi="Times New Roman" w:eastAsia="SimHei"/>
          <w:b/>
          <w:i w:val="0"/>
          <w:sz w:val="24"/>
        </w:rPr>
        <w:t>5. 机器学习外部独立队列验证：共2项预测目标显著</w:t>
      </w:r>
    </w:p>
    <w:p>
      <w:pPr>
        <w:spacing w:before="40" w:after="40" w:line="300" w:lineRule="auto"/>
        <w:ind w:firstLine="480"/>
      </w:pPr>
      <w:r>
        <w:rPr>
          <w:rFonts w:ascii="Times New Roman" w:hAnsi="Times New Roman" w:eastAsia="SimSun"/>
          <w:b w:val="0"/>
          <w:i w:val="0"/>
          <w:sz w:val="22"/>
        </w:rPr>
        <w:t>在GSE130078队列的23对配对患者组织（双侧配对Wilcoxon符号秩检验）中：</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Kla_DDR预测值：</w:t>
      </w:r>
      <w:r>
        <w:rPr>
          <w:rFonts w:ascii="Times New Roman" w:hAnsi="Times New Roman" w:eastAsia="SimSun"/>
          <w:b w:val="0"/>
          <w:i w:val="0"/>
          <w:sz w:val="22"/>
        </w:rPr>
        <w:t>肿瘤组织预测值显著低于自身配对的癌旁组织（Hodges–Lehmann中位位移 -0.28个百分点，95% CI [-0.48, -0.06]，p = 0.0149，q = 0.0297）。</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Proteome_DDR预测值：</w:t>
      </w:r>
      <w:r>
        <w:rPr>
          <w:rFonts w:ascii="Times New Roman" w:hAnsi="Times New Roman" w:eastAsia="SimSun"/>
          <w:b w:val="0"/>
          <w:i w:val="0"/>
          <w:sz w:val="22"/>
        </w:rPr>
        <w:t>肿瘤组织预测值显著高于自身配对的癌旁组织（Hodges–Lehmann中位位移 +0.046个百分点，95% CI [+0.010, +0.087]，p = 0.0149，q = 0.0297）。</w:t>
      </w:r>
    </w:p>
    <w:p>
      <w:pPr>
        <w:spacing w:before="40" w:after="40" w:line="300" w:lineRule="auto"/>
        <w:ind w:firstLine="480"/>
      </w:pPr>
      <w:r>
        <w:rPr>
          <w:rFonts w:ascii="Times New Roman" w:hAnsi="Times New Roman" w:eastAsia="SimSun"/>
          <w:b w:val="0"/>
          <w:i w:val="0"/>
          <w:sz w:val="22"/>
        </w:rPr>
        <w:t>Kla_DNA_repair（q = 0.0750）与Proteome_DNA_repair（q = 0.7540）未达显著性标准。</w:t>
      </w:r>
    </w:p>
    <w:p>
      <w:pPr>
        <w:spacing w:before="240" w:after="120" w:line="288" w:lineRule="auto"/>
      </w:pPr>
      <w:r>
        <w:rPr>
          <w:rFonts w:ascii="Times New Roman" w:hAnsi="Times New Roman" w:eastAsia="SimHei"/>
          <w:b/>
          <w:i w:val="0"/>
          <w:sz w:val="28"/>
        </w:rPr>
        <w:t>三、图表展示与多重校正口径特别说明</w:t>
      </w:r>
    </w:p>
    <w:p>
      <w:pPr>
        <w:spacing w:before="40" w:after="40" w:line="300" w:lineRule="auto"/>
        <w:ind w:firstLine="480"/>
      </w:pPr>
      <w:r>
        <w:rPr>
          <w:rFonts w:ascii="Times New Roman" w:hAnsi="Times New Roman" w:eastAsia="SimSun"/>
          <w:b w:val="0"/>
          <w:i w:val="0"/>
          <w:sz w:val="22"/>
        </w:rPr>
        <w:t>主图与补充图中的显著性括号，遵循“仅展示其他三类相对于非肿瘤组织基准的预设对照”原则，其校正族仅包含预设对照（ReferenceQ），因此与全两两比较家族校正（Q）存在一处边界差异：</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 图二H微同源末端连接（AEJ）抑制比例：</w:t>
      </w:r>
      <w:r>
        <w:rPr>
          <w:rFonts w:ascii="Times New Roman" w:hAnsi="Times New Roman" w:eastAsia="SimSun"/>
          <w:b w:val="0"/>
          <w:i w:val="0"/>
          <w:sz w:val="22"/>
        </w:rPr>
        <w:t>正常细胞系中AEJ抑制类蛋白占比高于非肿瘤组织（差值 +3.16个百分点，p = 6.30×10⁻⁴）。在针对非肿瘤组织对照的预设对照族中，ReferenceQ = 0.0265，达到显著性（图二H标注*）；但在包含四类别全部两两比较的84项完整家族校正中，Q = 0.0529，未进入完整表的33项显著集合中。</w:t>
      </w:r>
    </w:p>
    <w:p>
      <w:pPr>
        <w:spacing w:before="40" w:after="40" w:line="300" w:lineRule="auto"/>
        <w:ind w:firstLine="480"/>
      </w:pPr>
      <w:r>
        <w:rPr>
          <w:rFonts w:ascii="Times New Roman" w:hAnsi="Times New Roman" w:eastAsia="SimSun"/>
          <w:b w:val="0"/>
          <w:i w:val="0"/>
          <w:sz w:val="22"/>
        </w:rPr>
        <w:t>汇报与行文时建议明确区分：若基于预设非肿瘤组织对照族，该项显著并于图上标星；若基于全部两两比较全局校正表，则该项处于边缘临界状态。</w:t>
      </w:r>
    </w:p>
    <w:p>
      <w:pPr>
        <w:spacing w:before="240" w:after="120" w:line="288" w:lineRule="auto"/>
      </w:pPr>
      <w:r>
        <w:rPr>
          <w:rFonts w:ascii="Times New Roman" w:hAnsi="Times New Roman" w:eastAsia="SimHei"/>
          <w:b/>
          <w:i w:val="0"/>
          <w:sz w:val="28"/>
        </w:rPr>
        <w:t>四、未达显著及未作假设检验的模块说明</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1. MKI67蛋白比值：</w:t>
      </w:r>
      <w:r>
        <w:rPr>
          <w:rFonts w:ascii="Times New Roman" w:hAnsi="Times New Roman" w:eastAsia="SimSun"/>
          <w:b w:val="0"/>
          <w:i w:val="0"/>
          <w:sz w:val="22"/>
        </w:rPr>
        <w:t>全蛋白组MKI67/H3C1、MKI67/ACTB、MKI67/TUBB在可估计的9项两两比较中均无显著差异（q ≥ 0.05）。</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2. G2M检查点表达评分：</w:t>
      </w:r>
      <w:r>
        <w:rPr>
          <w:rFonts w:ascii="Times New Roman" w:hAnsi="Times New Roman" w:eastAsia="SimSun"/>
          <w:b w:val="0"/>
          <w:i w:val="0"/>
          <w:sz w:val="22"/>
        </w:rPr>
        <w:t>四类材料间的两两对比均未达显著性。</w:t>
      </w:r>
    </w:p>
    <w:p>
      <w:pPr>
        <w:spacing w:before="40" w:after="40" w:line="288" w:lineRule="auto"/>
        <w:ind w:left="420" w:hanging="420"/>
      </w:pPr>
      <w:r>
        <w:rPr>
          <w:rFonts w:ascii="Times New Roman" w:hAnsi="Times New Roman" w:eastAsia="SimSun"/>
          <w:b/>
          <w:i w:val="0"/>
          <w:sz w:val="22"/>
        </w:rPr>
        <w:t xml:space="preserve">• </w:t>
      </w:r>
      <w:r>
        <w:rPr>
          <w:rFonts w:ascii="Times New Roman" w:hAnsi="Times New Roman" w:eastAsia="SimSun"/>
          <w:b/>
          <w:i w:val="0"/>
          <w:sz w:val="22"/>
        </w:rPr>
        <w:t>3. 描述性展示面板：</w:t>
      </w:r>
      <w:r>
        <w:rPr>
          <w:rFonts w:ascii="Times New Roman" w:hAnsi="Times New Roman" w:eastAsia="SimSun"/>
          <w:b w:val="0"/>
          <w:i w:val="0"/>
          <w:sz w:val="22"/>
        </w:rPr>
        <w:t>图二A/B及补充图S1的UpSet图（交集集合描述）、图三A的UMAP流形投影（转录谱降维分布呈现）、补充图S4的调控因子百分位热图（单样本百分位概览）属于描述性或探索性分析，不设立组间假设检验。</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