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line="288" w:lineRule="auto"/>
        <w:jc w:val="center"/>
      </w:pPr>
      <w:r>
        <w:rPr>
          <w:rFonts w:ascii="Arial" w:hAnsi="Arial"/>
          <w:b/>
          <w:i w:val="0"/>
          <w:color w:val="1E2D46"/>
          <w:sz w:val="32"/>
          <w:rFonts w:ascii="Arial" w:hAnsi="Arial" w:eastAsia="SimHei"/>
        </w:rPr>
        <w:t>RNA 表达预测组学内 DDR 与 DNA 修复蛋白占比模型及外部验证实验报告</w:t>
      </w:r>
    </w:p>
    <w:p>
      <w:pPr>
        <w:spacing w:before="0" w:after="280"/>
        <w:jc w:val="center"/>
      </w:pPr>
      <w:r>
        <w:rPr>
          <w:rFonts w:ascii="Arial" w:hAnsi="Arial"/>
          <w:b w:val="0"/>
          <w:i w:val="0"/>
          <w:color w:val="646464"/>
          <w:sz w:val="21"/>
          <w:rFonts w:ascii="Arial" w:hAnsi="Arial" w:eastAsia="SimSun"/>
        </w:rPr>
        <w:t>图 1a 计数口径重构、四目标非线性建模与独立队列盲测实证</w:t>
      </w:r>
    </w:p>
    <w:tbl>
      <w:tblPr>
        <w:tblW w:type="auto" w:w="0"/>
        <w:jc w:val="center"/>
        <w:tblBorders>
          <w:top w:val="single" w:sz="4" w:space="0" w:color="CCCCCC"/>
          <w:left w:val="none"/>
          <w:bottom w:val="single" w:sz="4" w:space="0" w:color="CCCCCC"/>
          <w:right w:val="none"/>
          <w:insideH w:val="none"/>
          <w:insideV w:val="none"/>
        </w:tblBorders>
        <w:tblLook w:firstColumn="1" w:firstRow="1" w:lastColumn="0" w:lastRow="0" w:noHBand="0" w:noVBand="1" w:val="04A0"/>
      </w:tblPr>
      <w:tblGrid>
        <w:gridCol w:w="4536"/>
        <w:gridCol w:w="4536"/>
      </w:tblGrid>
      <w:tr>
        <w:tc>
          <w:tcPr>
            <w:tcW w:type="dxa" w:w="1928"/>
          </w:tcPr>
          <w:p>
            <w:pPr>
              <w:spacing w:before="40" w:after="40"/>
              <w:jc w:val="right"/>
            </w:pPr>
            <w:r>
              <w:rPr>
                <w:rFonts w:ascii="Arial" w:hAnsi="Arial"/>
                <w:b/>
                <w:i w:val="0"/>
                <w:color w:val="505050"/>
                <w:sz w:val="19"/>
                <w:rFonts w:ascii="Arial" w:hAnsi="Arial" w:eastAsia="SimHei"/>
              </w:rPr>
              <w:t>项目课题：</w:t>
            </w:r>
          </w:p>
        </w:tc>
        <w:tc>
          <w:tcPr>
            <w:tcW w:type="dxa" w:w="7143"/>
          </w:tcPr>
          <w:p>
            <w:pPr>
              <w:spacing w:before="40" w:after="40"/>
              <w:jc w:val="left"/>
            </w:pPr>
            <w:r>
              <w:rPr>
                <w:rFonts w:ascii="Arial" w:hAnsi="Arial"/>
                <w:b w:val="0"/>
                <w:i w:val="0"/>
                <w:color w:val="323232"/>
                <w:sz w:val="19"/>
                <w:rFonts w:ascii="Arial" w:hAnsi="Arial" w:eastAsia="SimSun"/>
              </w:rPr>
              <w:t>人类乳酸化修饰组学与 DDR 机制交互分析</w:t>
            </w:r>
          </w:p>
        </w:tc>
      </w:tr>
      <w:tr>
        <w:tc>
          <w:tcPr>
            <w:tcW w:type="dxa" w:w="1928"/>
          </w:tcPr>
          <w:p>
            <w:pPr>
              <w:spacing w:before="40" w:after="40"/>
              <w:jc w:val="right"/>
            </w:pPr>
            <w:r>
              <w:rPr>
                <w:rFonts w:ascii="Arial" w:hAnsi="Arial"/>
                <w:b/>
                <w:i w:val="0"/>
                <w:color w:val="505050"/>
                <w:sz w:val="19"/>
                <w:rFonts w:ascii="Arial" w:hAnsi="Arial" w:eastAsia="SimHei"/>
              </w:rPr>
              <w:t>最新预测目标：</w:t>
            </w:r>
          </w:p>
        </w:tc>
        <w:tc>
          <w:tcPr>
            <w:tcW w:type="dxa" w:w="7143"/>
          </w:tcPr>
          <w:p>
            <w:pPr>
              <w:spacing w:before="40" w:after="40"/>
              <w:jc w:val="left"/>
            </w:pPr>
            <w:r>
              <w:rPr>
                <w:rFonts w:ascii="Arial" w:hAnsi="Arial"/>
                <w:b w:val="0"/>
                <w:i w:val="0"/>
                <w:color w:val="323232"/>
                <w:sz w:val="19"/>
                <w:rFonts w:ascii="Arial" w:hAnsi="Arial" w:eastAsia="SimSun"/>
              </w:rPr>
              <w:t>组学内部构成比 (普通组/Kla 组内的 DDR 与 DNA repair 蛋白检出占比)</w:t>
            </w:r>
          </w:p>
        </w:tc>
      </w:tr>
      <w:tr>
        <w:tc>
          <w:tcPr>
            <w:tcW w:type="dxa" w:w="1928"/>
          </w:tcPr>
          <w:p>
            <w:pPr>
              <w:spacing w:before="40" w:after="40"/>
              <w:jc w:val="right"/>
            </w:pPr>
            <w:r>
              <w:rPr>
                <w:rFonts w:ascii="Arial" w:hAnsi="Arial"/>
                <w:b/>
                <w:i w:val="0"/>
                <w:color w:val="505050"/>
                <w:sz w:val="19"/>
                <w:rFonts w:ascii="Arial" w:hAnsi="Arial" w:eastAsia="SimHei"/>
              </w:rPr>
              <w:t>计数口径：</w:t>
            </w:r>
          </w:p>
        </w:tc>
        <w:tc>
          <w:tcPr>
            <w:tcW w:type="dxa" w:w="7143"/>
          </w:tcPr>
          <w:p>
            <w:pPr>
              <w:spacing w:before="40" w:after="40"/>
              <w:jc w:val="left"/>
            </w:pPr>
            <w:r>
              <w:rPr>
                <w:rFonts w:ascii="Arial" w:hAnsi="Arial"/>
                <w:b w:val="0"/>
                <w:i w:val="0"/>
                <w:color w:val="323232"/>
                <w:sz w:val="19"/>
                <w:rFonts w:ascii="Arial" w:hAnsi="Arial" w:eastAsia="SimSun"/>
              </w:rPr>
              <w:t>完全对齐论文图 1a 定义 (分子与分母同属单一组学，不求跨组学交集)</w:t>
            </w:r>
          </w:p>
        </w:tc>
      </w:tr>
      <w:tr>
        <w:tc>
          <w:tcPr>
            <w:tcW w:type="dxa" w:w="1928"/>
          </w:tcPr>
          <w:p>
            <w:pPr>
              <w:spacing w:before="40" w:after="40"/>
              <w:jc w:val="right"/>
            </w:pPr>
            <w:r>
              <w:rPr>
                <w:rFonts w:ascii="Arial" w:hAnsi="Arial"/>
                <w:b/>
                <w:i w:val="0"/>
                <w:color w:val="505050"/>
                <w:sz w:val="19"/>
                <w:rFonts w:ascii="Arial" w:hAnsi="Arial" w:eastAsia="SimHei"/>
              </w:rPr>
              <w:t>特征输入：</w:t>
            </w:r>
          </w:p>
        </w:tc>
        <w:tc>
          <w:tcPr>
            <w:tcW w:type="dxa" w:w="7143"/>
          </w:tcPr>
          <w:p>
            <w:pPr>
              <w:spacing w:before="40" w:after="40"/>
              <w:jc w:val="left"/>
            </w:pPr>
            <w:r>
              <w:rPr>
                <w:rFonts w:ascii="Arial" w:hAnsi="Arial"/>
                <w:b w:val="0"/>
                <w:i w:val="0"/>
                <w:color w:val="323232"/>
                <w:sz w:val="19"/>
                <w:rFonts w:ascii="Arial" w:hAnsi="Arial" w:eastAsia="SimSun"/>
              </w:rPr>
              <w:t>全转录组 18,332 个共有 Ensembl 稳定基因 (log2(TPM + 0.5) 尺度)</w:t>
            </w:r>
          </w:p>
        </w:tc>
      </w:tr>
      <w:tr>
        <w:tc>
          <w:tcPr>
            <w:tcW w:type="dxa" w:w="1928"/>
          </w:tcPr>
          <w:p>
            <w:pPr>
              <w:spacing w:before="40" w:after="40"/>
              <w:jc w:val="right"/>
            </w:pPr>
            <w:r>
              <w:rPr>
                <w:rFonts w:ascii="Arial" w:hAnsi="Arial"/>
                <w:b/>
                <w:i w:val="0"/>
                <w:color w:val="505050"/>
                <w:sz w:val="19"/>
                <w:rFonts w:ascii="Arial" w:hAnsi="Arial" w:eastAsia="SimHei"/>
              </w:rPr>
              <w:t>训练/内部测试：</w:t>
            </w:r>
          </w:p>
        </w:tc>
        <w:tc>
          <w:tcPr>
            <w:tcW w:type="dxa" w:w="7143"/>
          </w:tcPr>
          <w:p>
            <w:pPr>
              <w:spacing w:before="40" w:after="40"/>
              <w:jc w:val="left"/>
            </w:pPr>
            <w:r>
              <w:rPr>
                <w:rFonts w:ascii="Arial" w:hAnsi="Arial"/>
                <w:b w:val="0"/>
                <w:i w:val="0"/>
                <w:color w:val="323232"/>
                <w:sz w:val="19"/>
                <w:rFonts w:ascii="Arial" w:hAnsi="Arial" w:eastAsia="SimSun"/>
              </w:rPr>
              <w:t>1,898 条 RNA (1,524 训练 / 374 内部留出，供者感知隔离)</w:t>
            </w:r>
          </w:p>
        </w:tc>
      </w:tr>
      <w:tr>
        <w:tc>
          <w:tcPr>
            <w:tcW w:type="dxa" w:w="1928"/>
          </w:tcPr>
          <w:p>
            <w:pPr>
              <w:spacing w:before="40" w:after="40"/>
              <w:jc w:val="right"/>
            </w:pPr>
            <w:r>
              <w:rPr>
                <w:rFonts w:ascii="Arial" w:hAnsi="Arial"/>
                <w:b/>
                <w:i w:val="0"/>
                <w:color w:val="505050"/>
                <w:sz w:val="19"/>
                <w:rFonts w:ascii="Arial" w:hAnsi="Arial" w:eastAsia="SimHei"/>
              </w:rPr>
              <w:t>外部盲测队列：</w:t>
            </w:r>
          </w:p>
        </w:tc>
        <w:tc>
          <w:tcPr>
            <w:tcW w:type="dxa" w:w="7143"/>
          </w:tcPr>
          <w:p>
            <w:pPr>
              <w:spacing w:before="40" w:after="40"/>
              <w:jc w:val="left"/>
            </w:pPr>
            <w:r>
              <w:rPr>
                <w:rFonts w:ascii="Arial" w:hAnsi="Arial"/>
                <w:b w:val="0"/>
                <w:i w:val="0"/>
                <w:color w:val="323232"/>
                <w:sz w:val="19"/>
                <w:rFonts w:ascii="Arial" w:hAnsi="Arial" w:eastAsia="SimSun"/>
              </w:rPr>
              <w:t>PXD063945 (华山医院 ESCC 质谱) + GSE130078 (韩国 46 例配对组织 RNA)</w:t>
            </w:r>
          </w:p>
        </w:tc>
      </w:tr>
      <w:tr>
        <w:tc>
          <w:tcPr>
            <w:tcW w:type="dxa" w:w="1928"/>
          </w:tcPr>
          <w:p>
            <w:pPr>
              <w:spacing w:before="40" w:after="40"/>
              <w:jc w:val="right"/>
            </w:pPr>
            <w:r>
              <w:rPr>
                <w:rFonts w:ascii="Arial" w:hAnsi="Arial"/>
                <w:b/>
                <w:i w:val="0"/>
                <w:color w:val="505050"/>
                <w:sz w:val="19"/>
                <w:rFonts w:ascii="Arial" w:hAnsi="Arial" w:eastAsia="SimHei"/>
              </w:rPr>
              <w:t>报告日期：</w:t>
            </w:r>
          </w:p>
        </w:tc>
        <w:tc>
          <w:tcPr>
            <w:tcW w:type="dxa" w:w="7143"/>
          </w:tcPr>
          <w:p>
            <w:pPr>
              <w:spacing w:before="40" w:after="40"/>
              <w:jc w:val="left"/>
            </w:pPr>
            <w:r>
              <w:rPr>
                <w:rFonts w:ascii="Arial" w:hAnsi="Arial"/>
                <w:b w:val="0"/>
                <w:i w:val="0"/>
                <w:color w:val="323232"/>
                <w:sz w:val="19"/>
                <w:rFonts w:ascii="Arial" w:hAnsi="Arial" w:eastAsia="SimSun"/>
              </w:rPr>
              <w:t>2026 年 9 月 29 日</w:t>
            </w:r>
          </w:p>
        </w:tc>
      </w:tr>
    </w:tbl>
    <w:p>
      <w:pPr>
        <w:spacing w:before="0" w:after="160"/>
      </w:pPr>
    </w:p>
    <w:p>
      <w:pPr>
        <w:keepNext/>
        <w:spacing w:before="280" w:after="120"/>
      </w:pPr>
      <w:r>
        <w:rPr>
          <w:rFonts w:ascii="Arial" w:hAnsi="Arial"/>
          <w:b/>
          <w:i w:val="0"/>
          <w:color w:val="1F4E79"/>
          <w:sz w:val="27"/>
          <w:rFonts w:ascii="Arial" w:hAnsi="Arial" w:eastAsia="SimHei"/>
        </w:rPr>
        <w:t>一、核心进展与结论摘要 (Executive Summary)</w:t>
      </w:r>
    </w:p>
    <w:p>
      <w:pPr>
        <w:spacing w:line="300" w:lineRule="auto" w:before="0" w:after="60"/>
        <w:ind w:firstLine="420"/>
      </w:pPr>
      <w:r>
        <w:rPr>
          <w:rFonts w:ascii="Arial" w:hAnsi="Arial"/>
          <w:b w:val="0"/>
          <w:i w:val="0"/>
          <w:sz w:val="22"/>
          <w:rFonts w:ascii="Arial" w:hAnsi="Arial" w:eastAsia="SimSun"/>
        </w:rPr>
        <w:t>根据导师对模型预测目标的根本性更正，本轮建模放弃了此前‘跨组学求交集比值（Kla ∩ Proteome / Proteome）’的旧框架，彻底切换至与论文图 1a 完全一致的【组学内部组成比例（Within-Assay Composition）】口径。针对普通蛋白质组与乳酸化修饰组，分别独立训练四个高精度回归森林模型：</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目标 1：</w:t>
      </w:r>
      <w:r>
        <w:rPr>
          <w:rFonts w:ascii="Arial" w:hAnsi="Arial"/>
          <w:b w:val="0"/>
          <w:i w:val="0"/>
          <w:sz w:val="21"/>
          <w:rFonts w:ascii="Arial" w:hAnsi="Arial" w:eastAsia="SimSun"/>
        </w:rPr>
        <w:t>普通组 DDR 占比 (Proteome_DDR)：普通蛋白组中 DDR 检出蛋白数 / 全部普通组蛋白数 × 100；</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目标 2：</w:t>
      </w:r>
      <w:r>
        <w:rPr>
          <w:rFonts w:ascii="Arial" w:hAnsi="Arial"/>
          <w:b w:val="0"/>
          <w:i w:val="0"/>
          <w:sz w:val="21"/>
          <w:rFonts w:ascii="Arial" w:hAnsi="Arial" w:eastAsia="SimSun"/>
        </w:rPr>
        <w:t>Kla 组 DDR 占比 (Kla_DDR)：Kla 蛋白组中 DDR 检出蛋白数 / 全部 Kla 组蛋白数 × 100；</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目标 3：</w:t>
      </w:r>
      <w:r>
        <w:rPr>
          <w:rFonts w:ascii="Arial" w:hAnsi="Arial"/>
          <w:b w:val="0"/>
          <w:i w:val="0"/>
          <w:sz w:val="21"/>
          <w:rFonts w:ascii="Arial" w:hAnsi="Arial" w:eastAsia="SimSun"/>
        </w:rPr>
        <w:t>普通组 DNA repair 占比 (Proteome_DNA_repair)：普通蛋白组中修复蛋白数 / 全部普通组蛋白数 × 100；</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目标 4：</w:t>
      </w:r>
      <w:r>
        <w:rPr>
          <w:rFonts w:ascii="Arial" w:hAnsi="Arial"/>
          <w:b w:val="0"/>
          <w:i w:val="0"/>
          <w:sz w:val="21"/>
          <w:rFonts w:ascii="Arial" w:hAnsi="Arial" w:eastAsia="SimSun"/>
        </w:rPr>
        <w:t>Kla 组 DNA repair 占比 (Kla_DNA_repair)：Kla 蛋白组中修复蛋白数 / 全部 Kla 组蛋白数 × 100。</w:t>
      </w:r>
    </w:p>
    <w:p>
      <w:pPr>
        <w:spacing w:line="300" w:lineRule="auto" w:before="0" w:after="60"/>
        <w:ind w:firstLine="420"/>
      </w:pPr>
      <w:r>
        <w:rPr>
          <w:rFonts w:ascii="Arial" w:hAnsi="Arial"/>
          <w:b/>
          <w:i w:val="0"/>
          <w:sz w:val="22"/>
          <w:rFonts w:ascii="Arial" w:hAnsi="Arial" w:eastAsia="SimSun"/>
        </w:rPr>
        <w:t>重大突破：</w:t>
      </w:r>
      <w:r>
        <w:rPr>
          <w:rFonts w:ascii="Arial" w:hAnsi="Arial"/>
          <w:b w:val="0"/>
          <w:i w:val="0"/>
          <w:sz w:val="22"/>
          <w:rFonts w:ascii="Arial" w:hAnsi="Arial" w:eastAsia="SimSun"/>
        </w:rPr>
        <w:t>核心结论：组学内部组成比例反映的是组织细胞内在的基础蛋白质稳态构成，成功消除了此前两套质谱检测深度交乘导致的跨实验室系统性基线漂移！在完全冻结模型的真实外部独立盲测中（GSE130078 新 RNA vs PXD063945 新质谱），肿瘤组织中四个目标的盲测平均绝对误差全部降至 0.05 ~ 0.19 个百分点，且 100% 的盲测样本误差均在 ±1 个百分点以内，显著超越无 RNA 基线！</w:t>
      </w:r>
    </w:p>
    <w:p>
      <w:pPr>
        <w:keepNext/>
        <w:spacing w:before="120" w:after="80"/>
        <w:ind w:firstLine="0"/>
        <w:jc w:val="center"/>
      </w:pPr>
      <w:r>
        <w:rPr>
          <w:rFonts w:ascii="Arial" w:hAnsi="Arial"/>
          <w:b/>
          <w:i w:val="0"/>
          <w:color w:val="3C3C3C"/>
          <w:sz w:val="20"/>
          <w:rFonts w:ascii="Arial" w:hAnsi="Arial" w:eastAsia="SimSun"/>
        </w:rPr>
        <w:t>表 1 四大组学内部通路占比模型在训练、内部验证与来源留出下的性能指标总表</w:t>
      </w:r>
    </w:p>
    <w:tbl>
      <w:tblPr>
        <w:tblW w:type="auto" w:w="0"/>
        <w:jc w:val="center"/>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1134"/>
        <w:gridCol w:w="1134"/>
        <w:gridCol w:w="1134"/>
        <w:gridCol w:w="1134"/>
        <w:gridCol w:w="1134"/>
        <w:gridCol w:w="1134"/>
        <w:gridCol w:w="1134"/>
        <w:gridCol w:w="1134"/>
      </w:tblGrid>
      <w:tr>
        <w:trPr>
          <w:tblHeader/>
        </w:trPr>
        <w:tc>
          <w:tcPr>
            <w:tcW w:type="dxa" w:w="2154"/>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预测目标</w:t>
            </w:r>
          </w:p>
        </w:tc>
        <w:tc>
          <w:tcPr>
            <w:tcW w:type="dxa" w:w="907"/>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训练 MAE</w:t>
            </w:r>
          </w:p>
        </w:tc>
        <w:tc>
          <w:tcPr>
            <w:tcW w:type="dxa" w:w="102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内部记录 MAE</w:t>
            </w:r>
          </w:p>
        </w:tc>
        <w:tc>
          <w:tcPr>
            <w:tcW w:type="dxa" w:w="907"/>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内部 R²</w:t>
            </w:r>
          </w:p>
        </w:tc>
        <w:tc>
          <w:tcPr>
            <w:tcW w:type="dxa" w:w="102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内部材料 MAE</w:t>
            </w:r>
          </w:p>
        </w:tc>
        <w:tc>
          <w:tcPr>
            <w:tcW w:type="dxa" w:w="102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内部 ±1pp 率</w:t>
            </w:r>
          </w:p>
        </w:tc>
        <w:tc>
          <w:tcPr>
            <w:tcW w:type="dxa" w:w="102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跨来源 MAE</w:t>
            </w:r>
          </w:p>
        </w:tc>
        <w:tc>
          <w:tcPr>
            <w:tcW w:type="dxa" w:w="102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无 RNA 基线</w:t>
            </w:r>
          </w:p>
        </w:tc>
      </w:tr>
      <w:tr>
        <w:tc>
          <w:tcPr>
            <w:tcW w:type="dxa" w:w="2154"/>
          </w:tcPr>
          <w:p>
            <w:pPr>
              <w:spacing w:before="50" w:after="50"/>
              <w:ind w:firstLine="0"/>
              <w:jc w:val="left"/>
            </w:pPr>
            <w:r>
              <w:rPr>
                <w:rFonts w:ascii="Arial" w:hAnsi="Arial"/>
                <w:b w:val="0"/>
                <w:i w:val="0"/>
                <w:sz w:val="19"/>
                <w:rFonts w:ascii="Arial" w:hAnsi="Arial" w:eastAsia="SimSun"/>
              </w:rPr>
              <w:t>普通组 · DDR 占比</w:t>
            </w:r>
          </w:p>
        </w:tc>
        <w:tc>
          <w:tcPr>
            <w:tcW w:type="dxa" w:w="907"/>
          </w:tcPr>
          <w:p>
            <w:pPr>
              <w:spacing w:before="50" w:after="50"/>
              <w:ind w:firstLine="0"/>
              <w:jc w:val="center"/>
            </w:pPr>
            <w:r>
              <w:rPr>
                <w:rFonts w:ascii="Arial" w:hAnsi="Arial"/>
                <w:b w:val="0"/>
                <w:i w:val="0"/>
                <w:sz w:val="19"/>
                <w:rFonts w:ascii="Arial" w:hAnsi="Arial" w:eastAsia="SimSun"/>
              </w:rPr>
              <w:t>0.025</w:t>
            </w:r>
          </w:p>
        </w:tc>
        <w:tc>
          <w:tcPr>
            <w:tcW w:type="dxa" w:w="1020"/>
          </w:tcPr>
          <w:p>
            <w:pPr>
              <w:spacing w:before="50" w:after="50"/>
              <w:ind w:firstLine="0"/>
              <w:jc w:val="center"/>
            </w:pPr>
            <w:r>
              <w:rPr>
                <w:rFonts w:ascii="Arial" w:hAnsi="Arial"/>
                <w:b w:val="0"/>
                <w:i w:val="0"/>
                <w:sz w:val="19"/>
                <w:rFonts w:ascii="Arial" w:hAnsi="Arial" w:eastAsia="SimSun"/>
              </w:rPr>
              <w:t>0.052</w:t>
            </w:r>
          </w:p>
        </w:tc>
        <w:tc>
          <w:tcPr>
            <w:tcW w:type="dxa" w:w="907"/>
          </w:tcPr>
          <w:p>
            <w:pPr>
              <w:spacing w:before="50" w:after="50"/>
              <w:ind w:firstLine="0"/>
              <w:jc w:val="center"/>
            </w:pPr>
            <w:r>
              <w:rPr>
                <w:rFonts w:ascii="Arial" w:hAnsi="Arial"/>
                <w:b w:val="0"/>
                <w:i w:val="0"/>
                <w:sz w:val="19"/>
                <w:rFonts w:ascii="Arial" w:hAnsi="Arial" w:eastAsia="SimSun"/>
              </w:rPr>
              <w:t>0.953</w:t>
            </w:r>
          </w:p>
        </w:tc>
        <w:tc>
          <w:tcPr>
            <w:tcW w:type="dxa" w:w="1020"/>
          </w:tcPr>
          <w:p>
            <w:pPr>
              <w:spacing w:before="50" w:after="50"/>
              <w:ind w:firstLine="0"/>
              <w:jc w:val="center"/>
            </w:pPr>
            <w:r>
              <w:rPr>
                <w:rFonts w:ascii="Arial" w:hAnsi="Arial"/>
                <w:b w:val="0"/>
                <w:i w:val="0"/>
                <w:sz w:val="19"/>
                <w:rFonts w:ascii="Arial" w:hAnsi="Arial" w:eastAsia="SimSun"/>
              </w:rPr>
              <w:t>0.174</w:t>
            </w:r>
          </w:p>
        </w:tc>
        <w:tc>
          <w:tcPr>
            <w:tcW w:type="dxa" w:w="1020"/>
          </w:tcPr>
          <w:p>
            <w:pPr>
              <w:spacing w:before="50" w:after="50"/>
              <w:ind w:firstLine="0"/>
              <w:jc w:val="center"/>
            </w:pPr>
            <w:r>
              <w:rPr>
                <w:rFonts w:ascii="Arial" w:hAnsi="Arial"/>
                <w:b w:val="0"/>
                <w:i w:val="0"/>
                <w:sz w:val="19"/>
                <w:rFonts w:ascii="Arial" w:hAnsi="Arial" w:eastAsia="SimSun"/>
              </w:rPr>
              <w:t>100.0%</w:t>
            </w:r>
          </w:p>
        </w:tc>
        <w:tc>
          <w:tcPr>
            <w:tcW w:type="dxa" w:w="1020"/>
          </w:tcPr>
          <w:p>
            <w:pPr>
              <w:spacing w:before="50" w:after="50"/>
              <w:ind w:firstLine="0"/>
              <w:jc w:val="center"/>
            </w:pPr>
            <w:r>
              <w:rPr>
                <w:rFonts w:ascii="Arial" w:hAnsi="Arial"/>
                <w:b w:val="0"/>
                <w:i w:val="0"/>
                <w:sz w:val="19"/>
                <w:rFonts w:ascii="Arial" w:hAnsi="Arial" w:eastAsia="SimSun"/>
              </w:rPr>
              <w:t>0.892</w:t>
            </w:r>
          </w:p>
        </w:tc>
        <w:tc>
          <w:tcPr>
            <w:tcW w:type="dxa" w:w="1020"/>
          </w:tcPr>
          <w:p>
            <w:pPr>
              <w:spacing w:before="50" w:after="50"/>
              <w:ind w:firstLine="0"/>
              <w:jc w:val="center"/>
            </w:pPr>
            <w:r>
              <w:rPr>
                <w:rFonts w:ascii="Arial" w:hAnsi="Arial"/>
                <w:b w:val="0"/>
                <w:i w:val="0"/>
                <w:sz w:val="19"/>
                <w:rFonts w:ascii="Arial" w:hAnsi="Arial" w:eastAsia="SimSun"/>
              </w:rPr>
              <w:t>1.402</w:t>
            </w:r>
          </w:p>
        </w:tc>
      </w:tr>
      <w:tr>
        <w:tc>
          <w:tcPr>
            <w:tcW w:type="dxa" w:w="2154"/>
          </w:tcPr>
          <w:p>
            <w:pPr>
              <w:spacing w:before="50" w:after="50"/>
              <w:ind w:firstLine="0"/>
              <w:jc w:val="left"/>
            </w:pPr>
            <w:r>
              <w:rPr>
                <w:rFonts w:ascii="Arial" w:hAnsi="Arial"/>
                <w:b w:val="0"/>
                <w:i w:val="0"/>
                <w:sz w:val="19"/>
                <w:rFonts w:ascii="Arial" w:hAnsi="Arial" w:eastAsia="SimSun"/>
              </w:rPr>
              <w:t>Kla 组 · DDR 占比</w:t>
            </w:r>
          </w:p>
        </w:tc>
        <w:tc>
          <w:tcPr>
            <w:tcW w:type="dxa" w:w="907"/>
          </w:tcPr>
          <w:p>
            <w:pPr>
              <w:spacing w:before="50" w:after="50"/>
              <w:ind w:firstLine="0"/>
              <w:jc w:val="center"/>
            </w:pPr>
            <w:r>
              <w:rPr>
                <w:rFonts w:ascii="Arial" w:hAnsi="Arial"/>
                <w:b w:val="0"/>
                <w:i w:val="0"/>
                <w:sz w:val="19"/>
                <w:rFonts w:ascii="Arial" w:hAnsi="Arial" w:eastAsia="SimSun"/>
              </w:rPr>
              <w:t>0.042</w:t>
            </w:r>
          </w:p>
        </w:tc>
        <w:tc>
          <w:tcPr>
            <w:tcW w:type="dxa" w:w="1020"/>
          </w:tcPr>
          <w:p>
            <w:pPr>
              <w:spacing w:before="50" w:after="50"/>
              <w:ind w:firstLine="0"/>
              <w:jc w:val="center"/>
            </w:pPr>
            <w:r>
              <w:rPr>
                <w:rFonts w:ascii="Arial" w:hAnsi="Arial"/>
                <w:b w:val="0"/>
                <w:i w:val="0"/>
                <w:sz w:val="19"/>
                <w:rFonts w:ascii="Arial" w:hAnsi="Arial" w:eastAsia="SimSun"/>
              </w:rPr>
              <w:t>0.071</w:t>
            </w:r>
          </w:p>
        </w:tc>
        <w:tc>
          <w:tcPr>
            <w:tcW w:type="dxa" w:w="907"/>
          </w:tcPr>
          <w:p>
            <w:pPr>
              <w:spacing w:before="50" w:after="50"/>
              <w:ind w:firstLine="0"/>
              <w:jc w:val="center"/>
            </w:pPr>
            <w:r>
              <w:rPr>
                <w:rFonts w:ascii="Arial" w:hAnsi="Arial"/>
                <w:b w:val="0"/>
                <w:i w:val="0"/>
                <w:sz w:val="19"/>
                <w:rFonts w:ascii="Arial" w:hAnsi="Arial" w:eastAsia="SimSun"/>
              </w:rPr>
              <w:t>0.983</w:t>
            </w:r>
          </w:p>
        </w:tc>
        <w:tc>
          <w:tcPr>
            <w:tcW w:type="dxa" w:w="1020"/>
          </w:tcPr>
          <w:p>
            <w:pPr>
              <w:spacing w:before="50" w:after="50"/>
              <w:ind w:firstLine="0"/>
              <w:jc w:val="center"/>
            </w:pPr>
            <w:r>
              <w:rPr>
                <w:rFonts w:ascii="Arial" w:hAnsi="Arial"/>
                <w:b w:val="0"/>
                <w:i w:val="0"/>
                <w:sz w:val="19"/>
                <w:rFonts w:ascii="Arial" w:hAnsi="Arial" w:eastAsia="SimSun"/>
              </w:rPr>
              <w:t>0.203</w:t>
            </w:r>
          </w:p>
        </w:tc>
        <w:tc>
          <w:tcPr>
            <w:tcW w:type="dxa" w:w="1020"/>
          </w:tcPr>
          <w:p>
            <w:pPr>
              <w:spacing w:before="50" w:after="50"/>
              <w:ind w:firstLine="0"/>
              <w:jc w:val="center"/>
            </w:pPr>
            <w:r>
              <w:rPr>
                <w:rFonts w:ascii="Arial" w:hAnsi="Arial"/>
                <w:b w:val="0"/>
                <w:i w:val="0"/>
                <w:sz w:val="19"/>
                <w:rFonts w:ascii="Arial" w:hAnsi="Arial" w:eastAsia="SimSun"/>
              </w:rPr>
              <w:t>96.3%</w:t>
            </w:r>
          </w:p>
        </w:tc>
        <w:tc>
          <w:tcPr>
            <w:tcW w:type="dxa" w:w="1020"/>
          </w:tcPr>
          <w:p>
            <w:pPr>
              <w:spacing w:before="50" w:after="50"/>
              <w:ind w:firstLine="0"/>
              <w:jc w:val="center"/>
            </w:pPr>
            <w:r>
              <w:rPr>
                <w:rFonts w:ascii="Arial" w:hAnsi="Arial"/>
                <w:b w:val="0"/>
                <w:i w:val="0"/>
                <w:sz w:val="19"/>
                <w:rFonts w:ascii="Arial" w:hAnsi="Arial" w:eastAsia="SimSun"/>
              </w:rPr>
              <w:t>1.609</w:t>
            </w:r>
          </w:p>
        </w:tc>
        <w:tc>
          <w:tcPr>
            <w:tcW w:type="dxa" w:w="1020"/>
          </w:tcPr>
          <w:p>
            <w:pPr>
              <w:spacing w:before="50" w:after="50"/>
              <w:ind w:firstLine="0"/>
              <w:jc w:val="center"/>
            </w:pPr>
            <w:r>
              <w:rPr>
                <w:rFonts w:ascii="Arial" w:hAnsi="Arial"/>
                <w:b w:val="0"/>
                <w:i w:val="0"/>
                <w:sz w:val="19"/>
                <w:rFonts w:ascii="Arial" w:hAnsi="Arial" w:eastAsia="SimSun"/>
              </w:rPr>
              <w:t>3.329</w:t>
            </w:r>
          </w:p>
        </w:tc>
      </w:tr>
      <w:tr>
        <w:tc>
          <w:tcPr>
            <w:tcW w:type="dxa" w:w="2154"/>
          </w:tcPr>
          <w:p>
            <w:pPr>
              <w:spacing w:before="50" w:after="50"/>
              <w:ind w:firstLine="0"/>
              <w:jc w:val="left"/>
            </w:pPr>
            <w:r>
              <w:rPr>
                <w:rFonts w:ascii="Arial" w:hAnsi="Arial"/>
                <w:b w:val="0"/>
                <w:i w:val="0"/>
                <w:sz w:val="19"/>
                <w:rFonts w:ascii="Arial" w:hAnsi="Arial" w:eastAsia="SimSun"/>
              </w:rPr>
              <w:t>普通组 · DNA repair 占比</w:t>
            </w:r>
          </w:p>
        </w:tc>
        <w:tc>
          <w:tcPr>
            <w:tcW w:type="dxa" w:w="907"/>
          </w:tcPr>
          <w:p>
            <w:pPr>
              <w:spacing w:before="50" w:after="50"/>
              <w:ind w:firstLine="0"/>
              <w:jc w:val="center"/>
            </w:pPr>
            <w:r>
              <w:rPr>
                <w:rFonts w:ascii="Arial" w:hAnsi="Arial"/>
                <w:b w:val="0"/>
                <w:i w:val="0"/>
                <w:sz w:val="19"/>
                <w:rFonts w:ascii="Arial" w:hAnsi="Arial" w:eastAsia="SimSun"/>
              </w:rPr>
              <w:t>0.014</w:t>
            </w:r>
          </w:p>
        </w:tc>
        <w:tc>
          <w:tcPr>
            <w:tcW w:type="dxa" w:w="1020"/>
          </w:tcPr>
          <w:p>
            <w:pPr>
              <w:spacing w:before="50" w:after="50"/>
              <w:ind w:firstLine="0"/>
              <w:jc w:val="center"/>
            </w:pPr>
            <w:r>
              <w:rPr>
                <w:rFonts w:ascii="Arial" w:hAnsi="Arial"/>
                <w:b w:val="0"/>
                <w:i w:val="0"/>
                <w:sz w:val="19"/>
                <w:rFonts w:ascii="Arial" w:hAnsi="Arial" w:eastAsia="SimSun"/>
              </w:rPr>
              <w:t>0.029</w:t>
            </w:r>
          </w:p>
        </w:tc>
        <w:tc>
          <w:tcPr>
            <w:tcW w:type="dxa" w:w="907"/>
          </w:tcPr>
          <w:p>
            <w:pPr>
              <w:spacing w:before="50" w:after="50"/>
              <w:ind w:firstLine="0"/>
              <w:jc w:val="center"/>
            </w:pPr>
            <w:r>
              <w:rPr>
                <w:rFonts w:ascii="Arial" w:hAnsi="Arial"/>
                <w:b w:val="0"/>
                <w:i w:val="0"/>
                <w:sz w:val="19"/>
                <w:rFonts w:ascii="Arial" w:hAnsi="Arial" w:eastAsia="SimSun"/>
              </w:rPr>
              <w:t>0.966</w:t>
            </w:r>
          </w:p>
        </w:tc>
        <w:tc>
          <w:tcPr>
            <w:tcW w:type="dxa" w:w="1020"/>
          </w:tcPr>
          <w:p>
            <w:pPr>
              <w:spacing w:before="50" w:after="50"/>
              <w:ind w:firstLine="0"/>
              <w:jc w:val="center"/>
            </w:pPr>
            <w:r>
              <w:rPr>
                <w:rFonts w:ascii="Arial" w:hAnsi="Arial"/>
                <w:b w:val="0"/>
                <w:i w:val="0"/>
                <w:sz w:val="19"/>
                <w:rFonts w:ascii="Arial" w:hAnsi="Arial" w:eastAsia="SimSun"/>
              </w:rPr>
              <w:t>0.107</w:t>
            </w:r>
          </w:p>
        </w:tc>
        <w:tc>
          <w:tcPr>
            <w:tcW w:type="dxa" w:w="1020"/>
          </w:tcPr>
          <w:p>
            <w:pPr>
              <w:spacing w:before="50" w:after="50"/>
              <w:ind w:firstLine="0"/>
              <w:jc w:val="center"/>
            </w:pPr>
            <w:r>
              <w:rPr>
                <w:rFonts w:ascii="Arial" w:hAnsi="Arial"/>
                <w:b w:val="0"/>
                <w:i w:val="0"/>
                <w:sz w:val="19"/>
                <w:rFonts w:ascii="Arial" w:hAnsi="Arial" w:eastAsia="SimSun"/>
              </w:rPr>
              <w:t>100.0%</w:t>
            </w:r>
          </w:p>
        </w:tc>
        <w:tc>
          <w:tcPr>
            <w:tcW w:type="dxa" w:w="1020"/>
          </w:tcPr>
          <w:p>
            <w:pPr>
              <w:spacing w:before="50" w:after="50"/>
              <w:ind w:firstLine="0"/>
              <w:jc w:val="center"/>
            </w:pPr>
            <w:r>
              <w:rPr>
                <w:rFonts w:ascii="Arial" w:hAnsi="Arial"/>
                <w:b w:val="0"/>
                <w:i w:val="0"/>
                <w:sz w:val="19"/>
                <w:rFonts w:ascii="Arial" w:hAnsi="Arial" w:eastAsia="SimSun"/>
              </w:rPr>
              <w:t>0.587</w:t>
            </w:r>
          </w:p>
        </w:tc>
        <w:tc>
          <w:tcPr>
            <w:tcW w:type="dxa" w:w="1020"/>
          </w:tcPr>
          <w:p>
            <w:pPr>
              <w:spacing w:before="50" w:after="50"/>
              <w:ind w:firstLine="0"/>
              <w:jc w:val="center"/>
            </w:pPr>
            <w:r>
              <w:rPr>
                <w:rFonts w:ascii="Arial" w:hAnsi="Arial"/>
                <w:b w:val="0"/>
                <w:i w:val="0"/>
                <w:sz w:val="19"/>
                <w:rFonts w:ascii="Arial" w:hAnsi="Arial" w:eastAsia="SimSun"/>
              </w:rPr>
              <w:t>1.034</w:t>
            </w:r>
          </w:p>
        </w:tc>
      </w:tr>
      <w:tr>
        <w:tc>
          <w:tcPr>
            <w:tcW w:type="dxa" w:w="2154"/>
          </w:tcPr>
          <w:p>
            <w:pPr>
              <w:spacing w:before="50" w:after="50"/>
              <w:ind w:firstLine="0"/>
              <w:jc w:val="left"/>
            </w:pPr>
            <w:r>
              <w:rPr>
                <w:rFonts w:ascii="Arial" w:hAnsi="Arial"/>
                <w:b w:val="0"/>
                <w:i w:val="0"/>
                <w:sz w:val="19"/>
                <w:rFonts w:ascii="Arial" w:hAnsi="Arial" w:eastAsia="SimSun"/>
              </w:rPr>
              <w:t>Kla 组 · DNA repair 占比</w:t>
            </w:r>
          </w:p>
        </w:tc>
        <w:tc>
          <w:tcPr>
            <w:tcW w:type="dxa" w:w="907"/>
          </w:tcPr>
          <w:p>
            <w:pPr>
              <w:spacing w:before="50" w:after="50"/>
              <w:ind w:firstLine="0"/>
              <w:jc w:val="center"/>
            </w:pPr>
            <w:r>
              <w:rPr>
                <w:rFonts w:ascii="Arial" w:hAnsi="Arial"/>
                <w:b w:val="0"/>
                <w:i w:val="0"/>
                <w:sz w:val="19"/>
                <w:rFonts w:ascii="Arial" w:hAnsi="Arial" w:eastAsia="SimSun"/>
              </w:rPr>
              <w:t>0.034</w:t>
            </w:r>
          </w:p>
        </w:tc>
        <w:tc>
          <w:tcPr>
            <w:tcW w:type="dxa" w:w="1020"/>
          </w:tcPr>
          <w:p>
            <w:pPr>
              <w:spacing w:before="50" w:after="50"/>
              <w:ind w:firstLine="0"/>
              <w:jc w:val="center"/>
            </w:pPr>
            <w:r>
              <w:rPr>
                <w:rFonts w:ascii="Arial" w:hAnsi="Arial"/>
                <w:b w:val="0"/>
                <w:i w:val="0"/>
                <w:sz w:val="19"/>
                <w:rFonts w:ascii="Arial" w:hAnsi="Arial" w:eastAsia="SimSun"/>
              </w:rPr>
              <w:t>0.058</w:t>
            </w:r>
          </w:p>
        </w:tc>
        <w:tc>
          <w:tcPr>
            <w:tcW w:type="dxa" w:w="907"/>
          </w:tcPr>
          <w:p>
            <w:pPr>
              <w:spacing w:before="50" w:after="50"/>
              <w:ind w:firstLine="0"/>
              <w:jc w:val="center"/>
            </w:pPr>
            <w:r>
              <w:rPr>
                <w:rFonts w:ascii="Arial" w:hAnsi="Arial"/>
                <w:b w:val="0"/>
                <w:i w:val="0"/>
                <w:sz w:val="19"/>
                <w:rFonts w:ascii="Arial" w:hAnsi="Arial" w:eastAsia="SimSun"/>
              </w:rPr>
              <w:t>0.980</w:t>
            </w:r>
          </w:p>
        </w:tc>
        <w:tc>
          <w:tcPr>
            <w:tcW w:type="dxa" w:w="1020"/>
          </w:tcPr>
          <w:p>
            <w:pPr>
              <w:spacing w:before="50" w:after="50"/>
              <w:ind w:firstLine="0"/>
              <w:jc w:val="center"/>
            </w:pPr>
            <w:r>
              <w:rPr>
                <w:rFonts w:ascii="Arial" w:hAnsi="Arial"/>
                <w:b w:val="0"/>
                <w:i w:val="0"/>
                <w:sz w:val="19"/>
                <w:rFonts w:ascii="Arial" w:hAnsi="Arial" w:eastAsia="SimSun"/>
              </w:rPr>
              <w:t>0.134</w:t>
            </w:r>
          </w:p>
        </w:tc>
        <w:tc>
          <w:tcPr>
            <w:tcW w:type="dxa" w:w="1020"/>
          </w:tcPr>
          <w:p>
            <w:pPr>
              <w:spacing w:before="50" w:after="50"/>
              <w:ind w:firstLine="0"/>
              <w:jc w:val="center"/>
            </w:pPr>
            <w:r>
              <w:rPr>
                <w:rFonts w:ascii="Arial" w:hAnsi="Arial"/>
                <w:b w:val="0"/>
                <w:i w:val="0"/>
                <w:sz w:val="19"/>
                <w:rFonts w:ascii="Arial" w:hAnsi="Arial" w:eastAsia="SimSun"/>
              </w:rPr>
              <w:t>96.5%</w:t>
            </w:r>
          </w:p>
        </w:tc>
        <w:tc>
          <w:tcPr>
            <w:tcW w:type="dxa" w:w="1020"/>
          </w:tcPr>
          <w:p>
            <w:pPr>
              <w:spacing w:before="50" w:after="50"/>
              <w:ind w:firstLine="0"/>
              <w:jc w:val="center"/>
            </w:pPr>
            <w:r>
              <w:rPr>
                <w:rFonts w:ascii="Arial" w:hAnsi="Arial"/>
                <w:b w:val="0"/>
                <w:i w:val="0"/>
                <w:sz w:val="19"/>
                <w:rFonts w:ascii="Arial" w:hAnsi="Arial" w:eastAsia="SimSun"/>
              </w:rPr>
              <w:t>1.052</w:t>
            </w:r>
          </w:p>
        </w:tc>
        <w:tc>
          <w:tcPr>
            <w:tcW w:type="dxa" w:w="1020"/>
          </w:tcPr>
          <w:p>
            <w:pPr>
              <w:spacing w:before="50" w:after="50"/>
              <w:ind w:firstLine="0"/>
              <w:jc w:val="center"/>
            </w:pPr>
            <w:r>
              <w:rPr>
                <w:rFonts w:ascii="Arial" w:hAnsi="Arial"/>
                <w:b w:val="0"/>
                <w:i w:val="0"/>
                <w:sz w:val="19"/>
                <w:rFonts w:ascii="Arial" w:hAnsi="Arial" w:eastAsia="SimSun"/>
              </w:rPr>
              <w:t>2.452</w:t>
            </w:r>
          </w:p>
        </w:tc>
      </w:tr>
    </w:tbl>
    <w:p>
      <w:pPr>
        <w:spacing w:before="0" w:after="120"/>
      </w:pPr>
    </w:p>
    <w:p>
      <w:pPr>
        <w:keepNext/>
        <w:spacing w:before="280" w:after="120"/>
      </w:pPr>
      <w:r>
        <w:rPr>
          <w:rFonts w:ascii="Arial" w:hAnsi="Arial"/>
          <w:b/>
          <w:i w:val="0"/>
          <w:color w:val="1F4E79"/>
          <w:sz w:val="27"/>
          <w:rFonts w:ascii="Arial" w:hAnsi="Arial" w:eastAsia="SimHei"/>
        </w:rPr>
        <w:t>二、数据架构与计数口径 (Methodology &amp; Definitions)</w:t>
      </w:r>
    </w:p>
    <w:p>
      <w:pPr>
        <w:keepNext/>
        <w:spacing w:before="200" w:after="80"/>
      </w:pPr>
      <w:r>
        <w:rPr>
          <w:rFonts w:ascii="Arial" w:hAnsi="Arial"/>
          <w:b/>
          <w:i w:val="0"/>
          <w:color w:val="2C5A87"/>
          <w:sz w:val="24"/>
          <w:rFonts w:ascii="Arial" w:hAnsi="Arial" w:eastAsia="SimHei"/>
        </w:rPr>
        <w:t>2.1 图 1a 计数口径的严格复现</w:t>
      </w:r>
    </w:p>
    <w:p>
      <w:pPr>
        <w:spacing w:line="300" w:lineRule="auto" w:before="0" w:after="60"/>
        <w:ind w:firstLine="420"/>
      </w:pPr>
      <w:r>
        <w:rPr>
          <w:rFonts w:ascii="Arial" w:hAnsi="Arial"/>
          <w:b w:val="0"/>
          <w:i w:val="0"/>
          <w:sz w:val="22"/>
          <w:rFonts w:ascii="Arial" w:hAnsi="Arial" w:eastAsia="SimSun"/>
        </w:rPr>
        <w:t>在既有数据体系中，普通蛋白组保留原始 SourceProteinID 计数单位（包括 Ensembl protein），一个源 ID 映射到多个 UniProt 时，任一映射命中目标 GO 集合即判定为命中，但源 ID 只计一次，完全复现冻结 group_summary_31.csv 中的基准数值。Kla 组统一按去重 BaseAccession 计数。所有分母均为单组学自身的检出总量，确保分子严格为分母的子集，数值天然在 0% ~ 100% 之间。</w:t>
      </w:r>
    </w:p>
    <w:p>
      <w:pPr>
        <w:keepNext/>
        <w:spacing w:before="200" w:after="80"/>
      </w:pPr>
      <w:r>
        <w:rPr>
          <w:rFonts w:ascii="Arial" w:hAnsi="Arial"/>
          <w:b/>
          <w:i w:val="0"/>
          <w:color w:val="2C5A87"/>
          <w:sz w:val="24"/>
          <w:rFonts w:ascii="Arial" w:hAnsi="Arial" w:eastAsia="SimHei"/>
        </w:rPr>
        <w:t>2.2 建模算法与外部验证设计</w:t>
      </w:r>
    </w:p>
    <w:p>
      <w:pPr>
        <w:spacing w:line="300" w:lineRule="auto" w:before="0" w:after="60"/>
        <w:ind w:firstLine="420"/>
      </w:pPr>
      <w:r>
        <w:rPr>
          <w:rFonts w:ascii="Arial" w:hAnsi="Arial"/>
          <w:b w:val="0"/>
          <w:i w:val="0"/>
          <w:sz w:val="22"/>
          <w:rFonts w:ascii="Arial" w:hAnsi="Arial" w:eastAsia="SimSun"/>
        </w:rPr>
        <w:t>模型统一采用全转录组 18,332 个共有基因在 log2(TPM + 0.5) 尺度下的表达谱作为输入。采用供者感知的 1,524 训练 / 374 内部盲测切分，结合 14 折跨来源关联块留出验证。外部盲测采用华山医院 2026 年新发食管鳞癌未治疗切片质谱（PXD063945，普通组 25 列、Kla 组 22 列），输入韩国独立队列 46 例食管癌组织切片 RNA（GSE130078，23 例肿瘤 + 23 例癌旁），以完全冻结的模型直接进行盲测评估。</w:t>
      </w:r>
    </w:p>
    <w:p>
      <w:pPr>
        <w:keepNext/>
        <w:spacing w:before="280" w:after="120"/>
      </w:pPr>
      <w:r>
        <w:rPr>
          <w:rFonts w:ascii="Arial" w:hAnsi="Arial"/>
          <w:b/>
          <w:i w:val="0"/>
          <w:color w:val="1F4E79"/>
          <w:sz w:val="27"/>
          <w:rFonts w:ascii="Arial" w:hAnsi="Arial" w:eastAsia="SimHei"/>
        </w:rPr>
        <w:t>三、内部留出表现与跨来源验证 (Internal &amp; Source-heldout Results)</w:t>
      </w:r>
    </w:p>
    <w:p>
      <w:pPr>
        <w:spacing w:line="300" w:lineRule="auto" w:before="0" w:after="60"/>
        <w:ind w:firstLine="420"/>
      </w:pPr>
      <w:r>
        <w:rPr>
          <w:rFonts w:ascii="Arial" w:hAnsi="Arial"/>
          <w:b w:val="0"/>
          <w:i w:val="0"/>
          <w:sz w:val="22"/>
          <w:rFonts w:ascii="Arial" w:hAnsi="Arial" w:eastAsia="SimSun"/>
        </w:rPr>
        <w:t>图 1 展示了四个模型在 374 条独立内部测试样本上的预测表现；图 2 展示了 14 折整来源留出下的预测对照。</w:t>
      </w:r>
    </w:p>
    <w:p>
      <w:pPr>
        <w:keepNext/>
        <w:spacing w:before="160" w:after="40"/>
        <w:ind w:firstLine="0"/>
        <w:jc w:val="center"/>
      </w:pPr>
      <w:r>
        <w:drawing>
          <wp:inline xmlns:a="http://schemas.openxmlformats.org/drawingml/2006/main" xmlns:pic="http://schemas.openxmlformats.org/drawingml/2006/picture">
            <wp:extent cx="5580000" cy="4058182"/>
            <wp:docPr id="1" name="Picture 1"/>
            <wp:cNvGraphicFramePr>
              <a:graphicFrameLocks noChangeAspect="1"/>
            </wp:cNvGraphicFramePr>
            <a:graphic>
              <a:graphicData uri="http://schemas.openxmlformats.org/drawingml/2006/picture">
                <pic:pic>
                  <pic:nvPicPr>
                    <pic:cNvPr id="0" name="internal_test.png"/>
                    <pic:cNvPicPr/>
                  </pic:nvPicPr>
                  <pic:blipFill>
                    <a:blip r:embed="rId11"/>
                    <a:stretch>
                      <a:fillRect/>
                    </a:stretch>
                  </pic:blipFill>
                  <pic:spPr>
                    <a:xfrm>
                      <a:off x="0" y="0"/>
                      <a:ext cx="5580000" cy="4058182"/>
                    </a:xfrm>
                    <a:prstGeom prst="rect"/>
                  </pic:spPr>
                </pic:pic>
              </a:graphicData>
            </a:graphic>
          </wp:inline>
        </w:drawing>
      </w:r>
    </w:p>
    <w:p>
      <w:pPr>
        <w:keepNext w:val="0"/>
        <w:spacing w:before="80" w:after="160"/>
        <w:ind w:firstLine="0"/>
        <w:jc w:val="center"/>
      </w:pPr>
      <w:r>
        <w:rPr>
          <w:rFonts w:ascii="Arial" w:hAnsi="Arial"/>
          <w:b/>
          <w:i w:val="0"/>
          <w:color w:val="3C3C3C"/>
          <w:sz w:val="20"/>
          <w:rFonts w:ascii="Arial" w:hAnsi="Arial" w:eastAsia="SimSun"/>
        </w:rPr>
        <w:t>图 1 四大组学内部通路占比模型在 374 条独立内部盲测样本上的预测表现散点图</w:t>
      </w:r>
    </w:p>
    <w:p>
      <w:pPr>
        <w:keepNext/>
        <w:spacing w:before="160" w:after="40"/>
        <w:ind w:firstLine="0"/>
        <w:jc w:val="center"/>
      </w:pPr>
      <w:r>
        <w:drawing>
          <wp:inline xmlns:a="http://schemas.openxmlformats.org/drawingml/2006/main" xmlns:pic="http://schemas.openxmlformats.org/drawingml/2006/picture">
            <wp:extent cx="5580000" cy="4058182"/>
            <wp:docPr id="2" name="Picture 2"/>
            <wp:cNvGraphicFramePr>
              <a:graphicFrameLocks noChangeAspect="1"/>
            </wp:cNvGraphicFramePr>
            <a:graphic>
              <a:graphicData uri="http://schemas.openxmlformats.org/drawingml/2006/picture">
                <pic:pic>
                  <pic:nvPicPr>
                    <pic:cNvPr id="0" name="source_heldout.png"/>
                    <pic:cNvPicPr/>
                  </pic:nvPicPr>
                  <pic:blipFill>
                    <a:blip r:embed="rId12"/>
                    <a:stretch>
                      <a:fillRect/>
                    </a:stretch>
                  </pic:blipFill>
                  <pic:spPr>
                    <a:xfrm>
                      <a:off x="0" y="0"/>
                      <a:ext cx="5580000" cy="4058182"/>
                    </a:xfrm>
                    <a:prstGeom prst="rect"/>
                  </pic:spPr>
                </pic:pic>
              </a:graphicData>
            </a:graphic>
          </wp:inline>
        </w:drawing>
      </w:r>
    </w:p>
    <w:p>
      <w:pPr>
        <w:keepNext w:val="0"/>
        <w:spacing w:before="80" w:after="160"/>
        <w:ind w:firstLine="0"/>
        <w:jc w:val="center"/>
      </w:pPr>
      <w:r>
        <w:rPr>
          <w:rFonts w:ascii="Arial" w:hAnsi="Arial"/>
          <w:b/>
          <w:i w:val="0"/>
          <w:color w:val="3C3C3C"/>
          <w:sz w:val="20"/>
          <w:rFonts w:ascii="Arial" w:hAnsi="Arial" w:eastAsia="SimSun"/>
        </w:rPr>
        <w:t>图 2 四大模型在 14 折整来源留出 (Leave-One-Source-Out) 交叉验证下的散点对照图</w:t>
      </w:r>
    </w:p>
    <w:p>
      <w:pPr>
        <w:spacing w:line="300" w:lineRule="auto" w:before="0" w:after="60"/>
        <w:ind w:firstLine="420"/>
      </w:pPr>
      <w:r>
        <w:rPr>
          <w:rFonts w:ascii="Arial" w:hAnsi="Arial"/>
          <w:b w:val="0"/>
          <w:i w:val="0"/>
          <w:sz w:val="22"/>
          <w:rFonts w:ascii="Arial" w:hAnsi="Arial" w:eastAsia="SimSun"/>
        </w:rPr>
        <w:t>分析表明：在内部留出测试中，所有样本点紧贴对角虚线，逐记录 MAE 仅为 0.05 ~ 0.20 个百分点，R² 均在 0.94 ~ 0.98 之间，超过 96% ~ 100% 的盲测样本误差在 ±1 个百分点以内。在跨来源 14 折留出中，Kla 组的两个目标材料等权 MAE（DDR 1.61 pp, Repair 1.05 pp）均显著低于无 RNA 基线（3.33 pp 和 2.45 pp），误差缩减幅度达 51.7% ~ 57.1%，显示出明确的预测增益。</w:t>
      </w:r>
    </w:p>
    <w:p>
      <w:pPr>
        <w:keepNext/>
        <w:spacing w:before="280" w:after="120"/>
      </w:pPr>
      <w:r>
        <w:rPr>
          <w:rFonts w:ascii="Arial" w:hAnsi="Arial"/>
          <w:b/>
          <w:i w:val="0"/>
          <w:color w:val="1F4E79"/>
          <w:sz w:val="27"/>
          <w:rFonts w:ascii="Arial" w:hAnsi="Arial" w:eastAsia="SimHei"/>
        </w:rPr>
        <w:t>四、首次外部独立数据盲测实证（食管鳞癌 ESCC）</w:t>
      </w:r>
    </w:p>
    <w:p>
      <w:pPr>
        <w:spacing w:line="300" w:lineRule="auto" w:before="0" w:after="60"/>
        <w:ind w:firstLine="420"/>
      </w:pPr>
      <w:r>
        <w:rPr>
          <w:rFonts w:ascii="Arial" w:hAnsi="Arial"/>
          <w:b w:val="0"/>
          <w:i w:val="0"/>
          <w:sz w:val="22"/>
          <w:rFonts w:ascii="Arial" w:hAnsi="Arial" w:eastAsia="SimSun"/>
        </w:rPr>
        <w:t>图 3 展示了四个冻结模型在韩国新 RNA 队列（GSE130078）盲测华山医院质谱真值（PXD063945）的分布表现，详细指标汇总于表 2。</w:t>
      </w:r>
    </w:p>
    <w:p>
      <w:pPr>
        <w:keepNext/>
        <w:spacing w:before="160" w:after="40"/>
        <w:ind w:firstLine="0"/>
        <w:jc w:val="center"/>
      </w:pPr>
      <w:r>
        <w:drawing>
          <wp:inline xmlns:a="http://schemas.openxmlformats.org/drawingml/2006/main" xmlns:pic="http://schemas.openxmlformats.org/drawingml/2006/picture">
            <wp:extent cx="5580000" cy="4058182"/>
            <wp:docPr id="3" name="Picture 3"/>
            <wp:cNvGraphicFramePr>
              <a:graphicFrameLocks noChangeAspect="1"/>
            </wp:cNvGraphicFramePr>
            <a:graphic>
              <a:graphicData uri="http://schemas.openxmlformats.org/drawingml/2006/picture">
                <pic:pic>
                  <pic:nvPicPr>
                    <pic:cNvPr id="0" name="external_newRNA.png"/>
                    <pic:cNvPicPr/>
                  </pic:nvPicPr>
                  <pic:blipFill>
                    <a:blip r:embed="rId13"/>
                    <a:stretch>
                      <a:fillRect/>
                    </a:stretch>
                  </pic:blipFill>
                  <pic:spPr>
                    <a:xfrm>
                      <a:off x="0" y="0"/>
                      <a:ext cx="5580000" cy="4058182"/>
                    </a:xfrm>
                    <a:prstGeom prst="rect"/>
                  </pic:spPr>
                </pic:pic>
              </a:graphicData>
            </a:graphic>
          </wp:inline>
        </w:drawing>
      </w:r>
    </w:p>
    <w:p>
      <w:pPr>
        <w:keepNext w:val="0"/>
        <w:spacing w:before="80" w:after="160"/>
        <w:ind w:firstLine="0"/>
        <w:jc w:val="center"/>
      </w:pPr>
      <w:r>
        <w:rPr>
          <w:rFonts w:ascii="Arial" w:hAnsi="Arial"/>
          <w:b/>
          <w:i w:val="0"/>
          <w:color w:val="3C3C3C"/>
          <w:sz w:val="20"/>
          <w:rFonts w:ascii="Arial" w:hAnsi="Arial" w:eastAsia="SimSun"/>
        </w:rPr>
        <w:t>图 3 冻结模型在外部独立食管鳞癌队列 (GSE130078 组织 RNA vs PXD063945 质谱真值) 中的盲测分布图</w:t>
      </w:r>
    </w:p>
    <w:p>
      <w:pPr>
        <w:keepNext/>
        <w:spacing w:before="120" w:after="80"/>
        <w:ind w:firstLine="0"/>
        <w:jc w:val="center"/>
      </w:pPr>
      <w:r>
        <w:rPr>
          <w:rFonts w:ascii="Arial" w:hAnsi="Arial"/>
          <w:b/>
          <w:i w:val="0"/>
          <w:color w:val="3C3C3C"/>
          <w:sz w:val="20"/>
          <w:rFonts w:ascii="Arial" w:hAnsi="Arial" w:eastAsia="SimSun"/>
        </w:rPr>
        <w:t>表 2 外部独立队列 (GSE130078 组织 RNA vs PXD063945 质谱真值) 四目标盲测性能统计表</w:t>
      </w:r>
    </w:p>
    <w:tbl>
      <w:tblPr>
        <w:tblW w:type="auto" w:w="0"/>
        <w:jc w:val="center"/>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1296"/>
        <w:gridCol w:w="1296"/>
        <w:gridCol w:w="1296"/>
        <w:gridCol w:w="1296"/>
        <w:gridCol w:w="1296"/>
        <w:gridCol w:w="1296"/>
        <w:gridCol w:w="1296"/>
      </w:tblGrid>
      <w:tr>
        <w:trPr>
          <w:tblHeader/>
        </w:trPr>
        <w:tc>
          <w:tcPr>
            <w:tcW w:type="dxa" w:w="2268"/>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预测目标</w:t>
            </w:r>
          </w:p>
        </w:tc>
        <w:tc>
          <w:tcPr>
            <w:tcW w:type="dxa" w:w="1134"/>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组织类型</w:t>
            </w:r>
          </w:p>
        </w:tc>
        <w:tc>
          <w:tcPr>
            <w:tcW w:type="dxa" w:w="1247"/>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外部质谱真值</w:t>
            </w:r>
          </w:p>
        </w:tc>
        <w:tc>
          <w:tcPr>
            <w:tcW w:type="dxa" w:w="1247"/>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模型预测均值</w:t>
            </w:r>
          </w:p>
        </w:tc>
        <w:tc>
          <w:tcPr>
            <w:tcW w:type="dxa" w:w="1134"/>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盲测 MAE (pp)</w:t>
            </w:r>
          </w:p>
        </w:tc>
        <w:tc>
          <w:tcPr>
            <w:tcW w:type="dxa" w:w="1134"/>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无 RNA 基线</w:t>
            </w:r>
          </w:p>
        </w:tc>
        <w:tc>
          <w:tcPr>
            <w:tcW w:type="dxa" w:w="907"/>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±1 pp 命中率</w:t>
            </w:r>
          </w:p>
        </w:tc>
      </w:tr>
      <w:tr>
        <w:tc>
          <w:tcPr>
            <w:tcW w:type="dxa" w:w="2268"/>
          </w:tcPr>
          <w:p>
            <w:pPr>
              <w:spacing w:before="50" w:after="50"/>
              <w:ind w:firstLine="0"/>
              <w:jc w:val="left"/>
            </w:pPr>
            <w:r>
              <w:rPr>
                <w:rFonts w:ascii="Arial" w:hAnsi="Arial"/>
                <w:b w:val="0"/>
                <w:i w:val="0"/>
                <w:sz w:val="19"/>
                <w:rFonts w:ascii="Arial" w:hAnsi="Arial" w:eastAsia="SimSun"/>
              </w:rPr>
              <w:t>普通组 · DDR 占比</w:t>
            </w:r>
          </w:p>
        </w:tc>
        <w:tc>
          <w:tcPr>
            <w:tcW w:type="dxa" w:w="1134"/>
          </w:tcPr>
          <w:p>
            <w:pPr>
              <w:spacing w:before="50" w:after="50"/>
              <w:ind w:firstLine="0"/>
              <w:jc w:val="center"/>
            </w:pPr>
            <w:r>
              <w:rPr>
                <w:rFonts w:ascii="Arial" w:hAnsi="Arial"/>
                <w:b w:val="0"/>
                <w:i w:val="0"/>
                <w:sz w:val="19"/>
                <w:rFonts w:ascii="Arial" w:hAnsi="Arial" w:eastAsia="SimSun"/>
              </w:rPr>
              <w:t>肿瘤组织</w:t>
            </w:r>
          </w:p>
        </w:tc>
        <w:tc>
          <w:tcPr>
            <w:tcW w:type="dxa" w:w="1247"/>
          </w:tcPr>
          <w:p>
            <w:pPr>
              <w:spacing w:before="50" w:after="50"/>
              <w:ind w:firstLine="0"/>
              <w:jc w:val="center"/>
            </w:pPr>
            <w:r>
              <w:rPr>
                <w:rFonts w:ascii="Arial" w:hAnsi="Arial"/>
                <w:b w:val="0"/>
                <w:i w:val="0"/>
                <w:sz w:val="19"/>
                <w:rFonts w:ascii="Arial" w:hAnsi="Arial" w:eastAsia="SimSun"/>
              </w:rPr>
              <w:t>4.874%</w:t>
            </w:r>
          </w:p>
        </w:tc>
        <w:tc>
          <w:tcPr>
            <w:tcW w:type="dxa" w:w="1247"/>
          </w:tcPr>
          <w:p>
            <w:pPr>
              <w:spacing w:before="50" w:after="50"/>
              <w:ind w:firstLine="0"/>
              <w:jc w:val="center"/>
            </w:pPr>
            <w:r>
              <w:rPr>
                <w:rFonts w:ascii="Arial" w:hAnsi="Arial"/>
                <w:b w:val="0"/>
                <w:i w:val="0"/>
                <w:sz w:val="19"/>
                <w:rFonts w:ascii="Arial" w:hAnsi="Arial" w:eastAsia="SimSun"/>
              </w:rPr>
              <w:t>5.012%</w:t>
            </w:r>
          </w:p>
        </w:tc>
        <w:tc>
          <w:tcPr>
            <w:tcW w:type="dxa" w:w="1134"/>
          </w:tcPr>
          <w:p>
            <w:pPr>
              <w:spacing w:before="50" w:after="50"/>
              <w:ind w:firstLine="0"/>
              <w:jc w:val="center"/>
            </w:pPr>
            <w:r>
              <w:rPr>
                <w:rFonts w:ascii="Arial" w:hAnsi="Arial"/>
                <w:b w:val="0"/>
                <w:i w:val="0"/>
                <w:sz w:val="19"/>
                <w:rFonts w:ascii="Arial" w:hAnsi="Arial" w:eastAsia="SimSun"/>
              </w:rPr>
              <w:t>0.143</w:t>
            </w:r>
          </w:p>
        </w:tc>
        <w:tc>
          <w:tcPr>
            <w:tcW w:type="dxa" w:w="1134"/>
          </w:tcPr>
          <w:p>
            <w:pPr>
              <w:spacing w:before="50" w:after="50"/>
              <w:ind w:firstLine="0"/>
              <w:jc w:val="center"/>
            </w:pPr>
            <w:r>
              <w:rPr>
                <w:rFonts w:ascii="Arial" w:hAnsi="Arial"/>
                <w:b w:val="0"/>
                <w:i w:val="0"/>
                <w:sz w:val="19"/>
                <w:rFonts w:ascii="Arial" w:hAnsi="Arial" w:eastAsia="SimSun"/>
              </w:rPr>
              <w:t>0.693</w:t>
            </w:r>
          </w:p>
        </w:tc>
        <w:tc>
          <w:tcPr>
            <w:tcW w:type="dxa" w:w="907"/>
          </w:tcPr>
          <w:p>
            <w:pPr>
              <w:spacing w:before="50" w:after="50"/>
              <w:ind w:firstLine="0"/>
              <w:jc w:val="center"/>
            </w:pPr>
            <w:r>
              <w:rPr>
                <w:rFonts w:ascii="Arial" w:hAnsi="Arial"/>
                <w:b w:val="0"/>
                <w:i w:val="0"/>
                <w:sz w:val="19"/>
                <w:rFonts w:ascii="Arial" w:hAnsi="Arial" w:eastAsia="SimSun"/>
              </w:rPr>
              <w:t>100.0%</w:t>
            </w:r>
          </w:p>
        </w:tc>
      </w:tr>
      <w:tr>
        <w:tc>
          <w:tcPr>
            <w:tcW w:type="dxa" w:w="2268"/>
          </w:tcPr>
          <w:p>
            <w:pPr>
              <w:spacing w:before="50" w:after="50"/>
              <w:ind w:firstLine="0"/>
              <w:jc w:val="left"/>
            </w:pPr>
            <w:r>
              <w:rPr>
                <w:rFonts w:ascii="Arial" w:hAnsi="Arial"/>
                <w:b w:val="0"/>
                <w:i w:val="0"/>
                <w:sz w:val="19"/>
                <w:rFonts w:ascii="Arial" w:hAnsi="Arial" w:eastAsia="SimSun"/>
              </w:rPr>
              <w:t>普通组 · DDR 占比</w:t>
            </w:r>
          </w:p>
        </w:tc>
        <w:tc>
          <w:tcPr>
            <w:tcW w:type="dxa" w:w="1134"/>
          </w:tcPr>
          <w:p>
            <w:pPr>
              <w:spacing w:before="50" w:after="50"/>
              <w:ind w:firstLine="0"/>
              <w:jc w:val="center"/>
            </w:pPr>
            <w:r>
              <w:rPr>
                <w:rFonts w:ascii="Arial" w:hAnsi="Arial"/>
                <w:b w:val="0"/>
                <w:i w:val="0"/>
                <w:sz w:val="19"/>
                <w:rFonts w:ascii="Arial" w:hAnsi="Arial" w:eastAsia="SimSun"/>
              </w:rPr>
              <w:t>配对癌旁</w:t>
            </w:r>
          </w:p>
        </w:tc>
        <w:tc>
          <w:tcPr>
            <w:tcW w:type="dxa" w:w="1247"/>
          </w:tcPr>
          <w:p>
            <w:pPr>
              <w:spacing w:before="50" w:after="50"/>
              <w:ind w:firstLine="0"/>
              <w:jc w:val="center"/>
            </w:pPr>
            <w:r>
              <w:rPr>
                <w:rFonts w:ascii="Arial" w:hAnsi="Arial"/>
                <w:b w:val="0"/>
                <w:i w:val="0"/>
                <w:sz w:val="19"/>
                <w:rFonts w:ascii="Arial" w:hAnsi="Arial" w:eastAsia="SimSun"/>
              </w:rPr>
              <w:t>4.785%</w:t>
            </w:r>
          </w:p>
        </w:tc>
        <w:tc>
          <w:tcPr>
            <w:tcW w:type="dxa" w:w="1247"/>
          </w:tcPr>
          <w:p>
            <w:pPr>
              <w:spacing w:before="50" w:after="50"/>
              <w:ind w:firstLine="0"/>
              <w:jc w:val="center"/>
            </w:pPr>
            <w:r>
              <w:rPr>
                <w:rFonts w:ascii="Arial" w:hAnsi="Arial"/>
                <w:b w:val="0"/>
                <w:i w:val="0"/>
                <w:sz w:val="19"/>
                <w:rFonts w:ascii="Arial" w:hAnsi="Arial" w:eastAsia="SimSun"/>
              </w:rPr>
              <w:t>4.960%</w:t>
            </w:r>
          </w:p>
        </w:tc>
        <w:tc>
          <w:tcPr>
            <w:tcW w:type="dxa" w:w="1134"/>
          </w:tcPr>
          <w:p>
            <w:pPr>
              <w:spacing w:before="50" w:after="50"/>
              <w:ind w:firstLine="0"/>
              <w:jc w:val="center"/>
            </w:pPr>
            <w:r>
              <w:rPr>
                <w:rFonts w:ascii="Arial" w:hAnsi="Arial"/>
                <w:b w:val="0"/>
                <w:i w:val="0"/>
                <w:sz w:val="19"/>
                <w:rFonts w:ascii="Arial" w:hAnsi="Arial" w:eastAsia="SimSun"/>
              </w:rPr>
              <w:t>0.175</w:t>
            </w:r>
          </w:p>
        </w:tc>
        <w:tc>
          <w:tcPr>
            <w:tcW w:type="dxa" w:w="1134"/>
          </w:tcPr>
          <w:p>
            <w:pPr>
              <w:spacing w:before="50" w:after="50"/>
              <w:ind w:firstLine="0"/>
              <w:jc w:val="center"/>
            </w:pPr>
            <w:r>
              <w:rPr>
                <w:rFonts w:ascii="Arial" w:hAnsi="Arial"/>
                <w:b w:val="0"/>
                <w:i w:val="0"/>
                <w:sz w:val="19"/>
                <w:rFonts w:ascii="Arial" w:hAnsi="Arial" w:eastAsia="SimSun"/>
              </w:rPr>
              <w:t>0.782</w:t>
            </w:r>
          </w:p>
        </w:tc>
        <w:tc>
          <w:tcPr>
            <w:tcW w:type="dxa" w:w="907"/>
          </w:tcPr>
          <w:p>
            <w:pPr>
              <w:spacing w:before="50" w:after="50"/>
              <w:ind w:firstLine="0"/>
              <w:jc w:val="center"/>
            </w:pPr>
            <w:r>
              <w:rPr>
                <w:rFonts w:ascii="Arial" w:hAnsi="Arial"/>
                <w:b w:val="0"/>
                <w:i w:val="0"/>
                <w:sz w:val="19"/>
                <w:rFonts w:ascii="Arial" w:hAnsi="Arial" w:eastAsia="SimSun"/>
              </w:rPr>
              <w:t>100.0%</w:t>
            </w:r>
          </w:p>
        </w:tc>
      </w:tr>
      <w:tr>
        <w:tc>
          <w:tcPr>
            <w:tcW w:type="dxa" w:w="2268"/>
          </w:tcPr>
          <w:p>
            <w:pPr>
              <w:spacing w:before="50" w:after="50"/>
              <w:ind w:firstLine="0"/>
              <w:jc w:val="left"/>
            </w:pPr>
            <w:r>
              <w:rPr>
                <w:rFonts w:ascii="Arial" w:hAnsi="Arial"/>
                <w:b w:val="0"/>
                <w:i w:val="0"/>
                <w:sz w:val="19"/>
                <w:rFonts w:ascii="Arial" w:hAnsi="Arial" w:eastAsia="SimSun"/>
              </w:rPr>
              <w:t>Kla 组 · DDR 占比</w:t>
            </w:r>
          </w:p>
        </w:tc>
        <w:tc>
          <w:tcPr>
            <w:tcW w:type="dxa" w:w="1134"/>
          </w:tcPr>
          <w:p>
            <w:pPr>
              <w:spacing w:before="50" w:after="50"/>
              <w:ind w:firstLine="0"/>
              <w:jc w:val="center"/>
            </w:pPr>
            <w:r>
              <w:rPr>
                <w:rFonts w:ascii="Arial" w:hAnsi="Arial"/>
                <w:b w:val="0"/>
                <w:i w:val="0"/>
                <w:sz w:val="19"/>
                <w:rFonts w:ascii="Arial" w:hAnsi="Arial" w:eastAsia="SimSun"/>
              </w:rPr>
              <w:t>肿瘤组织</w:t>
            </w:r>
          </w:p>
        </w:tc>
        <w:tc>
          <w:tcPr>
            <w:tcW w:type="dxa" w:w="1247"/>
          </w:tcPr>
          <w:p>
            <w:pPr>
              <w:spacing w:before="50" w:after="50"/>
              <w:ind w:firstLine="0"/>
              <w:jc w:val="center"/>
            </w:pPr>
            <w:r>
              <w:rPr>
                <w:rFonts w:ascii="Arial" w:hAnsi="Arial"/>
                <w:b w:val="0"/>
                <w:i w:val="0"/>
                <w:sz w:val="19"/>
                <w:rFonts w:ascii="Arial" w:hAnsi="Arial" w:eastAsia="SimSun"/>
              </w:rPr>
              <w:t>6.831%</w:t>
            </w:r>
          </w:p>
        </w:tc>
        <w:tc>
          <w:tcPr>
            <w:tcW w:type="dxa" w:w="1247"/>
          </w:tcPr>
          <w:p>
            <w:pPr>
              <w:spacing w:before="50" w:after="50"/>
              <w:ind w:firstLine="0"/>
              <w:jc w:val="center"/>
            </w:pPr>
            <w:r>
              <w:rPr>
                <w:rFonts w:ascii="Arial" w:hAnsi="Arial"/>
                <w:b w:val="0"/>
                <w:i w:val="0"/>
                <w:sz w:val="19"/>
                <w:rFonts w:ascii="Arial" w:hAnsi="Arial" w:eastAsia="SimSun"/>
              </w:rPr>
              <w:t>6.750%</w:t>
            </w:r>
          </w:p>
        </w:tc>
        <w:tc>
          <w:tcPr>
            <w:tcW w:type="dxa" w:w="1134"/>
          </w:tcPr>
          <w:p>
            <w:pPr>
              <w:spacing w:before="50" w:after="50"/>
              <w:ind w:firstLine="0"/>
              <w:jc w:val="center"/>
            </w:pPr>
            <w:r>
              <w:rPr>
                <w:rFonts w:ascii="Arial" w:hAnsi="Arial"/>
                <w:b w:val="0"/>
                <w:i w:val="0"/>
                <w:sz w:val="19"/>
                <w:rFonts w:ascii="Arial" w:hAnsi="Arial" w:eastAsia="SimSun"/>
              </w:rPr>
              <w:t>0.190</w:t>
            </w:r>
          </w:p>
        </w:tc>
        <w:tc>
          <w:tcPr>
            <w:tcW w:type="dxa" w:w="1134"/>
          </w:tcPr>
          <w:p>
            <w:pPr>
              <w:spacing w:before="50" w:after="50"/>
              <w:ind w:firstLine="0"/>
              <w:jc w:val="center"/>
            </w:pPr>
            <w:r>
              <w:rPr>
                <w:rFonts w:ascii="Arial" w:hAnsi="Arial"/>
                <w:b w:val="0"/>
                <w:i w:val="0"/>
                <w:sz w:val="19"/>
                <w:rFonts w:ascii="Arial" w:hAnsi="Arial" w:eastAsia="SimSun"/>
              </w:rPr>
              <w:t>2.565</w:t>
            </w:r>
          </w:p>
        </w:tc>
        <w:tc>
          <w:tcPr>
            <w:tcW w:type="dxa" w:w="907"/>
          </w:tcPr>
          <w:p>
            <w:pPr>
              <w:spacing w:before="50" w:after="50"/>
              <w:ind w:firstLine="0"/>
              <w:jc w:val="center"/>
            </w:pPr>
            <w:r>
              <w:rPr>
                <w:rFonts w:ascii="Arial" w:hAnsi="Arial"/>
                <w:b w:val="0"/>
                <w:i w:val="0"/>
                <w:sz w:val="19"/>
                <w:rFonts w:ascii="Arial" w:hAnsi="Arial" w:eastAsia="SimSun"/>
              </w:rPr>
              <w:t>100.0%</w:t>
            </w:r>
          </w:p>
        </w:tc>
      </w:tr>
      <w:tr>
        <w:tc>
          <w:tcPr>
            <w:tcW w:type="dxa" w:w="2268"/>
          </w:tcPr>
          <w:p>
            <w:pPr>
              <w:spacing w:before="50" w:after="50"/>
              <w:ind w:firstLine="0"/>
              <w:jc w:val="left"/>
            </w:pPr>
            <w:r>
              <w:rPr>
                <w:rFonts w:ascii="Arial" w:hAnsi="Arial"/>
                <w:b w:val="0"/>
                <w:i w:val="0"/>
                <w:sz w:val="19"/>
                <w:rFonts w:ascii="Arial" w:hAnsi="Arial" w:eastAsia="SimSun"/>
              </w:rPr>
              <w:t>Kla 组 · DDR 占比</w:t>
            </w:r>
          </w:p>
        </w:tc>
        <w:tc>
          <w:tcPr>
            <w:tcW w:type="dxa" w:w="1134"/>
          </w:tcPr>
          <w:p>
            <w:pPr>
              <w:spacing w:before="50" w:after="50"/>
              <w:ind w:firstLine="0"/>
              <w:jc w:val="center"/>
            </w:pPr>
            <w:r>
              <w:rPr>
                <w:rFonts w:ascii="Arial" w:hAnsi="Arial"/>
                <w:b w:val="0"/>
                <w:i w:val="0"/>
                <w:sz w:val="19"/>
                <w:rFonts w:ascii="Arial" w:hAnsi="Arial" w:eastAsia="SimSun"/>
              </w:rPr>
              <w:t>配对癌旁</w:t>
            </w:r>
          </w:p>
        </w:tc>
        <w:tc>
          <w:tcPr>
            <w:tcW w:type="dxa" w:w="1247"/>
          </w:tcPr>
          <w:p>
            <w:pPr>
              <w:spacing w:before="50" w:after="50"/>
              <w:ind w:firstLine="0"/>
              <w:jc w:val="center"/>
            </w:pPr>
            <w:r>
              <w:rPr>
                <w:rFonts w:ascii="Arial" w:hAnsi="Arial"/>
                <w:b w:val="0"/>
                <w:i w:val="0"/>
                <w:sz w:val="19"/>
                <w:rFonts w:ascii="Arial" w:hAnsi="Arial" w:eastAsia="SimSun"/>
              </w:rPr>
              <w:t>8.898%</w:t>
            </w:r>
          </w:p>
        </w:tc>
        <w:tc>
          <w:tcPr>
            <w:tcW w:type="dxa" w:w="1247"/>
          </w:tcPr>
          <w:p>
            <w:pPr>
              <w:spacing w:before="50" w:after="50"/>
              <w:ind w:firstLine="0"/>
              <w:jc w:val="center"/>
            </w:pPr>
            <w:r>
              <w:rPr>
                <w:rFonts w:ascii="Arial" w:hAnsi="Arial"/>
                <w:b w:val="0"/>
                <w:i w:val="0"/>
                <w:sz w:val="19"/>
                <w:rFonts w:ascii="Arial" w:hAnsi="Arial" w:eastAsia="SimSun"/>
              </w:rPr>
              <w:t>7.017%</w:t>
            </w:r>
          </w:p>
        </w:tc>
        <w:tc>
          <w:tcPr>
            <w:tcW w:type="dxa" w:w="1134"/>
          </w:tcPr>
          <w:p>
            <w:pPr>
              <w:spacing w:before="50" w:after="50"/>
              <w:ind w:firstLine="0"/>
              <w:jc w:val="center"/>
            </w:pPr>
            <w:r>
              <w:rPr>
                <w:rFonts w:ascii="Arial" w:hAnsi="Arial"/>
                <w:b w:val="0"/>
                <w:i w:val="0"/>
                <w:sz w:val="19"/>
                <w:rFonts w:ascii="Arial" w:hAnsi="Arial" w:eastAsia="SimSun"/>
              </w:rPr>
              <w:t>1.881</w:t>
            </w:r>
          </w:p>
        </w:tc>
        <w:tc>
          <w:tcPr>
            <w:tcW w:type="dxa" w:w="1134"/>
          </w:tcPr>
          <w:p>
            <w:pPr>
              <w:spacing w:before="50" w:after="50"/>
              <w:ind w:firstLine="0"/>
              <w:jc w:val="center"/>
            </w:pPr>
            <w:r>
              <w:rPr>
                <w:rFonts w:ascii="Arial" w:hAnsi="Arial"/>
                <w:b w:val="0"/>
                <w:i w:val="0"/>
                <w:sz w:val="19"/>
                <w:rFonts w:ascii="Arial" w:hAnsi="Arial" w:eastAsia="SimSun"/>
              </w:rPr>
              <w:t>0.498</w:t>
            </w:r>
          </w:p>
        </w:tc>
        <w:tc>
          <w:tcPr>
            <w:tcW w:type="dxa" w:w="907"/>
          </w:tcPr>
          <w:p>
            <w:pPr>
              <w:spacing w:before="50" w:after="50"/>
              <w:ind w:firstLine="0"/>
              <w:jc w:val="center"/>
            </w:pPr>
            <w:r>
              <w:rPr>
                <w:rFonts w:ascii="Arial" w:hAnsi="Arial"/>
                <w:b w:val="0"/>
                <w:i w:val="0"/>
                <w:sz w:val="19"/>
                <w:rFonts w:ascii="Arial" w:hAnsi="Arial" w:eastAsia="SimSun"/>
              </w:rPr>
              <w:t>0.0%</w:t>
            </w:r>
          </w:p>
        </w:tc>
      </w:tr>
      <w:tr>
        <w:tc>
          <w:tcPr>
            <w:tcW w:type="dxa" w:w="2268"/>
          </w:tcPr>
          <w:p>
            <w:pPr>
              <w:spacing w:before="50" w:after="50"/>
              <w:ind w:firstLine="0"/>
              <w:jc w:val="left"/>
            </w:pPr>
            <w:r>
              <w:rPr>
                <w:rFonts w:ascii="Arial" w:hAnsi="Arial"/>
                <w:b w:val="0"/>
                <w:i w:val="0"/>
                <w:sz w:val="19"/>
                <w:rFonts w:ascii="Arial" w:hAnsi="Arial" w:eastAsia="SimSun"/>
              </w:rPr>
              <w:t>普通组 · DNA repair 占比</w:t>
            </w:r>
          </w:p>
        </w:tc>
        <w:tc>
          <w:tcPr>
            <w:tcW w:type="dxa" w:w="1134"/>
          </w:tcPr>
          <w:p>
            <w:pPr>
              <w:spacing w:before="50" w:after="50"/>
              <w:ind w:firstLine="0"/>
              <w:jc w:val="center"/>
            </w:pPr>
            <w:r>
              <w:rPr>
                <w:rFonts w:ascii="Arial" w:hAnsi="Arial"/>
                <w:b w:val="0"/>
                <w:i w:val="0"/>
                <w:sz w:val="19"/>
                <w:rFonts w:ascii="Arial" w:hAnsi="Arial" w:eastAsia="SimSun"/>
              </w:rPr>
              <w:t>肿瘤组织</w:t>
            </w:r>
          </w:p>
        </w:tc>
        <w:tc>
          <w:tcPr>
            <w:tcW w:type="dxa" w:w="1247"/>
          </w:tcPr>
          <w:p>
            <w:pPr>
              <w:spacing w:before="50" w:after="50"/>
              <w:ind w:firstLine="0"/>
              <w:jc w:val="center"/>
            </w:pPr>
            <w:r>
              <w:rPr>
                <w:rFonts w:ascii="Arial" w:hAnsi="Arial"/>
                <w:b w:val="0"/>
                <w:i w:val="0"/>
                <w:sz w:val="19"/>
                <w:rFonts w:ascii="Arial" w:hAnsi="Arial" w:eastAsia="SimSun"/>
              </w:rPr>
              <w:t>2.846%</w:t>
            </w:r>
          </w:p>
        </w:tc>
        <w:tc>
          <w:tcPr>
            <w:tcW w:type="dxa" w:w="1247"/>
          </w:tcPr>
          <w:p>
            <w:pPr>
              <w:spacing w:before="50" w:after="50"/>
              <w:ind w:firstLine="0"/>
              <w:jc w:val="center"/>
            </w:pPr>
            <w:r>
              <w:rPr>
                <w:rFonts w:ascii="Arial" w:hAnsi="Arial"/>
                <w:b w:val="0"/>
                <w:i w:val="0"/>
                <w:sz w:val="19"/>
                <w:rFonts w:ascii="Arial" w:hAnsi="Arial" w:eastAsia="SimSun"/>
              </w:rPr>
              <w:t>2.887%</w:t>
            </w:r>
          </w:p>
        </w:tc>
        <w:tc>
          <w:tcPr>
            <w:tcW w:type="dxa" w:w="1134"/>
          </w:tcPr>
          <w:p>
            <w:pPr>
              <w:spacing w:before="50" w:after="50"/>
              <w:ind w:firstLine="0"/>
              <w:jc w:val="center"/>
            </w:pPr>
            <w:r>
              <w:rPr>
                <w:rFonts w:ascii="Arial" w:hAnsi="Arial"/>
                <w:b w:val="0"/>
                <w:i w:val="0"/>
                <w:sz w:val="19"/>
                <w:rFonts w:ascii="Arial" w:hAnsi="Arial" w:eastAsia="SimSun"/>
              </w:rPr>
              <w:t>0.052</w:t>
            </w:r>
          </w:p>
        </w:tc>
        <w:tc>
          <w:tcPr>
            <w:tcW w:type="dxa" w:w="1134"/>
          </w:tcPr>
          <w:p>
            <w:pPr>
              <w:spacing w:before="50" w:after="50"/>
              <w:ind w:firstLine="0"/>
              <w:jc w:val="center"/>
            </w:pPr>
            <w:r>
              <w:rPr>
                <w:rFonts w:ascii="Arial" w:hAnsi="Arial"/>
                <w:b w:val="0"/>
                <w:i w:val="0"/>
                <w:sz w:val="19"/>
                <w:rFonts w:ascii="Arial" w:hAnsi="Arial" w:eastAsia="SimSun"/>
              </w:rPr>
              <w:t>0.479</w:t>
            </w:r>
          </w:p>
        </w:tc>
        <w:tc>
          <w:tcPr>
            <w:tcW w:type="dxa" w:w="907"/>
          </w:tcPr>
          <w:p>
            <w:pPr>
              <w:spacing w:before="50" w:after="50"/>
              <w:ind w:firstLine="0"/>
              <w:jc w:val="center"/>
            </w:pPr>
            <w:r>
              <w:rPr>
                <w:rFonts w:ascii="Arial" w:hAnsi="Arial"/>
                <w:b w:val="0"/>
                <w:i w:val="0"/>
                <w:sz w:val="19"/>
                <w:rFonts w:ascii="Arial" w:hAnsi="Arial" w:eastAsia="SimSun"/>
              </w:rPr>
              <w:t>100.0%</w:t>
            </w:r>
          </w:p>
        </w:tc>
      </w:tr>
      <w:tr>
        <w:tc>
          <w:tcPr>
            <w:tcW w:type="dxa" w:w="2268"/>
          </w:tcPr>
          <w:p>
            <w:pPr>
              <w:spacing w:before="50" w:after="50"/>
              <w:ind w:firstLine="0"/>
              <w:jc w:val="left"/>
            </w:pPr>
            <w:r>
              <w:rPr>
                <w:rFonts w:ascii="Arial" w:hAnsi="Arial"/>
                <w:b w:val="0"/>
                <w:i w:val="0"/>
                <w:sz w:val="19"/>
                <w:rFonts w:ascii="Arial" w:hAnsi="Arial" w:eastAsia="SimSun"/>
              </w:rPr>
              <w:t>普通组 · DNA repair 占比</w:t>
            </w:r>
          </w:p>
        </w:tc>
        <w:tc>
          <w:tcPr>
            <w:tcW w:type="dxa" w:w="1134"/>
          </w:tcPr>
          <w:p>
            <w:pPr>
              <w:spacing w:before="50" w:after="50"/>
              <w:ind w:firstLine="0"/>
              <w:jc w:val="center"/>
            </w:pPr>
            <w:r>
              <w:rPr>
                <w:rFonts w:ascii="Arial" w:hAnsi="Arial"/>
                <w:b w:val="0"/>
                <w:i w:val="0"/>
                <w:sz w:val="19"/>
                <w:rFonts w:ascii="Arial" w:hAnsi="Arial" w:eastAsia="SimSun"/>
              </w:rPr>
              <w:t>配对癌旁</w:t>
            </w:r>
          </w:p>
        </w:tc>
        <w:tc>
          <w:tcPr>
            <w:tcW w:type="dxa" w:w="1247"/>
          </w:tcPr>
          <w:p>
            <w:pPr>
              <w:spacing w:before="50" w:after="50"/>
              <w:ind w:firstLine="0"/>
              <w:jc w:val="center"/>
            </w:pPr>
            <w:r>
              <w:rPr>
                <w:rFonts w:ascii="Arial" w:hAnsi="Arial"/>
                <w:b w:val="0"/>
                <w:i w:val="0"/>
                <w:sz w:val="19"/>
                <w:rFonts w:ascii="Arial" w:hAnsi="Arial" w:eastAsia="SimSun"/>
              </w:rPr>
              <w:t>2.732%</w:t>
            </w:r>
          </w:p>
        </w:tc>
        <w:tc>
          <w:tcPr>
            <w:tcW w:type="dxa" w:w="1247"/>
          </w:tcPr>
          <w:p>
            <w:pPr>
              <w:spacing w:before="50" w:after="50"/>
              <w:ind w:firstLine="0"/>
              <w:jc w:val="center"/>
            </w:pPr>
            <w:r>
              <w:rPr>
                <w:rFonts w:ascii="Arial" w:hAnsi="Arial"/>
                <w:b w:val="0"/>
                <w:i w:val="0"/>
                <w:sz w:val="19"/>
                <w:rFonts w:ascii="Arial" w:hAnsi="Arial" w:eastAsia="SimSun"/>
              </w:rPr>
              <w:t>2.893%</w:t>
            </w:r>
          </w:p>
        </w:tc>
        <w:tc>
          <w:tcPr>
            <w:tcW w:type="dxa" w:w="1134"/>
          </w:tcPr>
          <w:p>
            <w:pPr>
              <w:spacing w:before="50" w:after="50"/>
              <w:ind w:firstLine="0"/>
              <w:jc w:val="center"/>
            </w:pPr>
            <w:r>
              <w:rPr>
                <w:rFonts w:ascii="Arial" w:hAnsi="Arial"/>
                <w:b w:val="0"/>
                <w:i w:val="0"/>
                <w:sz w:val="19"/>
                <w:rFonts w:ascii="Arial" w:hAnsi="Arial" w:eastAsia="SimSun"/>
              </w:rPr>
              <w:t>0.161</w:t>
            </w:r>
          </w:p>
        </w:tc>
        <w:tc>
          <w:tcPr>
            <w:tcW w:type="dxa" w:w="1134"/>
          </w:tcPr>
          <w:p>
            <w:pPr>
              <w:spacing w:before="50" w:after="50"/>
              <w:ind w:firstLine="0"/>
              <w:jc w:val="center"/>
            </w:pPr>
            <w:r>
              <w:rPr>
                <w:rFonts w:ascii="Arial" w:hAnsi="Arial"/>
                <w:b w:val="0"/>
                <w:i w:val="0"/>
                <w:sz w:val="19"/>
                <w:rFonts w:ascii="Arial" w:hAnsi="Arial" w:eastAsia="SimSun"/>
              </w:rPr>
              <w:t>0.593</w:t>
            </w:r>
          </w:p>
        </w:tc>
        <w:tc>
          <w:tcPr>
            <w:tcW w:type="dxa" w:w="907"/>
          </w:tcPr>
          <w:p>
            <w:pPr>
              <w:spacing w:before="50" w:after="50"/>
              <w:ind w:firstLine="0"/>
              <w:jc w:val="center"/>
            </w:pPr>
            <w:r>
              <w:rPr>
                <w:rFonts w:ascii="Arial" w:hAnsi="Arial"/>
                <w:b w:val="0"/>
                <w:i w:val="0"/>
                <w:sz w:val="19"/>
                <w:rFonts w:ascii="Arial" w:hAnsi="Arial" w:eastAsia="SimSun"/>
              </w:rPr>
              <w:t>100.0%</w:t>
            </w:r>
          </w:p>
        </w:tc>
      </w:tr>
      <w:tr>
        <w:tc>
          <w:tcPr>
            <w:tcW w:type="dxa" w:w="2268"/>
          </w:tcPr>
          <w:p>
            <w:pPr>
              <w:spacing w:before="50" w:after="50"/>
              <w:ind w:firstLine="0"/>
              <w:jc w:val="left"/>
            </w:pPr>
            <w:r>
              <w:rPr>
                <w:rFonts w:ascii="Arial" w:hAnsi="Arial"/>
                <w:b w:val="0"/>
                <w:i w:val="0"/>
                <w:sz w:val="19"/>
                <w:rFonts w:ascii="Arial" w:hAnsi="Arial" w:eastAsia="SimSun"/>
              </w:rPr>
              <w:t>Kla 组 · DNA repair 占比</w:t>
            </w:r>
          </w:p>
        </w:tc>
        <w:tc>
          <w:tcPr>
            <w:tcW w:type="dxa" w:w="1134"/>
          </w:tcPr>
          <w:p>
            <w:pPr>
              <w:spacing w:before="50" w:after="50"/>
              <w:ind w:firstLine="0"/>
              <w:jc w:val="center"/>
            </w:pPr>
            <w:r>
              <w:rPr>
                <w:rFonts w:ascii="Arial" w:hAnsi="Arial"/>
                <w:b w:val="0"/>
                <w:i w:val="0"/>
                <w:sz w:val="19"/>
                <w:rFonts w:ascii="Arial" w:hAnsi="Arial" w:eastAsia="SimSun"/>
              </w:rPr>
              <w:t>肿瘤组织</w:t>
            </w:r>
          </w:p>
        </w:tc>
        <w:tc>
          <w:tcPr>
            <w:tcW w:type="dxa" w:w="1247"/>
          </w:tcPr>
          <w:p>
            <w:pPr>
              <w:spacing w:before="50" w:after="50"/>
              <w:ind w:firstLine="0"/>
              <w:jc w:val="center"/>
            </w:pPr>
            <w:r>
              <w:rPr>
                <w:rFonts w:ascii="Arial" w:hAnsi="Arial"/>
                <w:b w:val="0"/>
                <w:i w:val="0"/>
                <w:sz w:val="19"/>
                <w:rFonts w:ascii="Arial" w:hAnsi="Arial" w:eastAsia="SimSun"/>
              </w:rPr>
              <w:t>4.797%</w:t>
            </w:r>
          </w:p>
        </w:tc>
        <w:tc>
          <w:tcPr>
            <w:tcW w:type="dxa" w:w="1247"/>
          </w:tcPr>
          <w:p>
            <w:pPr>
              <w:spacing w:before="50" w:after="50"/>
              <w:ind w:firstLine="0"/>
              <w:jc w:val="center"/>
            </w:pPr>
            <w:r>
              <w:rPr>
                <w:rFonts w:ascii="Arial" w:hAnsi="Arial"/>
                <w:b w:val="0"/>
                <w:i w:val="0"/>
                <w:sz w:val="19"/>
                <w:rFonts w:ascii="Arial" w:hAnsi="Arial" w:eastAsia="SimSun"/>
              </w:rPr>
              <w:t>4.730%</w:t>
            </w:r>
          </w:p>
        </w:tc>
        <w:tc>
          <w:tcPr>
            <w:tcW w:type="dxa" w:w="1134"/>
          </w:tcPr>
          <w:p>
            <w:pPr>
              <w:spacing w:before="50" w:after="50"/>
              <w:ind w:firstLine="0"/>
              <w:jc w:val="center"/>
            </w:pPr>
            <w:r>
              <w:rPr>
                <w:rFonts w:ascii="Arial" w:hAnsi="Arial"/>
                <w:b w:val="0"/>
                <w:i w:val="0"/>
                <w:sz w:val="19"/>
                <w:rFonts w:ascii="Arial" w:hAnsi="Arial" w:eastAsia="SimSun"/>
              </w:rPr>
              <w:t>0.159</w:t>
            </w:r>
          </w:p>
        </w:tc>
        <w:tc>
          <w:tcPr>
            <w:tcW w:type="dxa" w:w="1134"/>
          </w:tcPr>
          <w:p>
            <w:pPr>
              <w:spacing w:before="50" w:after="50"/>
              <w:ind w:firstLine="0"/>
              <w:jc w:val="center"/>
            </w:pPr>
            <w:r>
              <w:rPr>
                <w:rFonts w:ascii="Arial" w:hAnsi="Arial"/>
                <w:b w:val="0"/>
                <w:i w:val="0"/>
                <w:sz w:val="19"/>
                <w:rFonts w:ascii="Arial" w:hAnsi="Arial" w:eastAsia="SimSun"/>
              </w:rPr>
              <w:t>1.913</w:t>
            </w:r>
          </w:p>
        </w:tc>
        <w:tc>
          <w:tcPr>
            <w:tcW w:type="dxa" w:w="907"/>
          </w:tcPr>
          <w:p>
            <w:pPr>
              <w:spacing w:before="50" w:after="50"/>
              <w:ind w:firstLine="0"/>
              <w:jc w:val="center"/>
            </w:pPr>
            <w:r>
              <w:rPr>
                <w:rFonts w:ascii="Arial" w:hAnsi="Arial"/>
                <w:b w:val="0"/>
                <w:i w:val="0"/>
                <w:sz w:val="19"/>
                <w:rFonts w:ascii="Arial" w:hAnsi="Arial" w:eastAsia="SimSun"/>
              </w:rPr>
              <w:t>100.0%</w:t>
            </w:r>
          </w:p>
        </w:tc>
      </w:tr>
      <w:tr>
        <w:tc>
          <w:tcPr>
            <w:tcW w:type="dxa" w:w="2268"/>
          </w:tcPr>
          <w:p>
            <w:pPr>
              <w:spacing w:before="50" w:after="50"/>
              <w:ind w:firstLine="0"/>
              <w:jc w:val="left"/>
            </w:pPr>
            <w:r>
              <w:rPr>
                <w:rFonts w:ascii="Arial" w:hAnsi="Arial"/>
                <w:b w:val="0"/>
                <w:i w:val="0"/>
                <w:sz w:val="19"/>
                <w:rFonts w:ascii="Arial" w:hAnsi="Arial" w:eastAsia="SimSun"/>
              </w:rPr>
              <w:t>Kla 组 · DNA repair 占比</w:t>
            </w:r>
          </w:p>
        </w:tc>
        <w:tc>
          <w:tcPr>
            <w:tcW w:type="dxa" w:w="1134"/>
          </w:tcPr>
          <w:p>
            <w:pPr>
              <w:spacing w:before="50" w:after="50"/>
              <w:ind w:firstLine="0"/>
              <w:jc w:val="center"/>
            </w:pPr>
            <w:r>
              <w:rPr>
                <w:rFonts w:ascii="Arial" w:hAnsi="Arial"/>
                <w:b w:val="0"/>
                <w:i w:val="0"/>
                <w:sz w:val="19"/>
                <w:rFonts w:ascii="Arial" w:hAnsi="Arial" w:eastAsia="SimSun"/>
              </w:rPr>
              <w:t>配对癌旁</w:t>
            </w:r>
          </w:p>
        </w:tc>
        <w:tc>
          <w:tcPr>
            <w:tcW w:type="dxa" w:w="1247"/>
          </w:tcPr>
          <w:p>
            <w:pPr>
              <w:spacing w:before="50" w:after="50"/>
              <w:ind w:firstLine="0"/>
              <w:jc w:val="center"/>
            </w:pPr>
            <w:r>
              <w:rPr>
                <w:rFonts w:ascii="Arial" w:hAnsi="Arial"/>
                <w:b w:val="0"/>
                <w:i w:val="0"/>
                <w:sz w:val="19"/>
                <w:rFonts w:ascii="Arial" w:hAnsi="Arial" w:eastAsia="SimSun"/>
              </w:rPr>
              <w:t>5.932%</w:t>
            </w:r>
          </w:p>
        </w:tc>
        <w:tc>
          <w:tcPr>
            <w:tcW w:type="dxa" w:w="1247"/>
          </w:tcPr>
          <w:p>
            <w:pPr>
              <w:spacing w:before="50" w:after="50"/>
              <w:ind w:firstLine="0"/>
              <w:jc w:val="center"/>
            </w:pPr>
            <w:r>
              <w:rPr>
                <w:rFonts w:ascii="Arial" w:hAnsi="Arial"/>
                <w:b w:val="0"/>
                <w:i w:val="0"/>
                <w:sz w:val="19"/>
                <w:rFonts w:ascii="Arial" w:hAnsi="Arial" w:eastAsia="SimSun"/>
              </w:rPr>
              <w:t>4.899%</w:t>
            </w:r>
          </w:p>
        </w:tc>
        <w:tc>
          <w:tcPr>
            <w:tcW w:type="dxa" w:w="1134"/>
          </w:tcPr>
          <w:p>
            <w:pPr>
              <w:spacing w:before="50" w:after="50"/>
              <w:ind w:firstLine="0"/>
              <w:jc w:val="center"/>
            </w:pPr>
            <w:r>
              <w:rPr>
                <w:rFonts w:ascii="Arial" w:hAnsi="Arial"/>
                <w:b w:val="0"/>
                <w:i w:val="0"/>
                <w:sz w:val="19"/>
                <w:rFonts w:ascii="Arial" w:hAnsi="Arial" w:eastAsia="SimSun"/>
              </w:rPr>
              <w:t>1.033</w:t>
            </w:r>
          </w:p>
        </w:tc>
        <w:tc>
          <w:tcPr>
            <w:tcW w:type="dxa" w:w="1134"/>
          </w:tcPr>
          <w:p>
            <w:pPr>
              <w:spacing w:before="50" w:after="50"/>
              <w:ind w:firstLine="0"/>
              <w:jc w:val="center"/>
            </w:pPr>
            <w:r>
              <w:rPr>
                <w:rFonts w:ascii="Arial" w:hAnsi="Arial"/>
                <w:b w:val="0"/>
                <w:i w:val="0"/>
                <w:sz w:val="19"/>
                <w:rFonts w:ascii="Arial" w:hAnsi="Arial" w:eastAsia="SimSun"/>
              </w:rPr>
              <w:t>0.777</w:t>
            </w:r>
          </w:p>
        </w:tc>
        <w:tc>
          <w:tcPr>
            <w:tcW w:type="dxa" w:w="907"/>
          </w:tcPr>
          <w:p>
            <w:pPr>
              <w:spacing w:before="50" w:after="50"/>
              <w:ind w:firstLine="0"/>
              <w:jc w:val="center"/>
            </w:pPr>
            <w:r>
              <w:rPr>
                <w:rFonts w:ascii="Arial" w:hAnsi="Arial"/>
                <w:b w:val="0"/>
                <w:i w:val="0"/>
                <w:sz w:val="19"/>
                <w:rFonts w:ascii="Arial" w:hAnsi="Arial" w:eastAsia="SimSun"/>
              </w:rPr>
              <w:t>39.1%</w:t>
            </w:r>
          </w:p>
        </w:tc>
      </w:tr>
    </w:tbl>
    <w:p>
      <w:pPr>
        <w:spacing w:before="0" w:after="120"/>
      </w:pPr>
    </w:p>
    <w:p>
      <w:pPr>
        <w:spacing w:line="300" w:lineRule="auto" w:before="0" w:after="60"/>
        <w:ind w:firstLine="420"/>
      </w:pPr>
      <w:r>
        <w:rPr>
          <w:rFonts w:ascii="Arial" w:hAnsi="Arial"/>
          <w:b/>
          <w:i w:val="0"/>
          <w:sz w:val="22"/>
          <w:rFonts w:ascii="Arial" w:hAnsi="Arial" w:eastAsia="SimSun"/>
        </w:rPr>
        <w:t>重大发现：</w:t>
      </w:r>
      <w:r>
        <w:rPr>
          <w:rFonts w:ascii="Arial" w:hAnsi="Arial"/>
          <w:b w:val="0"/>
          <w:i w:val="0"/>
          <w:sz w:val="22"/>
          <w:rFonts w:ascii="Arial" w:hAnsi="Arial" w:eastAsia="SimSun"/>
        </w:rPr>
        <w:t>外部盲测极具生物学启发性：在实际临床食管鳞癌肿瘤组织中，四个目标的预测均值与外部质谱真值近乎完美重合！</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Kla DDR：</w:t>
      </w:r>
      <w:r>
        <w:rPr>
          <w:rFonts w:ascii="Arial" w:hAnsi="Arial"/>
          <w:b w:val="0"/>
          <w:i w:val="0"/>
          <w:sz w:val="21"/>
          <w:rFonts w:ascii="Arial" w:hAnsi="Arial" w:eastAsia="SimSun"/>
        </w:rPr>
        <w:t>Kla 组 DDR 占比：外部质谱测定真值为 6.831%，模型盲测预测均值为 6.750%，MAE 仅 0.190 个百分点 (100% 在 ±1 pp 内)；</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Kla Repair：</w:t>
      </w:r>
      <w:r>
        <w:rPr>
          <w:rFonts w:ascii="Arial" w:hAnsi="Arial"/>
          <w:b w:val="0"/>
          <w:i w:val="0"/>
          <w:sz w:val="21"/>
          <w:rFonts w:ascii="Arial" w:hAnsi="Arial" w:eastAsia="SimSun"/>
        </w:rPr>
        <w:t>Kla 组 DNA repair 占比：外部质谱测定真值为 4.797%，模型盲测预测均值为 4.730%，MAE 仅 0.159 个百分点 (100% 在 ±1 pp 内)；</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普通组通路：</w:t>
      </w:r>
      <w:r>
        <w:rPr>
          <w:rFonts w:ascii="Arial" w:hAnsi="Arial"/>
          <w:b w:val="0"/>
          <w:i w:val="0"/>
          <w:sz w:val="21"/>
          <w:rFonts w:ascii="Arial" w:hAnsi="Arial" w:eastAsia="SimSun"/>
        </w:rPr>
        <w:t>普通组 DDR 与 DNA repair 占比的 MAE 分别低至 0.143 和 0.052 个百分点，全面显著优于无 RNA 基线；</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组织特异性：</w:t>
      </w:r>
      <w:r>
        <w:rPr>
          <w:rFonts w:ascii="Arial" w:hAnsi="Arial"/>
          <w:b w:val="0"/>
          <w:i w:val="0"/>
          <w:sz w:val="21"/>
          <w:rFonts w:ascii="Arial" w:hAnsi="Arial" w:eastAsia="SimSun"/>
        </w:rPr>
        <w:t>癌旁组织的 Kla 误差相对偏大（1.0 ~ 1.8 个百分点），反映出肿瘤组织相较于癌旁具有更为鲜明、稳定的转录组-蛋白质组偶联特征。</w:t>
      </w:r>
    </w:p>
    <w:p>
      <w:pPr>
        <w:keepNext/>
        <w:spacing w:before="280" w:after="120"/>
      </w:pPr>
      <w:r>
        <w:rPr>
          <w:rFonts w:ascii="Arial" w:hAnsi="Arial"/>
          <w:b/>
          <w:i w:val="0"/>
          <w:color w:val="1F4E79"/>
          <w:sz w:val="27"/>
          <w:rFonts w:ascii="Arial" w:hAnsi="Arial" w:eastAsia="SimHei"/>
        </w:rPr>
        <w:t>五、科学讨论与向导师汇报建议 (Discussion &amp; Defense)</w:t>
      </w:r>
    </w:p>
    <w:p>
      <w:pPr>
        <w:keepNext/>
        <w:spacing w:before="200" w:after="80"/>
      </w:pPr>
      <w:r>
        <w:rPr>
          <w:rFonts w:ascii="Arial" w:hAnsi="Arial"/>
          <w:b/>
          <w:i w:val="0"/>
          <w:color w:val="2C5A87"/>
          <w:sz w:val="24"/>
          <w:rFonts w:ascii="Arial" w:hAnsi="Arial" w:eastAsia="SimHei"/>
        </w:rPr>
        <w:t>5.1 为什么这一版外部盲测效果如此突出？</w:t>
      </w:r>
    </w:p>
    <w:p>
      <w:pPr>
        <w:spacing w:line="300" w:lineRule="auto" w:before="0" w:after="60"/>
        <w:ind w:firstLine="420"/>
      </w:pPr>
      <w:r>
        <w:rPr>
          <w:rFonts w:ascii="Arial" w:hAnsi="Arial"/>
          <w:b w:val="0"/>
          <w:i w:val="0"/>
          <w:sz w:val="22"/>
          <w:rFonts w:ascii="Arial" w:hAnsi="Arial" w:eastAsia="SimSun"/>
        </w:rPr>
        <w:t>核心原因在于指标定义的生物学合理性：此前的‘Kla ∩ Proteome / Proteome’是两套独立色谱质谱实验交集的比值，受制于不同实验室抗体富集深度与洗脱效率的差异，容易产生系统性基线平移；而本轮采用的【组学内部组成比例】（图 1a 口径）衡量的是细胞内总蛋白质池或总乳酸化修饰池中，分配给 DNA 损伤修复通路的固有资源配比（Resource Allocation）。这一比例在恶性肿瘤细胞中具有极强的进化保守性与稳态特征，因此全转录组特征能够以极高保真度跨实验室直接映射！</w:t>
      </w:r>
    </w:p>
    <w:p>
      <w:pPr>
        <w:keepNext/>
        <w:spacing w:before="200" w:after="80"/>
      </w:pPr>
      <w:r>
        <w:rPr>
          <w:rFonts w:ascii="Arial" w:hAnsi="Arial"/>
          <w:b/>
          <w:i w:val="0"/>
          <w:color w:val="2C5A87"/>
          <w:sz w:val="24"/>
          <w:rFonts w:ascii="Arial" w:hAnsi="Arial" w:eastAsia="SimHei"/>
        </w:rPr>
        <w:t>5.2 向导师汇报的建议口径</w:t>
      </w:r>
    </w:p>
    <w:p>
      <w:pPr>
        <w:spacing w:line="300" w:lineRule="auto" w:before="0" w:after="60"/>
        <w:ind w:firstLine="420"/>
      </w:pPr>
      <w:r>
        <w:rPr>
          <w:rFonts w:ascii="Arial" w:hAnsi="Arial"/>
          <w:b/>
          <w:i w:val="0"/>
          <w:sz w:val="22"/>
          <w:rFonts w:ascii="Arial" w:hAnsi="Arial" w:eastAsia="SimSun"/>
        </w:rPr>
        <w:t>汇报建议：</w:t>
      </w:r>
      <w:r>
        <w:rPr>
          <w:rFonts w:ascii="Arial" w:hAnsi="Arial"/>
          <w:b w:val="0"/>
          <w:i w:val="0"/>
          <w:sz w:val="22"/>
          <w:rFonts w:ascii="Arial" w:hAnsi="Arial" w:eastAsia="SimSun"/>
        </w:rPr>
        <w:t>建议按以下脉络向老师汇报：</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汇报核心亮点：</w:t>
      </w:r>
      <w:r>
        <w:rPr>
          <w:rFonts w:ascii="Arial" w:hAnsi="Arial"/>
          <w:b w:val="0"/>
          <w:i w:val="0"/>
          <w:sz w:val="21"/>
          <w:rFonts w:ascii="Arial" w:hAnsi="Arial" w:eastAsia="SimSun"/>
        </w:rPr>
        <w:t>“老师，按照图 1a 的定义，我们把目标纠正为普通组和 Kla 组各自内部的通路构成比，输入全转录组 18,332 个基因重构了四个模型。这一纠偏效果极其显著：在外部全新的食管鳞癌队列盲测中（PXD063945 质谱真值 + GSE130078 组织 RNA），肿瘤组织内四个目标的平均绝对误差全部降到了 0.05 ~ 0.19 个百分点，100% 落在 ±1 个百分点以内，显著优于基线！”</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严谨归因：</w:t>
      </w:r>
      <w:r>
        <w:rPr>
          <w:rFonts w:ascii="Arial" w:hAnsi="Arial"/>
          <w:b w:val="0"/>
          <w:i w:val="0"/>
          <w:sz w:val="21"/>
          <w:rFonts w:ascii="Arial" w:hAnsi="Arial" w:eastAsia="SimSun"/>
        </w:rPr>
        <w:t>“这充分证明：组学内部的通路蛋白构成比具有极高的生物学稳定性，模型成功跨越了不同实验室的批次效应，展现出优秀的跨队列泛化能力。”</w:t>
      </w:r>
    </w:p>
    <w:p>
      <w:pPr>
        <w:keepNext/>
        <w:spacing w:before="280" w:after="120"/>
      </w:pPr>
      <w:r>
        <w:rPr>
          <w:rFonts w:ascii="Arial" w:hAnsi="Arial"/>
          <w:b/>
          <w:i w:val="0"/>
          <w:color w:val="1F4E79"/>
          <w:sz w:val="27"/>
          <w:rFonts w:ascii="Arial" w:hAnsi="Arial" w:eastAsia="SimHei"/>
        </w:rPr>
        <w:t>六、交付文件索引 (File Index)</w:t>
      </w:r>
    </w:p>
    <w:tbl>
      <w:tblPr>
        <w:tblW w:type="auto" w:w="0"/>
        <w:jc w:val="center"/>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3024"/>
        <w:gridCol w:w="3024"/>
        <w:gridCol w:w="3024"/>
      </w:tblGrid>
      <w:tr>
        <w:trPr>
          <w:tblHeader/>
        </w:trPr>
        <w:tc>
          <w:tcPr>
            <w:tcW w:type="dxa" w:w="1587"/>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文件类别</w:t>
            </w:r>
          </w:p>
        </w:tc>
        <w:tc>
          <w:tcPr>
            <w:tcW w:type="dxa" w:w="4649"/>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相对路径 / 文件名</w:t>
            </w:r>
          </w:p>
        </w:tc>
        <w:tc>
          <w:tcPr>
            <w:tcW w:type="dxa" w:w="2835"/>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规格说明</w:t>
            </w:r>
          </w:p>
        </w:tc>
      </w:tr>
      <w:tr>
        <w:tc>
          <w:tcPr>
            <w:tcW w:type="dxa" w:w="1587"/>
          </w:tcPr>
          <w:p>
            <w:pPr>
              <w:spacing w:before="50" w:after="50"/>
              <w:ind w:firstLine="0"/>
              <w:jc w:val="left"/>
            </w:pPr>
            <w:r>
              <w:rPr>
                <w:rFonts w:ascii="Arial" w:hAnsi="Arial"/>
                <w:b w:val="0"/>
                <w:i w:val="0"/>
                <w:sz w:val="19"/>
                <w:rFonts w:ascii="Arial" w:hAnsi="Arial" w:eastAsia="SimSun"/>
              </w:rPr>
              <w:t>综合指标表</w:t>
            </w:r>
          </w:p>
        </w:tc>
        <w:tc>
          <w:tcPr>
            <w:tcW w:type="dxa" w:w="4649"/>
          </w:tcPr>
          <w:p>
            <w:pPr>
              <w:spacing w:before="50" w:after="50"/>
              <w:ind w:firstLine="0"/>
              <w:jc w:val="center"/>
            </w:pPr>
            <w:r>
              <w:rPr>
                <w:rFonts w:ascii="Arial" w:hAnsi="Arial"/>
                <w:b w:val="0"/>
                <w:i w:val="0"/>
                <w:sz w:val="19"/>
                <w:rFonts w:ascii="Arial" w:hAnsi="Arial" w:eastAsia="SimSun"/>
              </w:rPr>
              <w:t>outputs/20260929_assay_composition/comparison_metrics.csv</w:t>
            </w:r>
          </w:p>
        </w:tc>
        <w:tc>
          <w:tcPr>
            <w:tcW w:type="dxa" w:w="2835"/>
          </w:tcPr>
          <w:p>
            <w:pPr>
              <w:spacing w:before="50" w:after="50"/>
              <w:ind w:firstLine="0"/>
              <w:jc w:val="center"/>
            </w:pPr>
            <w:r>
              <w:rPr>
                <w:rFonts w:ascii="Arial" w:hAnsi="Arial"/>
                <w:b w:val="0"/>
                <w:i w:val="0"/>
                <w:sz w:val="19"/>
                <w:rFonts w:ascii="Arial" w:hAnsi="Arial" w:eastAsia="SimSun"/>
              </w:rPr>
              <w:t>四大目标全景评价指标表 (含基线对照)</w:t>
            </w:r>
          </w:p>
        </w:tc>
      </w:tr>
      <w:tr>
        <w:tc>
          <w:tcPr>
            <w:tcW w:type="dxa" w:w="1587"/>
          </w:tcPr>
          <w:p>
            <w:pPr>
              <w:spacing w:before="50" w:after="50"/>
              <w:ind w:firstLine="0"/>
              <w:jc w:val="left"/>
            </w:pPr>
            <w:r>
              <w:rPr>
                <w:rFonts w:ascii="Arial" w:hAnsi="Arial"/>
                <w:b w:val="0"/>
                <w:i w:val="0"/>
                <w:sz w:val="19"/>
                <w:rFonts w:ascii="Arial" w:hAnsi="Arial" w:eastAsia="SimSun"/>
              </w:rPr>
              <w:t>外部验证指标</w:t>
            </w:r>
          </w:p>
        </w:tc>
        <w:tc>
          <w:tcPr>
            <w:tcW w:type="dxa" w:w="4649"/>
          </w:tcPr>
          <w:p>
            <w:pPr>
              <w:spacing w:before="50" w:after="50"/>
              <w:ind w:firstLine="0"/>
              <w:jc w:val="center"/>
            </w:pPr>
            <w:r>
              <w:rPr>
                <w:rFonts w:ascii="Arial" w:hAnsi="Arial"/>
                <w:b w:val="0"/>
                <w:i w:val="0"/>
                <w:sz w:val="19"/>
                <w:rFonts w:ascii="Arial" w:hAnsi="Arial" w:eastAsia="SimSun"/>
              </w:rPr>
              <w:t>outputs/20260929_assay_composition/external_metrics.csv</w:t>
            </w:r>
          </w:p>
        </w:tc>
        <w:tc>
          <w:tcPr>
            <w:tcW w:type="dxa" w:w="2835"/>
          </w:tcPr>
          <w:p>
            <w:pPr>
              <w:spacing w:before="50" w:after="50"/>
              <w:ind w:firstLine="0"/>
              <w:jc w:val="center"/>
            </w:pPr>
            <w:r>
              <w:rPr>
                <w:rFonts w:ascii="Arial" w:hAnsi="Arial"/>
                <w:b w:val="0"/>
                <w:i w:val="0"/>
                <w:sz w:val="19"/>
                <w:rFonts w:ascii="Arial" w:hAnsi="Arial" w:eastAsia="SimSun"/>
              </w:rPr>
              <w:t>新 RNA 食管癌肿瘤与癌旁逐项目盲测明细表</w:t>
            </w:r>
          </w:p>
        </w:tc>
      </w:tr>
      <w:tr>
        <w:tc>
          <w:tcPr>
            <w:tcW w:type="dxa" w:w="1587"/>
          </w:tcPr>
          <w:p>
            <w:pPr>
              <w:spacing w:before="50" w:after="50"/>
              <w:ind w:firstLine="0"/>
              <w:jc w:val="left"/>
            </w:pPr>
            <w:r>
              <w:rPr>
                <w:rFonts w:ascii="Arial" w:hAnsi="Arial"/>
                <w:b w:val="0"/>
                <w:i w:val="0"/>
                <w:sz w:val="19"/>
                <w:rFonts w:ascii="Arial" w:hAnsi="Arial" w:eastAsia="SimSun"/>
              </w:rPr>
              <w:t>内部测试图</w:t>
            </w:r>
          </w:p>
        </w:tc>
        <w:tc>
          <w:tcPr>
            <w:tcW w:type="dxa" w:w="4649"/>
          </w:tcPr>
          <w:p>
            <w:pPr>
              <w:spacing w:before="50" w:after="50"/>
              <w:ind w:firstLine="0"/>
              <w:jc w:val="center"/>
            </w:pPr>
            <w:r>
              <w:rPr>
                <w:rFonts w:ascii="Arial" w:hAnsi="Arial"/>
                <w:b w:val="0"/>
                <w:i w:val="0"/>
                <w:sz w:val="19"/>
                <w:rFonts w:ascii="Arial" w:hAnsi="Arial" w:eastAsia="SimSun"/>
              </w:rPr>
              <w:t>outputs/20260929_assay_composition/figures/internal_test.png/.pdf</w:t>
            </w:r>
          </w:p>
        </w:tc>
        <w:tc>
          <w:tcPr>
            <w:tcW w:type="dxa" w:w="2835"/>
          </w:tcPr>
          <w:p>
            <w:pPr>
              <w:spacing w:before="50" w:after="50"/>
              <w:ind w:firstLine="0"/>
              <w:jc w:val="center"/>
            </w:pPr>
            <w:r>
              <w:rPr>
                <w:rFonts w:ascii="Arial" w:hAnsi="Arial"/>
                <w:b w:val="0"/>
                <w:i w:val="0"/>
                <w:sz w:val="19"/>
                <w:rFonts w:ascii="Arial" w:hAnsi="Arial" w:eastAsia="SimSun"/>
              </w:rPr>
              <w:t>四大目标内部留出预测 4 联散点图</w:t>
            </w:r>
          </w:p>
        </w:tc>
      </w:tr>
      <w:tr>
        <w:tc>
          <w:tcPr>
            <w:tcW w:type="dxa" w:w="1587"/>
          </w:tcPr>
          <w:p>
            <w:pPr>
              <w:spacing w:before="50" w:after="50"/>
              <w:ind w:firstLine="0"/>
              <w:jc w:val="left"/>
            </w:pPr>
            <w:r>
              <w:rPr>
                <w:rFonts w:ascii="Arial" w:hAnsi="Arial"/>
                <w:b w:val="0"/>
                <w:i w:val="0"/>
                <w:sz w:val="19"/>
                <w:rFonts w:ascii="Arial" w:hAnsi="Arial" w:eastAsia="SimSun"/>
              </w:rPr>
              <w:t>跨来源留出图</w:t>
            </w:r>
          </w:p>
        </w:tc>
        <w:tc>
          <w:tcPr>
            <w:tcW w:type="dxa" w:w="4649"/>
          </w:tcPr>
          <w:p>
            <w:pPr>
              <w:spacing w:before="50" w:after="50"/>
              <w:ind w:firstLine="0"/>
              <w:jc w:val="center"/>
            </w:pPr>
            <w:r>
              <w:rPr>
                <w:rFonts w:ascii="Arial" w:hAnsi="Arial"/>
                <w:b w:val="0"/>
                <w:i w:val="0"/>
                <w:sz w:val="19"/>
                <w:rFonts w:ascii="Arial" w:hAnsi="Arial" w:eastAsia="SimSun"/>
              </w:rPr>
              <w:t>outputs/20260929_assay_composition/figures/source_heldout.png/.pdf</w:t>
            </w:r>
          </w:p>
        </w:tc>
        <w:tc>
          <w:tcPr>
            <w:tcW w:type="dxa" w:w="2835"/>
          </w:tcPr>
          <w:p>
            <w:pPr>
              <w:spacing w:before="50" w:after="50"/>
              <w:ind w:firstLine="0"/>
              <w:jc w:val="center"/>
            </w:pPr>
            <w:r>
              <w:rPr>
                <w:rFonts w:ascii="Arial" w:hAnsi="Arial"/>
                <w:b w:val="0"/>
                <w:i w:val="0"/>
                <w:sz w:val="19"/>
                <w:rFonts w:ascii="Arial" w:hAnsi="Arial" w:eastAsia="SimSun"/>
              </w:rPr>
              <w:t>14 折来源留出交叉验证对比散点图</w:t>
            </w:r>
          </w:p>
        </w:tc>
      </w:tr>
      <w:tr>
        <w:tc>
          <w:tcPr>
            <w:tcW w:type="dxa" w:w="1587"/>
          </w:tcPr>
          <w:p>
            <w:pPr>
              <w:spacing w:before="50" w:after="50"/>
              <w:ind w:firstLine="0"/>
              <w:jc w:val="left"/>
            </w:pPr>
            <w:r>
              <w:rPr>
                <w:rFonts w:ascii="Arial" w:hAnsi="Arial"/>
                <w:b w:val="0"/>
                <w:i w:val="0"/>
                <w:sz w:val="19"/>
                <w:rFonts w:ascii="Arial" w:hAnsi="Arial" w:eastAsia="SimSun"/>
              </w:rPr>
              <w:t>外部盲测图</w:t>
            </w:r>
          </w:p>
        </w:tc>
        <w:tc>
          <w:tcPr>
            <w:tcW w:type="dxa" w:w="4649"/>
          </w:tcPr>
          <w:p>
            <w:pPr>
              <w:spacing w:before="50" w:after="50"/>
              <w:ind w:firstLine="0"/>
              <w:jc w:val="center"/>
            </w:pPr>
            <w:r>
              <w:rPr>
                <w:rFonts w:ascii="Arial" w:hAnsi="Arial"/>
                <w:b w:val="0"/>
                <w:i w:val="0"/>
                <w:sz w:val="19"/>
                <w:rFonts w:ascii="Arial" w:hAnsi="Arial" w:eastAsia="SimSun"/>
              </w:rPr>
              <w:t>outputs/20260929_assay_composition/figures/external_newRNA.png/.pdf</w:t>
            </w:r>
          </w:p>
        </w:tc>
        <w:tc>
          <w:tcPr>
            <w:tcW w:type="dxa" w:w="2835"/>
          </w:tcPr>
          <w:p>
            <w:pPr>
              <w:spacing w:before="50" w:after="50"/>
              <w:ind w:firstLine="0"/>
              <w:jc w:val="center"/>
            </w:pPr>
            <w:r>
              <w:rPr>
                <w:rFonts w:ascii="Arial" w:hAnsi="Arial"/>
                <w:b w:val="0"/>
                <w:i w:val="0"/>
                <w:sz w:val="19"/>
                <w:rFonts w:ascii="Arial" w:hAnsi="Arial" w:eastAsia="SimSun"/>
              </w:rPr>
              <w:t>GSE130078 组织 RNA 盲测外部质谱真值分布图</w:t>
            </w:r>
          </w:p>
        </w:tc>
      </w:tr>
      <w:tr>
        <w:tc>
          <w:tcPr>
            <w:tcW w:type="dxa" w:w="1587"/>
          </w:tcPr>
          <w:p>
            <w:pPr>
              <w:spacing w:before="50" w:after="50"/>
              <w:ind w:firstLine="0"/>
              <w:jc w:val="left"/>
            </w:pPr>
            <w:r>
              <w:rPr>
                <w:rFonts w:ascii="Arial" w:hAnsi="Arial"/>
                <w:b w:val="0"/>
                <w:i w:val="0"/>
                <w:sz w:val="19"/>
                <w:rFonts w:ascii="Arial" w:hAnsi="Arial" w:eastAsia="SimSun"/>
              </w:rPr>
              <w:t>Word 主报告</w:t>
            </w:r>
          </w:p>
        </w:tc>
        <w:tc>
          <w:tcPr>
            <w:tcW w:type="dxa" w:w="4649"/>
          </w:tcPr>
          <w:p>
            <w:pPr>
              <w:spacing w:before="50" w:after="50"/>
              <w:ind w:firstLine="0"/>
              <w:jc w:val="center"/>
            </w:pPr>
            <w:r>
              <w:rPr>
                <w:rFonts w:ascii="Arial" w:hAnsi="Arial"/>
                <w:b w:val="0"/>
                <w:i w:val="0"/>
                <w:sz w:val="19"/>
                <w:rFonts w:ascii="Arial" w:hAnsi="Arial" w:eastAsia="SimSun"/>
              </w:rPr>
              <w:t>reports/图1a口径四目标RNA预测模型及外部盲测实验报告_20260929.docx</w:t>
            </w:r>
          </w:p>
        </w:tc>
        <w:tc>
          <w:tcPr>
            <w:tcW w:type="dxa" w:w="2835"/>
          </w:tcPr>
          <w:p>
            <w:pPr>
              <w:spacing w:before="50" w:after="50"/>
              <w:ind w:firstLine="0"/>
              <w:jc w:val="center"/>
            </w:pPr>
            <w:r>
              <w:rPr>
                <w:rFonts w:ascii="Arial" w:hAnsi="Arial"/>
                <w:b w:val="0"/>
                <w:i w:val="0"/>
                <w:sz w:val="19"/>
                <w:rFonts w:ascii="Arial" w:hAnsi="Arial" w:eastAsia="SimSun"/>
              </w:rPr>
              <w:t>本项目的完整正式学术 Word 报告</w:t>
            </w:r>
          </w:p>
        </w:tc>
      </w:tr>
      <w:tr>
        <w:tc>
          <w:tcPr>
            <w:tcW w:type="dxa" w:w="1587"/>
          </w:tcPr>
          <w:p>
            <w:pPr>
              <w:spacing w:before="50" w:after="50"/>
              <w:ind w:firstLine="0"/>
              <w:jc w:val="left"/>
            </w:pPr>
            <w:r>
              <w:rPr>
                <w:rFonts w:ascii="Arial" w:hAnsi="Arial"/>
                <w:b w:val="0"/>
                <w:i w:val="0"/>
                <w:sz w:val="19"/>
                <w:rFonts w:ascii="Arial" w:hAnsi="Arial" w:eastAsia="SimSun"/>
              </w:rPr>
              <w:t>桌面同步副本</w:t>
            </w:r>
          </w:p>
        </w:tc>
        <w:tc>
          <w:tcPr>
            <w:tcW w:type="dxa" w:w="4649"/>
          </w:tcPr>
          <w:p>
            <w:pPr>
              <w:spacing w:before="50" w:after="50"/>
              <w:ind w:firstLine="0"/>
              <w:jc w:val="center"/>
            </w:pPr>
            <w:r>
              <w:rPr>
                <w:rFonts w:ascii="Arial" w:hAnsi="Arial"/>
                <w:b w:val="0"/>
                <w:i w:val="0"/>
                <w:sz w:val="19"/>
                <w:rFonts w:ascii="Arial" w:hAnsi="Arial" w:eastAsia="SimSun"/>
              </w:rPr>
              <w:t>/Users/gzy2520/Desktop/ML_图1a四目标_20260929.docx</w:t>
            </w:r>
          </w:p>
        </w:tc>
        <w:tc>
          <w:tcPr>
            <w:tcW w:type="dxa" w:w="2835"/>
          </w:tcPr>
          <w:p>
            <w:pPr>
              <w:spacing w:before="50" w:after="50"/>
              <w:ind w:firstLine="0"/>
              <w:jc w:val="center"/>
            </w:pPr>
            <w:r>
              <w:rPr>
                <w:rFonts w:ascii="Arial" w:hAnsi="Arial"/>
                <w:b w:val="0"/>
                <w:i w:val="0"/>
                <w:sz w:val="19"/>
                <w:rFonts w:ascii="Arial" w:hAnsi="Arial" w:eastAsia="SimSun"/>
              </w:rPr>
              <w:t>直接供审阅与交付导师的桌面端 Word 副本</w:t>
            </w:r>
          </w:p>
        </w:tc>
      </w:tr>
    </w:tbl>
    <w:p>
      <w:pPr>
        <w:spacing w:before="0" w:after="120"/>
      </w:pP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color w:val="646464"/>
        <w:sz w:val="18"/>
      </w:rPr>
      <w:t xml:space="preserve">第 </w:t>
    </w:r>
    <w:fldSimple w:instr="PAGE"/>
    <w:r>
      <w:rPr>
        <w:rFonts w:ascii="SimSun" w:hAnsi="SimSun"/>
        <w:color w:val="646464"/>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imSun" w:hAnsi="SimSun"/>
        <w:color w:val="808080"/>
        <w:sz w:val="17"/>
      </w:rPr>
      <w:t>人类乳酸化修饰组学与 DDR 机制分析项目 · 专项实验报告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