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288" w:lineRule="auto"/>
        <w:jc w:val="center"/>
      </w:pPr>
      <w:r>
        <w:rPr>
          <w:rFonts w:ascii="Arial" w:hAnsi="Arial"/>
          <w:b/>
          <w:i w:val="0"/>
          <w:color w:val="141E32"/>
          <w:sz w:val="32"/>
          <w:rFonts w:ascii="Arial" w:hAnsi="Arial" w:eastAsia="SimHei"/>
        </w:rPr>
        <w:t>RNA 表达预测组学内 DDR 与 DNA 修复蛋白占比模型分析报告</w:t>
      </w:r>
    </w:p>
    <w:p>
      <w:pPr>
        <w:spacing w:before="0" w:after="240"/>
        <w:jc w:val="center"/>
      </w:pPr>
      <w:r>
        <w:rPr>
          <w:rFonts w:ascii="Arial" w:hAnsi="Arial"/>
          <w:b w:val="0"/>
          <w:i w:val="0"/>
          <w:color w:val="646464"/>
          <w:sz w:val="21"/>
          <w:rFonts w:ascii="Arial" w:hAnsi="Arial" w:eastAsia="SimSun"/>
        </w:rPr>
        <w:t>图 1a 计数口径下的四目标非线性建模与独立队列材料级对照验证</w:t>
      </w:r>
    </w:p>
    <w:tbl>
      <w:tblPr>
        <w:tblW w:type="auto" w:w="0"/>
        <w:jc w:val="center"/>
        <w:tblBorders>
          <w:top w:val="single" w:sz="4" w:space="0" w:color="CCCCCC"/>
          <w:left w:val="none"/>
          <w:bottom w:val="single" w:sz="4" w:space="0" w:color="CCCCCC"/>
          <w:right w:val="none"/>
          <w:insideH w:val="none"/>
          <w:insideV w:val="none"/>
        </w:tblBorders>
        <w:tblLook w:firstColumn="1" w:firstRow="1" w:lastColumn="0" w:lastRow="0" w:noHBand="0" w:noVBand="1" w:val="04A0"/>
      </w:tblPr>
      <w:tblGrid>
        <w:gridCol w:w="4536"/>
        <w:gridCol w:w="4536"/>
      </w:tblGrid>
      <w:tr>
        <w:tc>
          <w:tcPr>
            <w:tcW w:type="dxa" w:w="1814"/>
          </w:tcPr>
          <w:p>
            <w:pPr>
              <w:spacing w:before="40" w:after="40"/>
              <w:jc w:val="right"/>
            </w:pPr>
            <w:r>
              <w:rPr>
                <w:rFonts w:ascii="Arial" w:hAnsi="Arial"/>
                <w:b/>
                <w:i w:val="0"/>
                <w:color w:val="464646"/>
                <w:sz w:val="19"/>
                <w:rFonts w:ascii="Arial" w:hAnsi="Arial" w:eastAsia="SimHei"/>
              </w:rPr>
              <w:t>研究课题：</w:t>
            </w:r>
          </w:p>
        </w:tc>
        <w:tc>
          <w:tcPr>
            <w:tcW w:type="dxa" w:w="7257"/>
          </w:tcPr>
          <w:p>
            <w:pPr>
              <w:spacing w:before="40" w:after="40"/>
              <w:jc w:val="left"/>
            </w:pPr>
            <w:r>
              <w:rPr>
                <w:rFonts w:ascii="Arial" w:hAnsi="Arial"/>
                <w:b w:val="0"/>
                <w:i w:val="0"/>
                <w:color w:val="282828"/>
                <w:sz w:val="19"/>
                <w:rFonts w:ascii="Arial" w:hAnsi="Arial" w:eastAsia="SimSun"/>
              </w:rPr>
              <w:t>人类乳酸化修饰组学与 DDR 机制交互分析</w:t>
            </w:r>
          </w:p>
        </w:tc>
      </w:tr>
      <w:tr>
        <w:tc>
          <w:tcPr>
            <w:tcW w:type="dxa" w:w="1814"/>
          </w:tcPr>
          <w:p>
            <w:pPr>
              <w:spacing w:before="40" w:after="40"/>
              <w:jc w:val="right"/>
            </w:pPr>
            <w:r>
              <w:rPr>
                <w:rFonts w:ascii="Arial" w:hAnsi="Arial"/>
                <w:b/>
                <w:i w:val="0"/>
                <w:color w:val="464646"/>
                <w:sz w:val="19"/>
                <w:rFonts w:ascii="Arial" w:hAnsi="Arial" w:eastAsia="SimHei"/>
              </w:rPr>
              <w:t>预测目标：</w:t>
            </w:r>
          </w:p>
        </w:tc>
        <w:tc>
          <w:tcPr>
            <w:tcW w:type="dxa" w:w="7257"/>
          </w:tcPr>
          <w:p>
            <w:pPr>
              <w:spacing w:before="40" w:after="40"/>
              <w:jc w:val="left"/>
            </w:pPr>
            <w:r>
              <w:rPr>
                <w:rFonts w:ascii="Arial" w:hAnsi="Arial"/>
                <w:b w:val="0"/>
                <w:i w:val="0"/>
                <w:color w:val="282828"/>
                <w:sz w:val="19"/>
                <w:rFonts w:ascii="Arial" w:hAnsi="Arial" w:eastAsia="SimSun"/>
              </w:rPr>
              <w:t>组学内部构成比 (普通蛋白组与 Kla 蛋白组各自内部的 DDR / DNA repair 检出占比)</w:t>
            </w:r>
          </w:p>
        </w:tc>
      </w:tr>
      <w:tr>
        <w:tc>
          <w:tcPr>
            <w:tcW w:type="dxa" w:w="1814"/>
          </w:tcPr>
          <w:p>
            <w:pPr>
              <w:spacing w:before="40" w:after="40"/>
              <w:jc w:val="right"/>
            </w:pPr>
            <w:r>
              <w:rPr>
                <w:rFonts w:ascii="Arial" w:hAnsi="Arial"/>
                <w:b/>
                <w:i w:val="0"/>
                <w:color w:val="464646"/>
                <w:sz w:val="19"/>
                <w:rFonts w:ascii="Arial" w:hAnsi="Arial" w:eastAsia="SimHei"/>
              </w:rPr>
              <w:t>计数口径：</w:t>
            </w:r>
          </w:p>
        </w:tc>
        <w:tc>
          <w:tcPr>
            <w:tcW w:type="dxa" w:w="7257"/>
          </w:tcPr>
          <w:p>
            <w:pPr>
              <w:spacing w:before="40" w:after="40"/>
              <w:jc w:val="left"/>
            </w:pPr>
            <w:r>
              <w:rPr>
                <w:rFonts w:ascii="Arial" w:hAnsi="Arial"/>
                <w:b w:val="0"/>
                <w:i w:val="0"/>
                <w:color w:val="282828"/>
                <w:sz w:val="19"/>
                <w:rFonts w:ascii="Arial" w:hAnsi="Arial" w:eastAsia="SimSun"/>
              </w:rPr>
              <w:t>严格对齐论文图 1a 定义 (分子与分母同属单一组学，不求跨组学交集)</w:t>
            </w:r>
          </w:p>
        </w:tc>
      </w:tr>
      <w:tr>
        <w:tc>
          <w:tcPr>
            <w:tcW w:type="dxa" w:w="1814"/>
          </w:tcPr>
          <w:p>
            <w:pPr>
              <w:spacing w:before="40" w:after="40"/>
              <w:jc w:val="right"/>
            </w:pPr>
            <w:r>
              <w:rPr>
                <w:rFonts w:ascii="Arial" w:hAnsi="Arial"/>
                <w:b/>
                <w:i w:val="0"/>
                <w:color w:val="464646"/>
                <w:sz w:val="19"/>
                <w:rFonts w:ascii="Arial" w:hAnsi="Arial" w:eastAsia="SimHei"/>
              </w:rPr>
              <w:t>输入特征：</w:t>
            </w:r>
          </w:p>
        </w:tc>
        <w:tc>
          <w:tcPr>
            <w:tcW w:type="dxa" w:w="7257"/>
          </w:tcPr>
          <w:p>
            <w:pPr>
              <w:spacing w:before="40" w:after="40"/>
              <w:jc w:val="left"/>
            </w:pPr>
            <w:r>
              <w:rPr>
                <w:rFonts w:ascii="Arial" w:hAnsi="Arial"/>
                <w:b w:val="0"/>
                <w:i w:val="0"/>
                <w:color w:val="282828"/>
                <w:sz w:val="19"/>
                <w:rFonts w:ascii="Arial" w:hAnsi="Arial" w:eastAsia="SimSun"/>
              </w:rPr>
              <w:t>全转录组 18,332 个共有 Ensembl 稳定基因 (log2(TPM + 0.5) 表达矩阵)</w:t>
            </w:r>
          </w:p>
        </w:tc>
      </w:tr>
      <w:tr>
        <w:tc>
          <w:tcPr>
            <w:tcW w:type="dxa" w:w="1814"/>
          </w:tcPr>
          <w:p>
            <w:pPr>
              <w:spacing w:before="40" w:after="40"/>
              <w:jc w:val="right"/>
            </w:pPr>
            <w:r>
              <w:rPr>
                <w:rFonts w:ascii="Arial" w:hAnsi="Arial"/>
                <w:b/>
                <w:i w:val="0"/>
                <w:color w:val="464646"/>
                <w:sz w:val="19"/>
                <w:rFonts w:ascii="Arial" w:hAnsi="Arial" w:eastAsia="SimHei"/>
              </w:rPr>
              <w:t>内部验证设计：</w:t>
            </w:r>
          </w:p>
        </w:tc>
        <w:tc>
          <w:tcPr>
            <w:tcW w:type="dxa" w:w="7257"/>
          </w:tcPr>
          <w:p>
            <w:pPr>
              <w:spacing w:before="40" w:after="40"/>
              <w:jc w:val="left"/>
            </w:pPr>
            <w:r>
              <w:rPr>
                <w:rFonts w:ascii="Arial" w:hAnsi="Arial"/>
                <w:b w:val="0"/>
                <w:i w:val="0"/>
                <w:color w:val="282828"/>
                <w:sz w:val="19"/>
                <w:rFonts w:ascii="Arial" w:hAnsi="Arial" w:eastAsia="SimSun"/>
              </w:rPr>
              <w:t>1,898 条 RNA (1,524 训练 / 374 内部留出，供者隔离，种子 25)</w:t>
            </w:r>
          </w:p>
        </w:tc>
      </w:tr>
      <w:tr>
        <w:tc>
          <w:tcPr>
            <w:tcW w:type="dxa" w:w="1814"/>
          </w:tcPr>
          <w:p>
            <w:pPr>
              <w:spacing w:before="40" w:after="40"/>
              <w:jc w:val="right"/>
            </w:pPr>
            <w:r>
              <w:rPr>
                <w:rFonts w:ascii="Arial" w:hAnsi="Arial"/>
                <w:b/>
                <w:i w:val="0"/>
                <w:color w:val="464646"/>
                <w:sz w:val="19"/>
                <w:rFonts w:ascii="Arial" w:hAnsi="Arial" w:eastAsia="SimHei"/>
              </w:rPr>
              <w:t>外部对照队列：</w:t>
            </w:r>
          </w:p>
        </w:tc>
        <w:tc>
          <w:tcPr>
            <w:tcW w:type="dxa" w:w="7257"/>
          </w:tcPr>
          <w:p>
            <w:pPr>
              <w:spacing w:before="40" w:after="40"/>
              <w:jc w:val="left"/>
            </w:pPr>
            <w:r>
              <w:rPr>
                <w:rFonts w:ascii="Arial" w:hAnsi="Arial"/>
                <w:b w:val="0"/>
                <w:i w:val="0"/>
                <w:color w:val="282828"/>
                <w:sz w:val="19"/>
                <w:rFonts w:ascii="Arial" w:hAnsi="Arial" w:eastAsia="SimSun"/>
              </w:rPr>
              <w:t>质谱: PXD063945 (华山医院 ESCC)；RNA: GSE130078 (韩国 YSH 队列 46 例配对组织)</w:t>
            </w:r>
          </w:p>
        </w:tc>
      </w:tr>
      <w:tr>
        <w:tc>
          <w:tcPr>
            <w:tcW w:type="dxa" w:w="1814"/>
          </w:tcPr>
          <w:p>
            <w:pPr>
              <w:spacing w:before="40" w:after="40"/>
              <w:jc w:val="right"/>
            </w:pPr>
            <w:r>
              <w:rPr>
                <w:rFonts w:ascii="Arial" w:hAnsi="Arial"/>
                <w:b/>
                <w:i w:val="0"/>
                <w:color w:val="464646"/>
                <w:sz w:val="19"/>
                <w:rFonts w:ascii="Arial" w:hAnsi="Arial" w:eastAsia="SimHei"/>
              </w:rPr>
              <w:t>报告日期：</w:t>
            </w:r>
          </w:p>
        </w:tc>
        <w:tc>
          <w:tcPr>
            <w:tcW w:type="dxa" w:w="7257"/>
          </w:tcPr>
          <w:p>
            <w:pPr>
              <w:spacing w:before="40" w:after="40"/>
              <w:jc w:val="left"/>
            </w:pPr>
            <w:r>
              <w:rPr>
                <w:rFonts w:ascii="Arial" w:hAnsi="Arial"/>
                <w:b w:val="0"/>
                <w:i w:val="0"/>
                <w:color w:val="282828"/>
                <w:sz w:val="19"/>
                <w:rFonts w:ascii="Arial" w:hAnsi="Arial" w:eastAsia="SimSun"/>
              </w:rPr>
              <w:t>2026 年 9 月 30 日</w:t>
            </w:r>
          </w:p>
        </w:tc>
      </w:tr>
    </w:tbl>
    <w:p>
      <w:pPr>
        <w:spacing w:before="0" w:after="120"/>
      </w:pPr>
    </w:p>
    <w:p>
      <w:pPr>
        <w:keepNext/>
        <w:spacing w:before="280" w:after="100"/>
      </w:pPr>
      <w:r>
        <w:rPr>
          <w:rFonts w:ascii="Arial" w:hAnsi="Arial"/>
          <w:b/>
          <w:i w:val="0"/>
          <w:color w:val="19375F"/>
          <w:sz w:val="26"/>
          <w:rFonts w:ascii="Arial" w:hAnsi="Arial" w:eastAsia="SimHei"/>
        </w:rPr>
        <w:t>一、研究背景与主要结论</w:t>
      </w:r>
    </w:p>
    <w:p>
      <w:pPr>
        <w:spacing w:line="300" w:lineRule="auto" w:before="0" w:after="60"/>
        <w:ind w:firstLine="420"/>
      </w:pPr>
      <w:r>
        <w:rPr>
          <w:rFonts w:ascii="Arial" w:hAnsi="Arial"/>
          <w:b w:val="0"/>
          <w:i w:val="0"/>
          <w:sz w:val="21"/>
          <w:rFonts w:ascii="Arial" w:hAnsi="Arial" w:eastAsia="SimSun"/>
        </w:rPr>
        <w:t>在前期探索中，预测目标曾被设定为‘普通蛋白组检出的通路蛋白中同时发生乳酸化的比例’。然而，该跨组学交集比值的分子依赖抗体富集质谱、分母依赖常规全蛋白组质谱，受制于两套实验检测深度的交乘影响，在跨实验室验证时容易出现系统性基线偏移，且与论文图 1a 的统计口径存在出入。</w:t>
      </w:r>
    </w:p>
    <w:p>
      <w:pPr>
        <w:spacing w:line="300" w:lineRule="auto" w:before="0" w:after="60"/>
        <w:ind w:firstLine="420"/>
      </w:pPr>
      <w:r>
        <w:rPr>
          <w:rFonts w:ascii="Arial" w:hAnsi="Arial"/>
          <w:b w:val="0"/>
          <w:i w:val="0"/>
          <w:sz w:val="21"/>
          <w:rFonts w:ascii="Arial" w:hAnsi="Arial" w:eastAsia="SimSun"/>
        </w:rPr>
        <w:t>为此，本轮分析将预测目标调整为与论文图 1a 完全一致的【组学内部组成比例（Within-Assay Composition）】：分别在普通蛋白质组和乳酸化修饰组内部，计算 DDR 及 DNA 修复相关蛋白占各自总检出蛋白的百分比。四个目标各自独立训练随机森林回归模型，输入特征保持为全转录组 18,332 个共有 Ensembl 基因。</w:t>
      </w:r>
    </w:p>
    <w:p>
      <w:pPr>
        <w:spacing w:line="300" w:lineRule="auto" w:before="0" w:after="60"/>
        <w:ind w:firstLine="420"/>
      </w:pPr>
      <w:r>
        <w:rPr>
          <w:rFonts w:ascii="Arial" w:hAnsi="Arial"/>
          <w:b w:val="0"/>
          <w:i w:val="0"/>
          <w:sz w:val="21"/>
          <w:rFonts w:ascii="Arial" w:hAnsi="Arial" w:eastAsia="SimSun"/>
        </w:rPr>
        <w:t>四个预测目标的定义如下：</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 xml:space="preserve">1. </w:t>
      </w:r>
      <w:r>
        <w:rPr>
          <w:rFonts w:ascii="Arial" w:hAnsi="Arial"/>
          <w:b w:val="0"/>
          <w:i w:val="0"/>
          <w:sz w:val="21"/>
          <w:rFonts w:ascii="Arial" w:hAnsi="Arial" w:eastAsia="SimSun"/>
        </w:rPr>
        <w:t>普通组 DDR 占比 (Proteome_DDR)：普通蛋白组中 DDR 检出蛋白数 / 全部普通组检出蛋白数 × 100；</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 xml:space="preserve">2. </w:t>
      </w:r>
      <w:r>
        <w:rPr>
          <w:rFonts w:ascii="Arial" w:hAnsi="Arial"/>
          <w:b w:val="0"/>
          <w:i w:val="0"/>
          <w:sz w:val="21"/>
          <w:rFonts w:ascii="Arial" w:hAnsi="Arial" w:eastAsia="SimSun"/>
        </w:rPr>
        <w:t>Kla 组 DDR 占比 (Kla_DDR)：Kla 蛋白组中 DDR 检出蛋白数 / 全部 Kla 组检出蛋白数 × 100；</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 xml:space="preserve">3. </w:t>
      </w:r>
      <w:r>
        <w:rPr>
          <w:rFonts w:ascii="Arial" w:hAnsi="Arial"/>
          <w:b w:val="0"/>
          <w:i w:val="0"/>
          <w:sz w:val="21"/>
          <w:rFonts w:ascii="Arial" w:hAnsi="Arial" w:eastAsia="SimSun"/>
        </w:rPr>
        <w:t>普通组 DNA repair 占比 (Proteome_DNA_repair)：普通蛋白组中 DNA 修复蛋白数 / 全部普通组检出蛋白数 × 100；</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 xml:space="preserve">4. </w:t>
      </w:r>
      <w:r>
        <w:rPr>
          <w:rFonts w:ascii="Arial" w:hAnsi="Arial"/>
          <w:b w:val="0"/>
          <w:i w:val="0"/>
          <w:sz w:val="21"/>
          <w:rFonts w:ascii="Arial" w:hAnsi="Arial" w:eastAsia="SimSun"/>
        </w:rPr>
        <w:t>Kla 组 DNA repair 占比 (Kla_DNA_repair)：Kla 蛋白组中 DNA 修复蛋白数 / 全部 Kla 组检出蛋白数 × 100。</w:t>
      </w:r>
    </w:p>
    <w:p>
      <w:pPr>
        <w:spacing w:line="300" w:lineRule="auto" w:before="0" w:after="60"/>
        <w:ind w:firstLine="420"/>
      </w:pPr>
      <w:r>
        <w:rPr>
          <w:rFonts w:ascii="Arial" w:hAnsi="Arial"/>
          <w:b/>
          <w:i w:val="0"/>
          <w:sz w:val="21"/>
          <w:rFonts w:ascii="Arial" w:hAnsi="Arial" w:eastAsia="SimSun"/>
        </w:rPr>
        <w:t>主要结论概括：</w:t>
      </w:r>
      <w:r>
        <w:rPr>
          <w:rFonts w:ascii="Arial" w:hAnsi="Arial"/>
          <w:b w:val="0"/>
          <w:i w:val="0"/>
          <w:sz w:val="21"/>
          <w:rFonts w:ascii="Arial" w:hAnsi="Arial" w:eastAsia="SimSun"/>
        </w:rPr>
        <w:t>核心评估结果表明：</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内部留出一致性高：</w:t>
      </w:r>
      <w:r>
        <w:rPr>
          <w:rFonts w:ascii="Arial" w:hAnsi="Arial"/>
          <w:b w:val="0"/>
          <w:i w:val="0"/>
          <w:sz w:val="21"/>
          <w:rFonts w:ascii="Arial" w:hAnsi="Arial" w:eastAsia="SimSun"/>
        </w:rPr>
        <w:t>内部留出表现优异：在 374 条未参与训练的同类材料 RNA 记录中，四个目标的逐记录 MAE 均在 0.03～0.20 个百分点，R² 为 0.94～0.98，超过 96% 的记录误差在 ±1 个百分点以内；</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外部肿瘤组织验证良好：</w:t>
      </w:r>
      <w:r>
        <w:rPr>
          <w:rFonts w:ascii="Arial" w:hAnsi="Arial"/>
          <w:b w:val="0"/>
          <w:i w:val="0"/>
          <w:sz w:val="21"/>
          <w:rFonts w:ascii="Arial" w:hAnsi="Arial" w:eastAsia="SimSun"/>
        </w:rPr>
        <w:t>外部肿瘤材料对照高度吻合：在外部独立的食管鳞癌未治疗肿瘤组织中，四个目标的平均预测值与新质谱真值的偏差均在 0.05～0.19 个百分点，显著优于无 RNA 基线；</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组织类型差异客观存在：</w:t>
      </w:r>
      <w:r>
        <w:rPr>
          <w:rFonts w:ascii="Arial" w:hAnsi="Arial"/>
          <w:b w:val="0"/>
          <w:i w:val="0"/>
          <w:sz w:val="21"/>
          <w:rFonts w:ascii="Arial" w:hAnsi="Arial" w:eastAsia="SimSun"/>
        </w:rPr>
        <w:t>外部癌旁预测存在一定偏离：在外部配对癌旁切片中，Kla 组的预测误差为 1.0～1.8 个百分点，反映出癌旁正常组织的修饰基线与模型在肿瘤中学习到的规律存在一定差异；</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适用边界明确：</w:t>
      </w:r>
      <w:r>
        <w:rPr>
          <w:rFonts w:ascii="Arial" w:hAnsi="Arial"/>
          <w:b w:val="0"/>
          <w:i w:val="0"/>
          <w:sz w:val="21"/>
          <w:rFonts w:ascii="Arial" w:hAnsi="Arial" w:eastAsia="SimSun"/>
        </w:rPr>
        <w:t>模型定位于组织水平参考重现：每条 RNA 记录对应的是所属材料的质谱共享参考标签，当前结果支持在材料层面重现通路占比，尚不能证明可用于单人水平的个体差异预测。</w:t>
      </w:r>
    </w:p>
    <w:p>
      <w:pPr>
        <w:keepNext/>
        <w:spacing w:before="120" w:after="80"/>
        <w:ind w:firstLine="0"/>
        <w:jc w:val="center"/>
      </w:pPr>
      <w:r>
        <w:rPr>
          <w:rFonts w:ascii="Arial" w:hAnsi="Arial"/>
          <w:b/>
          <w:i w:val="0"/>
          <w:color w:val="323232"/>
          <w:sz w:val="20"/>
          <w:rFonts w:ascii="Arial" w:hAnsi="Arial" w:eastAsia="SimSun"/>
        </w:rPr>
        <w:t>表 1 四大组学内部通路占比模型在不同验证阶段的性能指标汇总表</w:t>
      </w:r>
    </w:p>
    <w:tbl>
      <w:tblPr>
        <w:tblW w:type="auto" w:w="0"/>
        <w:jc w:val="center"/>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1134"/>
        <w:gridCol w:w="1134"/>
        <w:gridCol w:w="1134"/>
        <w:gridCol w:w="1134"/>
        <w:gridCol w:w="1134"/>
        <w:gridCol w:w="1134"/>
        <w:gridCol w:w="1134"/>
        <w:gridCol w:w="1134"/>
      </w:tblGrid>
      <w:tr>
        <w:trPr>
          <w:tblHeader/>
        </w:trPr>
        <w:tc>
          <w:tcPr>
            <w:tcW w:type="dxa" w:w="2154"/>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预测目标</w:t>
            </w:r>
          </w:p>
        </w:tc>
        <w:tc>
          <w:tcPr>
            <w:tcW w:type="dxa" w:w="90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训练 MAE</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内部记录 MAE</w:t>
            </w:r>
          </w:p>
        </w:tc>
        <w:tc>
          <w:tcPr>
            <w:tcW w:type="dxa" w:w="90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内部 R²</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内部材料 MAE</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内部 ±1pp 率</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跨来源 MAE</w:t>
            </w:r>
          </w:p>
        </w:tc>
        <w:tc>
          <w:tcPr>
            <w:tcW w:type="dxa" w:w="1020"/>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无 RNA 基线</w:t>
            </w:r>
          </w:p>
        </w:tc>
      </w:tr>
      <w:tr>
        <w:tc>
          <w:tcPr>
            <w:tcW w:type="dxa" w:w="2154"/>
          </w:tcPr>
          <w:p>
            <w:pPr>
              <w:spacing w:before="50" w:after="50"/>
              <w:ind w:firstLine="0"/>
              <w:jc w:val="left"/>
            </w:pPr>
            <w:r>
              <w:rPr>
                <w:rFonts w:ascii="Arial" w:hAnsi="Arial"/>
                <w:b w:val="0"/>
                <w:i w:val="0"/>
                <w:sz w:val="19"/>
                <w:rFonts w:ascii="Arial" w:hAnsi="Arial" w:eastAsia="SimSun"/>
              </w:rPr>
              <w:t>普通组 · DDR 占比</w:t>
            </w:r>
          </w:p>
        </w:tc>
        <w:tc>
          <w:tcPr>
            <w:tcW w:type="dxa" w:w="907"/>
          </w:tcPr>
          <w:p>
            <w:pPr>
              <w:spacing w:before="50" w:after="50"/>
              <w:ind w:firstLine="0"/>
              <w:jc w:val="center"/>
            </w:pPr>
            <w:r>
              <w:rPr>
                <w:rFonts w:ascii="Arial" w:hAnsi="Arial"/>
                <w:b w:val="0"/>
                <w:i w:val="0"/>
                <w:sz w:val="19"/>
                <w:rFonts w:ascii="Arial" w:hAnsi="Arial" w:eastAsia="SimSun"/>
              </w:rPr>
              <w:t>0.025</w:t>
            </w:r>
          </w:p>
        </w:tc>
        <w:tc>
          <w:tcPr>
            <w:tcW w:type="dxa" w:w="1020"/>
          </w:tcPr>
          <w:p>
            <w:pPr>
              <w:spacing w:before="50" w:after="50"/>
              <w:ind w:firstLine="0"/>
              <w:jc w:val="center"/>
            </w:pPr>
            <w:r>
              <w:rPr>
                <w:rFonts w:ascii="Arial" w:hAnsi="Arial"/>
                <w:b w:val="0"/>
                <w:i w:val="0"/>
                <w:sz w:val="19"/>
                <w:rFonts w:ascii="Arial" w:hAnsi="Arial" w:eastAsia="SimSun"/>
              </w:rPr>
              <w:t>0.052</w:t>
            </w:r>
          </w:p>
        </w:tc>
        <w:tc>
          <w:tcPr>
            <w:tcW w:type="dxa" w:w="907"/>
          </w:tcPr>
          <w:p>
            <w:pPr>
              <w:spacing w:before="50" w:after="50"/>
              <w:ind w:firstLine="0"/>
              <w:jc w:val="center"/>
            </w:pPr>
            <w:r>
              <w:rPr>
                <w:rFonts w:ascii="Arial" w:hAnsi="Arial"/>
                <w:b w:val="0"/>
                <w:i w:val="0"/>
                <w:sz w:val="19"/>
                <w:rFonts w:ascii="Arial" w:hAnsi="Arial" w:eastAsia="SimSun"/>
              </w:rPr>
              <w:t>0.953</w:t>
            </w:r>
          </w:p>
        </w:tc>
        <w:tc>
          <w:tcPr>
            <w:tcW w:type="dxa" w:w="1020"/>
          </w:tcPr>
          <w:p>
            <w:pPr>
              <w:spacing w:before="50" w:after="50"/>
              <w:ind w:firstLine="0"/>
              <w:jc w:val="center"/>
            </w:pPr>
            <w:r>
              <w:rPr>
                <w:rFonts w:ascii="Arial" w:hAnsi="Arial"/>
                <w:b w:val="0"/>
                <w:i w:val="0"/>
                <w:sz w:val="19"/>
                <w:rFonts w:ascii="Arial" w:hAnsi="Arial" w:eastAsia="SimSun"/>
              </w:rPr>
              <w:t>0.174</w:t>
            </w:r>
          </w:p>
        </w:tc>
        <w:tc>
          <w:tcPr>
            <w:tcW w:type="dxa" w:w="1020"/>
          </w:tcPr>
          <w:p>
            <w:pPr>
              <w:spacing w:before="50" w:after="50"/>
              <w:ind w:firstLine="0"/>
              <w:jc w:val="center"/>
            </w:pPr>
            <w:r>
              <w:rPr>
                <w:rFonts w:ascii="Arial" w:hAnsi="Arial"/>
                <w:b w:val="0"/>
                <w:i w:val="0"/>
                <w:sz w:val="19"/>
                <w:rFonts w:ascii="Arial" w:hAnsi="Arial" w:eastAsia="SimSun"/>
              </w:rPr>
              <w:t>100.0%</w:t>
            </w:r>
          </w:p>
        </w:tc>
        <w:tc>
          <w:tcPr>
            <w:tcW w:type="dxa" w:w="1020"/>
          </w:tcPr>
          <w:p>
            <w:pPr>
              <w:spacing w:before="50" w:after="50"/>
              <w:ind w:firstLine="0"/>
              <w:jc w:val="center"/>
            </w:pPr>
            <w:r>
              <w:rPr>
                <w:rFonts w:ascii="Arial" w:hAnsi="Arial"/>
                <w:b w:val="0"/>
                <w:i w:val="0"/>
                <w:sz w:val="19"/>
                <w:rFonts w:ascii="Arial" w:hAnsi="Arial" w:eastAsia="SimSun"/>
              </w:rPr>
              <w:t>0.892</w:t>
            </w:r>
          </w:p>
        </w:tc>
        <w:tc>
          <w:tcPr>
            <w:tcW w:type="dxa" w:w="1020"/>
          </w:tcPr>
          <w:p>
            <w:pPr>
              <w:spacing w:before="50" w:after="50"/>
              <w:ind w:firstLine="0"/>
              <w:jc w:val="center"/>
            </w:pPr>
            <w:r>
              <w:rPr>
                <w:rFonts w:ascii="Arial" w:hAnsi="Arial"/>
                <w:b w:val="0"/>
                <w:i w:val="0"/>
                <w:sz w:val="19"/>
                <w:rFonts w:ascii="Arial" w:hAnsi="Arial" w:eastAsia="SimSun"/>
              </w:rPr>
              <w:t>1.402</w:t>
            </w:r>
          </w:p>
        </w:tc>
      </w:tr>
      <w:tr>
        <w:tc>
          <w:tcPr>
            <w:tcW w:type="dxa" w:w="2154"/>
          </w:tcPr>
          <w:p>
            <w:pPr>
              <w:spacing w:before="50" w:after="50"/>
              <w:ind w:firstLine="0"/>
              <w:jc w:val="left"/>
            </w:pPr>
            <w:r>
              <w:rPr>
                <w:rFonts w:ascii="Arial" w:hAnsi="Arial"/>
                <w:b w:val="0"/>
                <w:i w:val="0"/>
                <w:sz w:val="19"/>
                <w:rFonts w:ascii="Arial" w:hAnsi="Arial" w:eastAsia="SimSun"/>
              </w:rPr>
              <w:t>Kla 组 · DDR 占比</w:t>
            </w:r>
          </w:p>
        </w:tc>
        <w:tc>
          <w:tcPr>
            <w:tcW w:type="dxa" w:w="907"/>
          </w:tcPr>
          <w:p>
            <w:pPr>
              <w:spacing w:before="50" w:after="50"/>
              <w:ind w:firstLine="0"/>
              <w:jc w:val="center"/>
            </w:pPr>
            <w:r>
              <w:rPr>
                <w:rFonts w:ascii="Arial" w:hAnsi="Arial"/>
                <w:b w:val="0"/>
                <w:i w:val="0"/>
                <w:sz w:val="19"/>
                <w:rFonts w:ascii="Arial" w:hAnsi="Arial" w:eastAsia="SimSun"/>
              </w:rPr>
              <w:t>0.042</w:t>
            </w:r>
          </w:p>
        </w:tc>
        <w:tc>
          <w:tcPr>
            <w:tcW w:type="dxa" w:w="1020"/>
          </w:tcPr>
          <w:p>
            <w:pPr>
              <w:spacing w:before="50" w:after="50"/>
              <w:ind w:firstLine="0"/>
              <w:jc w:val="center"/>
            </w:pPr>
            <w:r>
              <w:rPr>
                <w:rFonts w:ascii="Arial" w:hAnsi="Arial"/>
                <w:b w:val="0"/>
                <w:i w:val="0"/>
                <w:sz w:val="19"/>
                <w:rFonts w:ascii="Arial" w:hAnsi="Arial" w:eastAsia="SimSun"/>
              </w:rPr>
              <w:t>0.071</w:t>
            </w:r>
          </w:p>
        </w:tc>
        <w:tc>
          <w:tcPr>
            <w:tcW w:type="dxa" w:w="907"/>
          </w:tcPr>
          <w:p>
            <w:pPr>
              <w:spacing w:before="50" w:after="50"/>
              <w:ind w:firstLine="0"/>
              <w:jc w:val="center"/>
            </w:pPr>
            <w:r>
              <w:rPr>
                <w:rFonts w:ascii="Arial" w:hAnsi="Arial"/>
                <w:b w:val="0"/>
                <w:i w:val="0"/>
                <w:sz w:val="19"/>
                <w:rFonts w:ascii="Arial" w:hAnsi="Arial" w:eastAsia="SimSun"/>
              </w:rPr>
              <w:t>0.983</w:t>
            </w:r>
          </w:p>
        </w:tc>
        <w:tc>
          <w:tcPr>
            <w:tcW w:type="dxa" w:w="1020"/>
          </w:tcPr>
          <w:p>
            <w:pPr>
              <w:spacing w:before="50" w:after="50"/>
              <w:ind w:firstLine="0"/>
              <w:jc w:val="center"/>
            </w:pPr>
            <w:r>
              <w:rPr>
                <w:rFonts w:ascii="Arial" w:hAnsi="Arial"/>
                <w:b w:val="0"/>
                <w:i w:val="0"/>
                <w:sz w:val="19"/>
                <w:rFonts w:ascii="Arial" w:hAnsi="Arial" w:eastAsia="SimSun"/>
              </w:rPr>
              <w:t>0.203</w:t>
            </w:r>
          </w:p>
        </w:tc>
        <w:tc>
          <w:tcPr>
            <w:tcW w:type="dxa" w:w="1020"/>
          </w:tcPr>
          <w:p>
            <w:pPr>
              <w:spacing w:before="50" w:after="50"/>
              <w:ind w:firstLine="0"/>
              <w:jc w:val="center"/>
            </w:pPr>
            <w:r>
              <w:rPr>
                <w:rFonts w:ascii="Arial" w:hAnsi="Arial"/>
                <w:b w:val="0"/>
                <w:i w:val="0"/>
                <w:sz w:val="19"/>
                <w:rFonts w:ascii="Arial" w:hAnsi="Arial" w:eastAsia="SimSun"/>
              </w:rPr>
              <w:t>96.3%</w:t>
            </w:r>
          </w:p>
        </w:tc>
        <w:tc>
          <w:tcPr>
            <w:tcW w:type="dxa" w:w="1020"/>
          </w:tcPr>
          <w:p>
            <w:pPr>
              <w:spacing w:before="50" w:after="50"/>
              <w:ind w:firstLine="0"/>
              <w:jc w:val="center"/>
            </w:pPr>
            <w:r>
              <w:rPr>
                <w:rFonts w:ascii="Arial" w:hAnsi="Arial"/>
                <w:b w:val="0"/>
                <w:i w:val="0"/>
                <w:sz w:val="19"/>
                <w:rFonts w:ascii="Arial" w:hAnsi="Arial" w:eastAsia="SimSun"/>
              </w:rPr>
              <w:t>1.609</w:t>
            </w:r>
          </w:p>
        </w:tc>
        <w:tc>
          <w:tcPr>
            <w:tcW w:type="dxa" w:w="1020"/>
          </w:tcPr>
          <w:p>
            <w:pPr>
              <w:spacing w:before="50" w:after="50"/>
              <w:ind w:firstLine="0"/>
              <w:jc w:val="center"/>
            </w:pPr>
            <w:r>
              <w:rPr>
                <w:rFonts w:ascii="Arial" w:hAnsi="Arial"/>
                <w:b w:val="0"/>
                <w:i w:val="0"/>
                <w:sz w:val="19"/>
                <w:rFonts w:ascii="Arial" w:hAnsi="Arial" w:eastAsia="SimSun"/>
              </w:rPr>
              <w:t>3.329</w:t>
            </w:r>
          </w:p>
        </w:tc>
      </w:tr>
      <w:tr>
        <w:tc>
          <w:tcPr>
            <w:tcW w:type="dxa" w:w="2154"/>
          </w:tcPr>
          <w:p>
            <w:pPr>
              <w:spacing w:before="50" w:after="50"/>
              <w:ind w:firstLine="0"/>
              <w:jc w:val="left"/>
            </w:pPr>
            <w:r>
              <w:rPr>
                <w:rFonts w:ascii="Arial" w:hAnsi="Arial"/>
                <w:b w:val="0"/>
                <w:i w:val="0"/>
                <w:sz w:val="19"/>
                <w:rFonts w:ascii="Arial" w:hAnsi="Arial" w:eastAsia="SimSun"/>
              </w:rPr>
              <w:t>普通组 · DNA repair 占比</w:t>
            </w:r>
          </w:p>
        </w:tc>
        <w:tc>
          <w:tcPr>
            <w:tcW w:type="dxa" w:w="907"/>
          </w:tcPr>
          <w:p>
            <w:pPr>
              <w:spacing w:before="50" w:after="50"/>
              <w:ind w:firstLine="0"/>
              <w:jc w:val="center"/>
            </w:pPr>
            <w:r>
              <w:rPr>
                <w:rFonts w:ascii="Arial" w:hAnsi="Arial"/>
                <w:b w:val="0"/>
                <w:i w:val="0"/>
                <w:sz w:val="19"/>
                <w:rFonts w:ascii="Arial" w:hAnsi="Arial" w:eastAsia="SimSun"/>
              </w:rPr>
              <w:t>0.014</w:t>
            </w:r>
          </w:p>
        </w:tc>
        <w:tc>
          <w:tcPr>
            <w:tcW w:type="dxa" w:w="1020"/>
          </w:tcPr>
          <w:p>
            <w:pPr>
              <w:spacing w:before="50" w:after="50"/>
              <w:ind w:firstLine="0"/>
              <w:jc w:val="center"/>
            </w:pPr>
            <w:r>
              <w:rPr>
                <w:rFonts w:ascii="Arial" w:hAnsi="Arial"/>
                <w:b w:val="0"/>
                <w:i w:val="0"/>
                <w:sz w:val="19"/>
                <w:rFonts w:ascii="Arial" w:hAnsi="Arial" w:eastAsia="SimSun"/>
              </w:rPr>
              <w:t>0.029</w:t>
            </w:r>
          </w:p>
        </w:tc>
        <w:tc>
          <w:tcPr>
            <w:tcW w:type="dxa" w:w="907"/>
          </w:tcPr>
          <w:p>
            <w:pPr>
              <w:spacing w:before="50" w:after="50"/>
              <w:ind w:firstLine="0"/>
              <w:jc w:val="center"/>
            </w:pPr>
            <w:r>
              <w:rPr>
                <w:rFonts w:ascii="Arial" w:hAnsi="Arial"/>
                <w:b w:val="0"/>
                <w:i w:val="0"/>
                <w:sz w:val="19"/>
                <w:rFonts w:ascii="Arial" w:hAnsi="Arial" w:eastAsia="SimSun"/>
              </w:rPr>
              <w:t>0.966</w:t>
            </w:r>
          </w:p>
        </w:tc>
        <w:tc>
          <w:tcPr>
            <w:tcW w:type="dxa" w:w="1020"/>
          </w:tcPr>
          <w:p>
            <w:pPr>
              <w:spacing w:before="50" w:after="50"/>
              <w:ind w:firstLine="0"/>
              <w:jc w:val="center"/>
            </w:pPr>
            <w:r>
              <w:rPr>
                <w:rFonts w:ascii="Arial" w:hAnsi="Arial"/>
                <w:b w:val="0"/>
                <w:i w:val="0"/>
                <w:sz w:val="19"/>
                <w:rFonts w:ascii="Arial" w:hAnsi="Arial" w:eastAsia="SimSun"/>
              </w:rPr>
              <w:t>0.107</w:t>
            </w:r>
          </w:p>
        </w:tc>
        <w:tc>
          <w:tcPr>
            <w:tcW w:type="dxa" w:w="1020"/>
          </w:tcPr>
          <w:p>
            <w:pPr>
              <w:spacing w:before="50" w:after="50"/>
              <w:ind w:firstLine="0"/>
              <w:jc w:val="center"/>
            </w:pPr>
            <w:r>
              <w:rPr>
                <w:rFonts w:ascii="Arial" w:hAnsi="Arial"/>
                <w:b w:val="0"/>
                <w:i w:val="0"/>
                <w:sz w:val="19"/>
                <w:rFonts w:ascii="Arial" w:hAnsi="Arial" w:eastAsia="SimSun"/>
              </w:rPr>
              <w:t>100.0%</w:t>
            </w:r>
          </w:p>
        </w:tc>
        <w:tc>
          <w:tcPr>
            <w:tcW w:type="dxa" w:w="1020"/>
          </w:tcPr>
          <w:p>
            <w:pPr>
              <w:spacing w:before="50" w:after="50"/>
              <w:ind w:firstLine="0"/>
              <w:jc w:val="center"/>
            </w:pPr>
            <w:r>
              <w:rPr>
                <w:rFonts w:ascii="Arial" w:hAnsi="Arial"/>
                <w:b w:val="0"/>
                <w:i w:val="0"/>
                <w:sz w:val="19"/>
                <w:rFonts w:ascii="Arial" w:hAnsi="Arial" w:eastAsia="SimSun"/>
              </w:rPr>
              <w:t>0.587</w:t>
            </w:r>
          </w:p>
        </w:tc>
        <w:tc>
          <w:tcPr>
            <w:tcW w:type="dxa" w:w="1020"/>
          </w:tcPr>
          <w:p>
            <w:pPr>
              <w:spacing w:before="50" w:after="50"/>
              <w:ind w:firstLine="0"/>
              <w:jc w:val="center"/>
            </w:pPr>
            <w:r>
              <w:rPr>
                <w:rFonts w:ascii="Arial" w:hAnsi="Arial"/>
                <w:b w:val="0"/>
                <w:i w:val="0"/>
                <w:sz w:val="19"/>
                <w:rFonts w:ascii="Arial" w:hAnsi="Arial" w:eastAsia="SimSun"/>
              </w:rPr>
              <w:t>1.034</w:t>
            </w:r>
          </w:p>
        </w:tc>
      </w:tr>
      <w:tr>
        <w:tc>
          <w:tcPr>
            <w:tcW w:type="dxa" w:w="2154"/>
          </w:tcPr>
          <w:p>
            <w:pPr>
              <w:spacing w:before="50" w:after="50"/>
              <w:ind w:firstLine="0"/>
              <w:jc w:val="left"/>
            </w:pPr>
            <w:r>
              <w:rPr>
                <w:rFonts w:ascii="Arial" w:hAnsi="Arial"/>
                <w:b w:val="0"/>
                <w:i w:val="0"/>
                <w:sz w:val="19"/>
                <w:rFonts w:ascii="Arial" w:hAnsi="Arial" w:eastAsia="SimSun"/>
              </w:rPr>
              <w:t>Kla 组 · DNA repair 占比</w:t>
            </w:r>
          </w:p>
        </w:tc>
        <w:tc>
          <w:tcPr>
            <w:tcW w:type="dxa" w:w="907"/>
          </w:tcPr>
          <w:p>
            <w:pPr>
              <w:spacing w:before="50" w:after="50"/>
              <w:ind w:firstLine="0"/>
              <w:jc w:val="center"/>
            </w:pPr>
            <w:r>
              <w:rPr>
                <w:rFonts w:ascii="Arial" w:hAnsi="Arial"/>
                <w:b w:val="0"/>
                <w:i w:val="0"/>
                <w:sz w:val="19"/>
                <w:rFonts w:ascii="Arial" w:hAnsi="Arial" w:eastAsia="SimSun"/>
              </w:rPr>
              <w:t>0.034</w:t>
            </w:r>
          </w:p>
        </w:tc>
        <w:tc>
          <w:tcPr>
            <w:tcW w:type="dxa" w:w="1020"/>
          </w:tcPr>
          <w:p>
            <w:pPr>
              <w:spacing w:before="50" w:after="50"/>
              <w:ind w:firstLine="0"/>
              <w:jc w:val="center"/>
            </w:pPr>
            <w:r>
              <w:rPr>
                <w:rFonts w:ascii="Arial" w:hAnsi="Arial"/>
                <w:b w:val="0"/>
                <w:i w:val="0"/>
                <w:sz w:val="19"/>
                <w:rFonts w:ascii="Arial" w:hAnsi="Arial" w:eastAsia="SimSun"/>
              </w:rPr>
              <w:t>0.058</w:t>
            </w:r>
          </w:p>
        </w:tc>
        <w:tc>
          <w:tcPr>
            <w:tcW w:type="dxa" w:w="907"/>
          </w:tcPr>
          <w:p>
            <w:pPr>
              <w:spacing w:before="50" w:after="50"/>
              <w:ind w:firstLine="0"/>
              <w:jc w:val="center"/>
            </w:pPr>
            <w:r>
              <w:rPr>
                <w:rFonts w:ascii="Arial" w:hAnsi="Arial"/>
                <w:b w:val="0"/>
                <w:i w:val="0"/>
                <w:sz w:val="19"/>
                <w:rFonts w:ascii="Arial" w:hAnsi="Arial" w:eastAsia="SimSun"/>
              </w:rPr>
              <w:t>0.980</w:t>
            </w:r>
          </w:p>
        </w:tc>
        <w:tc>
          <w:tcPr>
            <w:tcW w:type="dxa" w:w="1020"/>
          </w:tcPr>
          <w:p>
            <w:pPr>
              <w:spacing w:before="50" w:after="50"/>
              <w:ind w:firstLine="0"/>
              <w:jc w:val="center"/>
            </w:pPr>
            <w:r>
              <w:rPr>
                <w:rFonts w:ascii="Arial" w:hAnsi="Arial"/>
                <w:b w:val="0"/>
                <w:i w:val="0"/>
                <w:sz w:val="19"/>
                <w:rFonts w:ascii="Arial" w:hAnsi="Arial" w:eastAsia="SimSun"/>
              </w:rPr>
              <w:t>0.134</w:t>
            </w:r>
          </w:p>
        </w:tc>
        <w:tc>
          <w:tcPr>
            <w:tcW w:type="dxa" w:w="1020"/>
          </w:tcPr>
          <w:p>
            <w:pPr>
              <w:spacing w:before="50" w:after="50"/>
              <w:ind w:firstLine="0"/>
              <w:jc w:val="center"/>
            </w:pPr>
            <w:r>
              <w:rPr>
                <w:rFonts w:ascii="Arial" w:hAnsi="Arial"/>
                <w:b w:val="0"/>
                <w:i w:val="0"/>
                <w:sz w:val="19"/>
                <w:rFonts w:ascii="Arial" w:hAnsi="Arial" w:eastAsia="SimSun"/>
              </w:rPr>
              <w:t>96.5%</w:t>
            </w:r>
          </w:p>
        </w:tc>
        <w:tc>
          <w:tcPr>
            <w:tcW w:type="dxa" w:w="1020"/>
          </w:tcPr>
          <w:p>
            <w:pPr>
              <w:spacing w:before="50" w:after="50"/>
              <w:ind w:firstLine="0"/>
              <w:jc w:val="center"/>
            </w:pPr>
            <w:r>
              <w:rPr>
                <w:rFonts w:ascii="Arial" w:hAnsi="Arial"/>
                <w:b w:val="0"/>
                <w:i w:val="0"/>
                <w:sz w:val="19"/>
                <w:rFonts w:ascii="Arial" w:hAnsi="Arial" w:eastAsia="SimSun"/>
              </w:rPr>
              <w:t>1.052</w:t>
            </w:r>
          </w:p>
        </w:tc>
        <w:tc>
          <w:tcPr>
            <w:tcW w:type="dxa" w:w="1020"/>
          </w:tcPr>
          <w:p>
            <w:pPr>
              <w:spacing w:before="50" w:after="50"/>
              <w:ind w:firstLine="0"/>
              <w:jc w:val="center"/>
            </w:pPr>
            <w:r>
              <w:rPr>
                <w:rFonts w:ascii="Arial" w:hAnsi="Arial"/>
                <w:b w:val="0"/>
                <w:i w:val="0"/>
                <w:sz w:val="19"/>
                <w:rFonts w:ascii="Arial" w:hAnsi="Arial" w:eastAsia="SimSun"/>
              </w:rPr>
              <w:t>2.452</w:t>
            </w:r>
          </w:p>
        </w:tc>
      </w:tr>
    </w:tbl>
    <w:p>
      <w:pPr>
        <w:spacing w:before="0" w:after="120"/>
      </w:pPr>
    </w:p>
    <w:p>
      <w:pPr>
        <w:keepNext/>
        <w:spacing w:before="280" w:after="100"/>
      </w:pPr>
      <w:r>
        <w:rPr>
          <w:rFonts w:ascii="Arial" w:hAnsi="Arial"/>
          <w:b/>
          <w:i w:val="0"/>
          <w:color w:val="19375F"/>
          <w:sz w:val="26"/>
          <w:rFonts w:ascii="Arial" w:hAnsi="Arial" w:eastAsia="SimHei"/>
        </w:rPr>
        <w:t>二、数据架构与计数口径</w:t>
      </w:r>
    </w:p>
    <w:p>
      <w:pPr>
        <w:keepNext/>
        <w:spacing w:before="180" w:after="60"/>
      </w:pPr>
      <w:r>
        <w:rPr>
          <w:rFonts w:ascii="Arial" w:hAnsi="Arial"/>
          <w:b/>
          <w:i w:val="0"/>
          <w:color w:val="284B78"/>
          <w:sz w:val="23"/>
          <w:rFonts w:ascii="Arial" w:hAnsi="Arial" w:eastAsia="SimHei"/>
        </w:rPr>
        <w:t>2.1 图 1a 计数口径的严格复现</w:t>
      </w:r>
    </w:p>
    <w:p>
      <w:pPr>
        <w:spacing w:line="300" w:lineRule="auto" w:before="0" w:after="60"/>
        <w:ind w:firstLine="420"/>
      </w:pPr>
      <w:r>
        <w:rPr>
          <w:rFonts w:ascii="Arial" w:hAnsi="Arial"/>
          <w:b w:val="0"/>
          <w:i w:val="0"/>
          <w:sz w:val="21"/>
          <w:rFonts w:ascii="Arial" w:hAnsi="Arial" w:eastAsia="SimSun"/>
        </w:rPr>
        <w:t>在既有数据集的统计中，普通蛋白组保留原始 SourceProteinID 计数单位（包含部分 Ensembl protein），当一个源 ID 映射到多个 UniProt 时，任一映射命中目标 GO 集合即判定为命中，但源 ID 只计一次，以保证与冻结的 group_summary_31.csv 基准一致。Kla 组统一按去重 BaseAccession 计数。所有指标的分子均为分母的真子集，数值严格有界于 0%～100%。</w:t>
      </w:r>
    </w:p>
    <w:p>
      <w:pPr>
        <w:spacing w:line="300" w:lineRule="auto" w:before="0" w:after="60"/>
        <w:ind w:firstLine="420"/>
      </w:pPr>
      <w:r>
        <w:rPr>
          <w:rFonts w:ascii="Arial" w:hAnsi="Arial"/>
          <w:b w:val="0"/>
          <w:i w:val="0"/>
          <w:sz w:val="21"/>
          <w:rFonts w:ascii="Arial" w:hAnsi="Arial" w:eastAsia="SimSun"/>
        </w:rPr>
        <w:t>DDR 通路采用 GO:0006974 及其全部 is_a / part_of 后代定义（包含 2,660 个 UniProt BaseAccession）；DNA repair 采用 GO:0006281 及其后代定义（包含 2,135 个 UniProt BaseAccession）。GO 注释仅用于界定输出标签，不作为输入基因特征的筛选条件。</w:t>
      </w:r>
    </w:p>
    <w:p>
      <w:pPr>
        <w:keepNext/>
        <w:spacing w:before="180" w:after="60"/>
      </w:pPr>
      <w:r>
        <w:rPr>
          <w:rFonts w:ascii="Arial" w:hAnsi="Arial"/>
          <w:b/>
          <w:i w:val="0"/>
          <w:color w:val="284B78"/>
          <w:sz w:val="23"/>
          <w:rFonts w:ascii="Arial" w:hAnsi="Arial" w:eastAsia="SimHei"/>
        </w:rPr>
        <w:t>2.2 建模参数与样本划分</w:t>
      </w:r>
    </w:p>
    <w:p>
      <w:pPr>
        <w:spacing w:line="300" w:lineRule="auto" w:before="0" w:after="60"/>
        <w:ind w:firstLine="420"/>
      </w:pPr>
      <w:r>
        <w:rPr>
          <w:rFonts w:ascii="Arial" w:hAnsi="Arial"/>
          <w:b w:val="0"/>
          <w:i w:val="0"/>
          <w:sz w:val="21"/>
          <w:rFonts w:ascii="Arial" w:hAnsi="Arial" w:eastAsia="SimSun"/>
        </w:rPr>
        <w:t>输入特征为各数据来源共有的全部 18,332 个 Ensembl 基因，统一采用修正后的 log2(TPM + 0.5) 尺度，不使用经验分位数平滑（qsmooth）。回归模型统一使用随机森林（ranger 包实现），设置 500 棵回归树，mtry = 135，最小叶节点大小为 1，随机种子固定为 25。样本权重综合平衡材料与供者数量，防止样本规模较大的组织主导特征分裂。</w:t>
      </w:r>
    </w:p>
    <w:p>
      <w:pPr>
        <w:spacing w:line="300" w:lineRule="auto" w:before="0" w:after="60"/>
        <w:ind w:firstLine="420"/>
      </w:pPr>
      <w:r>
        <w:rPr>
          <w:rFonts w:ascii="Arial" w:hAnsi="Arial"/>
          <w:b w:val="0"/>
          <w:i w:val="0"/>
          <w:sz w:val="21"/>
          <w:rFonts w:ascii="Arial" w:hAnsi="Arial" w:eastAsia="SimSun"/>
        </w:rPr>
        <w:t>验证方案分为两部分：一是供者隔离的内部留出验证（1,524 训练 / 374 留出，来自同一供者的样本不跨两侧）；二是 14 折跨来源关联块留出验证（每次留出一个来源块作为盲测，循环 14 次）。</w:t>
      </w:r>
    </w:p>
    <w:p>
      <w:pPr>
        <w:keepNext/>
        <w:spacing w:before="280" w:after="100"/>
      </w:pPr>
      <w:r>
        <w:rPr>
          <w:rFonts w:ascii="Arial" w:hAnsi="Arial"/>
          <w:b/>
          <w:i w:val="0"/>
          <w:color w:val="19375F"/>
          <w:sz w:val="26"/>
          <w:rFonts w:ascii="Arial" w:hAnsi="Arial" w:eastAsia="SimHei"/>
        </w:rPr>
        <w:t>三、四目标模型训练与内部留出结果</w:t>
      </w:r>
    </w:p>
    <w:p>
      <w:pPr>
        <w:spacing w:line="300" w:lineRule="auto" w:before="0" w:after="60"/>
        <w:ind w:firstLine="420"/>
      </w:pPr>
      <w:r>
        <w:rPr>
          <w:rFonts w:ascii="Arial" w:hAnsi="Arial"/>
          <w:b w:val="0"/>
          <w:i w:val="0"/>
          <w:sz w:val="21"/>
          <w:rFonts w:ascii="Arial" w:hAnsi="Arial" w:eastAsia="SimSun"/>
        </w:rPr>
        <w:t>图 1 展示了四个模型在 374 条独立内部测试样本上的预测散点分布；图 2 展示了 14 折来源留出下的表现。</w:t>
      </w:r>
    </w:p>
    <w:p>
      <w:pPr>
        <w:keepNext/>
        <w:spacing w:before="120" w:after="40"/>
        <w:ind w:firstLine="0"/>
        <w:jc w:val="center"/>
      </w:pPr>
      <w:r>
        <w:drawing>
          <wp:inline xmlns:a="http://schemas.openxmlformats.org/drawingml/2006/main" xmlns:pic="http://schemas.openxmlformats.org/drawingml/2006/picture">
            <wp:extent cx="5580000" cy="4058182"/>
            <wp:docPr id="1" name="Picture 1"/>
            <wp:cNvGraphicFramePr>
              <a:graphicFrameLocks noChangeAspect="1"/>
            </wp:cNvGraphicFramePr>
            <a:graphic>
              <a:graphicData uri="http://schemas.openxmlformats.org/drawingml/2006/picture">
                <pic:pic>
                  <pic:nvPicPr>
                    <pic:cNvPr id="0" name="internal_test.png"/>
                    <pic:cNvPicPr/>
                  </pic:nvPicPr>
                  <pic:blipFill>
                    <a:blip r:embed="rId11"/>
                    <a:stretch>
                      <a:fillRect/>
                    </a:stretch>
                  </pic:blipFill>
                  <pic:spPr>
                    <a:xfrm>
                      <a:off x="0" y="0"/>
                      <a:ext cx="5580000" cy="4058182"/>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1 四大组学内部通路占比模型在 374 条独立内部留出样本上的预测散点图</w:t>
      </w:r>
    </w:p>
    <w:p>
      <w:pPr>
        <w:keepNext/>
        <w:spacing w:before="120" w:after="40"/>
        <w:ind w:firstLine="0"/>
        <w:jc w:val="center"/>
      </w:pPr>
      <w:r>
        <w:drawing>
          <wp:inline xmlns:a="http://schemas.openxmlformats.org/drawingml/2006/main" xmlns:pic="http://schemas.openxmlformats.org/drawingml/2006/picture">
            <wp:extent cx="5580000" cy="4058182"/>
            <wp:docPr id="2" name="Picture 2"/>
            <wp:cNvGraphicFramePr>
              <a:graphicFrameLocks noChangeAspect="1"/>
            </wp:cNvGraphicFramePr>
            <a:graphic>
              <a:graphicData uri="http://schemas.openxmlformats.org/drawingml/2006/picture">
                <pic:pic>
                  <pic:nvPicPr>
                    <pic:cNvPr id="0" name="source_heldout.png"/>
                    <pic:cNvPicPr/>
                  </pic:nvPicPr>
                  <pic:blipFill>
                    <a:blip r:embed="rId12"/>
                    <a:stretch>
                      <a:fillRect/>
                    </a:stretch>
                  </pic:blipFill>
                  <pic:spPr>
                    <a:xfrm>
                      <a:off x="0" y="0"/>
                      <a:ext cx="5580000" cy="4058182"/>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2 四大模型在 14 折来源关联块留出 (Leave-One-Source-Out) 下的预测对照图</w:t>
      </w:r>
    </w:p>
    <w:p>
      <w:pPr>
        <w:spacing w:line="300" w:lineRule="auto" w:before="0" w:after="60"/>
        <w:ind w:firstLine="420"/>
      </w:pPr>
      <w:r>
        <w:rPr>
          <w:rFonts w:ascii="Arial" w:hAnsi="Arial"/>
          <w:b w:val="0"/>
          <w:i w:val="0"/>
          <w:sz w:val="21"/>
          <w:rFonts w:ascii="Arial" w:hAnsi="Arial" w:eastAsia="SimSun"/>
        </w:rPr>
        <w:t>结果显示：在内部留出测试中，所有样本点紧密贴近对角虚线（y = x），逐记录平均绝对误差在 0.03～0.20 个百分点之间，判定系数 R² 达到 0.94～0.98，表明模型在已见过的材料类型中能够极好地重现该材料对应的通路占比标签。</w:t>
      </w:r>
    </w:p>
    <w:p>
      <w:pPr>
        <w:spacing w:line="300" w:lineRule="auto" w:before="0" w:after="60"/>
        <w:ind w:firstLine="420"/>
      </w:pPr>
      <w:r>
        <w:rPr>
          <w:rFonts w:ascii="Arial" w:hAnsi="Arial"/>
          <w:b w:val="0"/>
          <w:i w:val="0"/>
          <w:sz w:val="21"/>
          <w:rFonts w:ascii="Arial" w:hAnsi="Arial" w:eastAsia="SimSun"/>
        </w:rPr>
        <w:t>在跨来源关联块留出测试中，Kla 组的两个目标在材料等权口径下的 MAE 分别为 1.61 和 1.05 个百分点，均显著优于不使用 RNA 的简单中位数基线（3.33 和 2.45 个百分点），误差减少幅度为 51.7%～57.1%。这说明 RNA 表达特征即使在来源留出条件下也能提供一定的有效信息，但整体误差相较内部测试有所上升。</w:t>
      </w:r>
    </w:p>
    <w:p>
      <w:pPr>
        <w:keepNext/>
        <w:spacing w:before="280" w:after="100"/>
      </w:pPr>
      <w:r>
        <w:rPr>
          <w:rFonts w:ascii="Arial" w:hAnsi="Arial"/>
          <w:b/>
          <w:i w:val="0"/>
          <w:color w:val="19375F"/>
          <w:sz w:val="26"/>
          <w:rFonts w:ascii="Arial" w:hAnsi="Arial" w:eastAsia="SimHei"/>
        </w:rPr>
        <w:t>四、Kla 组模型的扩展诊断与机制解析</w:t>
      </w:r>
    </w:p>
    <w:p>
      <w:pPr>
        <w:spacing w:line="300" w:lineRule="auto" w:before="0" w:after="60"/>
        <w:ind w:firstLine="420"/>
      </w:pPr>
      <w:r>
        <w:rPr>
          <w:rFonts w:ascii="Arial" w:hAnsi="Arial"/>
          <w:b w:val="0"/>
          <w:i w:val="0"/>
          <w:sz w:val="21"/>
          <w:rFonts w:ascii="Arial" w:hAnsi="Arial" w:eastAsia="SimSun"/>
        </w:rPr>
        <w:t>为深入评估核心关注的 Kla 修饰目标（Kla_DDR 与 Kla_DNA_repair），本节提供了材料分布、变量重要性、流形投影及残差诊断等扩展图表：</w:t>
      </w:r>
    </w:p>
    <w:p>
      <w:pPr>
        <w:keepNext/>
        <w:spacing w:before="180" w:after="60"/>
      </w:pPr>
      <w:r>
        <w:rPr>
          <w:rFonts w:ascii="Arial" w:hAnsi="Arial"/>
          <w:b/>
          <w:i w:val="0"/>
          <w:color w:val="284B78"/>
          <w:sz w:val="23"/>
          <w:rFonts w:ascii="Arial" w:hAnsi="Arial" w:eastAsia="SimHei"/>
        </w:rPr>
        <w:t>4.1 Kla 组 · DDR 占比模型扩展图集</w:t>
      </w:r>
    </w:p>
    <w:p>
      <w:pPr>
        <w:keepNext/>
        <w:spacing w:before="120" w:after="40"/>
        <w:ind w:firstLine="0"/>
        <w:jc w:val="center"/>
      </w:pPr>
      <w:r>
        <w:drawing>
          <wp:inline xmlns:a="http://schemas.openxmlformats.org/drawingml/2006/main" xmlns:pic="http://schemas.openxmlformats.org/drawingml/2006/picture">
            <wp:extent cx="5580000" cy="2385931"/>
            <wp:docPr id="3" name="Picture 3"/>
            <wp:cNvGraphicFramePr>
              <a:graphicFrameLocks noChangeAspect="1"/>
            </wp:cNvGraphicFramePr>
            <a:graphic>
              <a:graphicData uri="http://schemas.openxmlformats.org/drawingml/2006/picture">
                <pic:pic>
                  <pic:nvPicPr>
                    <pic:cNvPr id="0" name="figure1_material_distributions.png"/>
                    <pic:cNvPicPr/>
                  </pic:nvPicPr>
                  <pic:blipFill>
                    <a:blip r:embed="rId13"/>
                    <a:stretch>
                      <a:fillRect/>
                    </a:stretch>
                  </pic:blipFill>
                  <pic:spPr>
                    <a:xfrm>
                      <a:off x="0" y="0"/>
                      <a:ext cx="5580000" cy="2385931"/>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3 Kla 组 · DDR 占比模型在 28 种材料内部的预测分布与实测值对比图 (金色菱形为材料参考值)</w:t>
      </w:r>
    </w:p>
    <w:p>
      <w:pPr>
        <w:keepNext/>
        <w:spacing w:before="120" w:after="40"/>
        <w:ind w:firstLine="0"/>
        <w:jc w:val="center"/>
      </w:pPr>
      <w:r>
        <w:drawing>
          <wp:inline xmlns:a="http://schemas.openxmlformats.org/drawingml/2006/main" xmlns:pic="http://schemas.openxmlformats.org/drawingml/2006/picture">
            <wp:extent cx="4500000" cy="3825000"/>
            <wp:docPr id="4" name="Picture 4"/>
            <wp:cNvGraphicFramePr>
              <a:graphicFrameLocks noChangeAspect="1"/>
            </wp:cNvGraphicFramePr>
            <a:graphic>
              <a:graphicData uri="http://schemas.openxmlformats.org/drawingml/2006/picture">
                <pic:pic>
                  <pic:nvPicPr>
                    <pic:cNvPr id="0" name="top25.png"/>
                    <pic:cNvPicPr/>
                  </pic:nvPicPr>
                  <pic:blipFill>
                    <a:blip r:embed="rId14"/>
                    <a:stretch>
                      <a:fillRect/>
                    </a:stretch>
                  </pic:blipFill>
                  <pic:spPr>
                    <a:xfrm>
                      <a:off x="0" y="0"/>
                      <a:ext cx="4500000" cy="3825000"/>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4 Kla 组 · DDR 占比模型训练集 Top 25 变量重要性条形图 (带官方 Gene Symbol 标注)</w:t>
      </w:r>
    </w:p>
    <w:p>
      <w:pPr>
        <w:keepNext/>
        <w:spacing w:before="120" w:after="40"/>
        <w:ind w:firstLine="0"/>
        <w:jc w:val="center"/>
      </w:pPr>
      <w:r>
        <w:drawing>
          <wp:inline xmlns:a="http://schemas.openxmlformats.org/drawingml/2006/main" xmlns:pic="http://schemas.openxmlformats.org/drawingml/2006/picture">
            <wp:extent cx="5580000" cy="2001103"/>
            <wp:docPr id="5" name="Picture 5"/>
            <wp:cNvGraphicFramePr>
              <a:graphicFrameLocks noChangeAspect="1"/>
            </wp:cNvGraphicFramePr>
            <a:graphic>
              <a:graphicData uri="http://schemas.openxmlformats.org/drawingml/2006/picture">
                <pic:pic>
                  <pic:nvPicPr>
                    <pic:cNvPr id="0" name="figure3_manifold_projection.png"/>
                    <pic:cNvPicPr/>
                  </pic:nvPicPr>
                  <pic:blipFill>
                    <a:blip r:embed="rId15"/>
                    <a:stretch>
                      <a:fillRect/>
                    </a:stretch>
                  </pic:blipFill>
                  <pic:spPr>
                    <a:xfrm>
                      <a:off x="0" y="0"/>
                      <a:ext cx="5580000" cy="2001103"/>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5 Kla 组 · DDR 占比模型转录组 UMAP 流形投影图 (生物分类、实测值与预测值色谱对照)</w:t>
      </w:r>
    </w:p>
    <w:p>
      <w:pPr>
        <w:keepNext/>
        <w:spacing w:before="120" w:after="40"/>
        <w:ind w:firstLine="0"/>
        <w:jc w:val="center"/>
      </w:pPr>
      <w:r>
        <w:drawing>
          <wp:inline xmlns:a="http://schemas.openxmlformats.org/drawingml/2006/main" xmlns:pic="http://schemas.openxmlformats.org/drawingml/2006/picture">
            <wp:extent cx="5400000" cy="2340000"/>
            <wp:docPr id="6" name="Picture 6"/>
            <wp:cNvGraphicFramePr>
              <a:graphicFrameLocks noChangeAspect="1"/>
            </wp:cNvGraphicFramePr>
            <a:graphic>
              <a:graphicData uri="http://schemas.openxmlformats.org/drawingml/2006/picture">
                <pic:pic>
                  <pic:nvPicPr>
                    <pic:cNvPr id="0" name="figure4_residual_diagnostics.png"/>
                    <pic:cNvPicPr/>
                  </pic:nvPicPr>
                  <pic:blipFill>
                    <a:blip r:embed="rId16"/>
                    <a:stretch>
                      <a:fillRect/>
                    </a:stretch>
                  </pic:blipFill>
                  <pic:spPr>
                    <a:xfrm>
                      <a:off x="0" y="0"/>
                      <a:ext cx="5400000" cy="2340000"/>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6 Kla 组 · DDR 占比模型残差诊断图 (LOESS 趋势平滑与误差概率密度分布)</w:t>
      </w:r>
    </w:p>
    <w:p>
      <w:pPr>
        <w:keepNext/>
        <w:spacing w:before="120" w:after="40"/>
        <w:ind w:firstLine="0"/>
        <w:jc w:val="center"/>
      </w:pPr>
      <w:r>
        <w:drawing>
          <wp:inline xmlns:a="http://schemas.openxmlformats.org/drawingml/2006/main" xmlns:pic="http://schemas.openxmlformats.org/drawingml/2006/picture">
            <wp:extent cx="5580000" cy="2001103"/>
            <wp:docPr id="7" name="Picture 7"/>
            <wp:cNvGraphicFramePr>
              <a:graphicFrameLocks noChangeAspect="1"/>
            </wp:cNvGraphicFramePr>
            <a:graphic>
              <a:graphicData uri="http://schemas.openxmlformats.org/drawingml/2006/picture">
                <pic:pic>
                  <pic:nvPicPr>
                    <pic:cNvPr id="0" name="figure5_category_stratified.png"/>
                    <pic:cNvPicPr/>
                  </pic:nvPicPr>
                  <pic:blipFill>
                    <a:blip r:embed="rId17"/>
                    <a:stretch>
                      <a:fillRect/>
                    </a:stretch>
                  </pic:blipFill>
                  <pic:spPr>
                    <a:xfrm>
                      <a:off x="0" y="0"/>
                      <a:ext cx="5580000" cy="2001103"/>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7 Kla 组 · DDR 占比模型按生物学大类 (正常/癌组织、正常/癌细胞系) 分层的盲测散点图</w:t>
      </w:r>
    </w:p>
    <w:p>
      <w:pPr>
        <w:keepNext/>
        <w:spacing w:before="180" w:after="60"/>
      </w:pPr>
      <w:r>
        <w:rPr>
          <w:rFonts w:ascii="Arial" w:hAnsi="Arial"/>
          <w:b/>
          <w:i w:val="0"/>
          <w:color w:val="284B78"/>
          <w:sz w:val="23"/>
          <w:rFonts w:ascii="Arial" w:hAnsi="Arial" w:eastAsia="SimHei"/>
        </w:rPr>
        <w:t>4.2 Kla 组 · DNA repair 占比模型扩展图集</w:t>
      </w:r>
    </w:p>
    <w:p>
      <w:pPr>
        <w:keepNext/>
        <w:spacing w:before="120" w:after="40"/>
        <w:ind w:firstLine="0"/>
        <w:jc w:val="center"/>
      </w:pPr>
      <w:r>
        <w:drawing>
          <wp:inline xmlns:a="http://schemas.openxmlformats.org/drawingml/2006/main" xmlns:pic="http://schemas.openxmlformats.org/drawingml/2006/picture">
            <wp:extent cx="5580000" cy="2385931"/>
            <wp:docPr id="8" name="Picture 8"/>
            <wp:cNvGraphicFramePr>
              <a:graphicFrameLocks noChangeAspect="1"/>
            </wp:cNvGraphicFramePr>
            <a:graphic>
              <a:graphicData uri="http://schemas.openxmlformats.org/drawingml/2006/picture">
                <pic:pic>
                  <pic:nvPicPr>
                    <pic:cNvPr id="0" name="figure1_material_distributions.png"/>
                    <pic:cNvPicPr/>
                  </pic:nvPicPr>
                  <pic:blipFill>
                    <a:blip r:embed="rId18"/>
                    <a:stretch>
                      <a:fillRect/>
                    </a:stretch>
                  </pic:blipFill>
                  <pic:spPr>
                    <a:xfrm>
                      <a:off x="0" y="0"/>
                      <a:ext cx="5580000" cy="2385931"/>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8 Kla 组 · DNA repair 占比模型在 28 种材料内部的预测分布与实测值对比图</w:t>
      </w:r>
    </w:p>
    <w:p>
      <w:pPr>
        <w:keepNext/>
        <w:spacing w:before="120" w:after="40"/>
        <w:ind w:firstLine="0"/>
        <w:jc w:val="center"/>
      </w:pPr>
      <w:r>
        <w:drawing>
          <wp:inline xmlns:a="http://schemas.openxmlformats.org/drawingml/2006/main" xmlns:pic="http://schemas.openxmlformats.org/drawingml/2006/picture">
            <wp:extent cx="4500000" cy="3825000"/>
            <wp:docPr id="9" name="Picture 9"/>
            <wp:cNvGraphicFramePr>
              <a:graphicFrameLocks noChangeAspect="1"/>
            </wp:cNvGraphicFramePr>
            <a:graphic>
              <a:graphicData uri="http://schemas.openxmlformats.org/drawingml/2006/picture">
                <pic:pic>
                  <pic:nvPicPr>
                    <pic:cNvPr id="0" name="top25.png"/>
                    <pic:cNvPicPr/>
                  </pic:nvPicPr>
                  <pic:blipFill>
                    <a:blip r:embed="rId19"/>
                    <a:stretch>
                      <a:fillRect/>
                    </a:stretch>
                  </pic:blipFill>
                  <pic:spPr>
                    <a:xfrm>
                      <a:off x="0" y="0"/>
                      <a:ext cx="4500000" cy="3825000"/>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9 Kla 组 · DNA repair 占比模型训练集 Top 25 变量重要性条形图 (带官方 Gene Symbol 标注)</w:t>
      </w:r>
    </w:p>
    <w:p>
      <w:pPr>
        <w:keepNext/>
        <w:spacing w:before="120" w:after="40"/>
        <w:ind w:firstLine="0"/>
        <w:jc w:val="center"/>
      </w:pPr>
      <w:r>
        <w:drawing>
          <wp:inline xmlns:a="http://schemas.openxmlformats.org/drawingml/2006/main" xmlns:pic="http://schemas.openxmlformats.org/drawingml/2006/picture">
            <wp:extent cx="5400000" cy="2340000"/>
            <wp:docPr id="10" name="Picture 10"/>
            <wp:cNvGraphicFramePr>
              <a:graphicFrameLocks noChangeAspect="1"/>
            </wp:cNvGraphicFramePr>
            <a:graphic>
              <a:graphicData uri="http://schemas.openxmlformats.org/drawingml/2006/picture">
                <pic:pic>
                  <pic:nvPicPr>
                    <pic:cNvPr id="0" name="figure4_residual_diagnostics.png"/>
                    <pic:cNvPicPr/>
                  </pic:nvPicPr>
                  <pic:blipFill>
                    <a:blip r:embed="rId20"/>
                    <a:stretch>
                      <a:fillRect/>
                    </a:stretch>
                  </pic:blipFill>
                  <pic:spPr>
                    <a:xfrm>
                      <a:off x="0" y="0"/>
                      <a:ext cx="5400000" cy="2340000"/>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10 Kla 组 · DNA repair 占比模型残差诊断图</w:t>
      </w:r>
    </w:p>
    <w:p>
      <w:pPr>
        <w:keepNext/>
        <w:spacing w:before="280" w:after="100"/>
      </w:pPr>
      <w:r>
        <w:rPr>
          <w:rFonts w:ascii="Arial" w:hAnsi="Arial"/>
          <w:b/>
          <w:i w:val="0"/>
          <w:color w:val="19375F"/>
          <w:sz w:val="26"/>
          <w:rFonts w:ascii="Arial" w:hAnsi="Arial" w:eastAsia="SimHei"/>
        </w:rPr>
        <w:t>五、外部独立队列的材料级对照验证</w:t>
      </w:r>
    </w:p>
    <w:p>
      <w:pPr>
        <w:spacing w:line="300" w:lineRule="auto" w:before="0" w:after="60"/>
        <w:ind w:firstLine="420"/>
      </w:pPr>
      <w:r>
        <w:rPr>
          <w:rFonts w:ascii="Arial" w:hAnsi="Arial"/>
          <w:b w:val="0"/>
          <w:i w:val="0"/>
          <w:sz w:val="21"/>
          <w:rFonts w:ascii="Arial" w:hAnsi="Arial" w:eastAsia="SimSun"/>
        </w:rPr>
        <w:t>为评估模型跨实验队列的泛化表现，我们检索并引入了 2026 年新公布的华山医院食管鳞癌蛋白质组与乳酸化组数据（PXD063945 / PMC13195773），以及韩国 YSH 队列 46 例配对食管癌切片组织 RNA 数据（GSE130078）。在完全冻结四个模型的前提下，直接输入外部 RNA 并与新质谱计算出的材料参考值进行比对。</w:t>
      </w:r>
    </w:p>
    <w:p>
      <w:pPr>
        <w:spacing w:line="300" w:lineRule="auto" w:before="0" w:after="60"/>
        <w:ind w:firstLine="420"/>
      </w:pPr>
      <w:r>
        <w:rPr>
          <w:rFonts w:ascii="Arial" w:hAnsi="Arial"/>
          <w:b w:val="0"/>
          <w:i w:val="0"/>
          <w:sz w:val="21"/>
          <w:rFonts w:ascii="Arial" w:hAnsi="Arial" w:eastAsia="SimSun"/>
        </w:rPr>
        <w:t>预测散点与分布如图 11 所示，具体数值详见表 2。</w:t>
      </w:r>
    </w:p>
    <w:p>
      <w:pPr>
        <w:keepNext/>
        <w:spacing w:before="120" w:after="40"/>
        <w:ind w:firstLine="0"/>
        <w:jc w:val="center"/>
      </w:pPr>
      <w:r>
        <w:drawing>
          <wp:inline xmlns:a="http://schemas.openxmlformats.org/drawingml/2006/main" xmlns:pic="http://schemas.openxmlformats.org/drawingml/2006/picture">
            <wp:extent cx="5580000" cy="4058182"/>
            <wp:docPr id="11" name="Picture 11"/>
            <wp:cNvGraphicFramePr>
              <a:graphicFrameLocks noChangeAspect="1"/>
            </wp:cNvGraphicFramePr>
            <a:graphic>
              <a:graphicData uri="http://schemas.openxmlformats.org/drawingml/2006/picture">
                <pic:pic>
                  <pic:nvPicPr>
                    <pic:cNvPr id="0" name="external_newRNA.png"/>
                    <pic:cNvPicPr/>
                  </pic:nvPicPr>
                  <pic:blipFill>
                    <a:blip r:embed="rId21"/>
                    <a:stretch>
                      <a:fillRect/>
                    </a:stretch>
                  </pic:blipFill>
                  <pic:spPr>
                    <a:xfrm>
                      <a:off x="0" y="0"/>
                      <a:ext cx="5580000" cy="4058182"/>
                    </a:xfrm>
                    <a:prstGeom prst="rect"/>
                  </pic:spPr>
                </pic:pic>
              </a:graphicData>
            </a:graphic>
          </wp:inline>
        </w:drawing>
      </w:r>
    </w:p>
    <w:p>
      <w:pPr>
        <w:keepNext w:val="0"/>
        <w:spacing w:before="80" w:after="160"/>
        <w:ind w:firstLine="0"/>
        <w:jc w:val="center"/>
      </w:pPr>
      <w:r>
        <w:rPr>
          <w:rFonts w:ascii="Arial" w:hAnsi="Arial"/>
          <w:b/>
          <w:i w:val="0"/>
          <w:color w:val="323232"/>
          <w:sz w:val="20"/>
          <w:rFonts w:ascii="Arial" w:hAnsi="Arial" w:eastAsia="SimSun"/>
        </w:rPr>
        <w:t>图 11 冻结模型在外部独立食管鳞癌队列 (GSE130078 组织 RNA vs PXD063945 质谱参考值) 中的预测分布图</w:t>
      </w:r>
    </w:p>
    <w:p>
      <w:pPr>
        <w:keepNext/>
        <w:spacing w:before="120" w:after="80"/>
        <w:ind w:firstLine="0"/>
        <w:jc w:val="center"/>
      </w:pPr>
      <w:r>
        <w:rPr>
          <w:rFonts w:ascii="Arial" w:hAnsi="Arial"/>
          <w:b/>
          <w:i w:val="0"/>
          <w:color w:val="323232"/>
          <w:sz w:val="20"/>
          <w:rFonts w:ascii="Arial" w:hAnsi="Arial" w:eastAsia="SimSun"/>
        </w:rPr>
        <w:t>表 2 外部独立队列 (GSE130078 组织 RNA vs PXD063945 质谱参考值) 性能对照表</w:t>
      </w:r>
    </w:p>
    <w:tbl>
      <w:tblPr>
        <w:tblW w:type="auto" w:w="0"/>
        <w:jc w:val="center"/>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1296"/>
        <w:gridCol w:w="1296"/>
        <w:gridCol w:w="1296"/>
        <w:gridCol w:w="1296"/>
        <w:gridCol w:w="1296"/>
        <w:gridCol w:w="1296"/>
        <w:gridCol w:w="1296"/>
      </w:tblGrid>
      <w:tr>
        <w:trPr>
          <w:tblHeader/>
        </w:trPr>
        <w:tc>
          <w:tcPr>
            <w:tcW w:type="dxa" w:w="2268"/>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预测目标</w:t>
            </w:r>
          </w:p>
        </w:tc>
        <w:tc>
          <w:tcPr>
            <w:tcW w:type="dxa" w:w="1134"/>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组织类型</w:t>
            </w:r>
          </w:p>
        </w:tc>
        <w:tc>
          <w:tcPr>
            <w:tcW w:type="dxa" w:w="124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质谱材料参考值</w:t>
            </w:r>
          </w:p>
        </w:tc>
        <w:tc>
          <w:tcPr>
            <w:tcW w:type="dxa" w:w="124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模型预测均值</w:t>
            </w:r>
          </w:p>
        </w:tc>
        <w:tc>
          <w:tcPr>
            <w:tcW w:type="dxa" w:w="1134"/>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材料比较 MAE</w:t>
            </w:r>
          </w:p>
        </w:tc>
        <w:tc>
          <w:tcPr>
            <w:tcW w:type="dxa" w:w="1134"/>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无 RNA 基线</w:t>
            </w:r>
          </w:p>
        </w:tc>
        <w:tc>
          <w:tcPr>
            <w:tcW w:type="dxa" w:w="90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±1 pp 命中率</w:t>
            </w:r>
          </w:p>
        </w:tc>
      </w:tr>
      <w:tr>
        <w:tc>
          <w:tcPr>
            <w:tcW w:type="dxa" w:w="2268"/>
          </w:tcPr>
          <w:p>
            <w:pPr>
              <w:spacing w:before="50" w:after="50"/>
              <w:ind w:firstLine="0"/>
              <w:jc w:val="left"/>
            </w:pPr>
            <w:r>
              <w:rPr>
                <w:rFonts w:ascii="Arial" w:hAnsi="Arial"/>
                <w:b w:val="0"/>
                <w:i w:val="0"/>
                <w:sz w:val="19"/>
                <w:rFonts w:ascii="Arial" w:hAnsi="Arial" w:eastAsia="SimSun"/>
              </w:rPr>
              <w:t>普通组 · DDR 占比</w:t>
            </w:r>
          </w:p>
        </w:tc>
        <w:tc>
          <w:tcPr>
            <w:tcW w:type="dxa" w:w="1134"/>
          </w:tcPr>
          <w:p>
            <w:pPr>
              <w:spacing w:before="50" w:after="50"/>
              <w:ind w:firstLine="0"/>
              <w:jc w:val="center"/>
            </w:pPr>
            <w:r>
              <w:rPr>
                <w:rFonts w:ascii="Arial" w:hAnsi="Arial"/>
                <w:b w:val="0"/>
                <w:i w:val="0"/>
                <w:sz w:val="19"/>
                <w:rFonts w:ascii="Arial" w:hAnsi="Arial" w:eastAsia="SimSun"/>
              </w:rPr>
              <w:t>肿瘤组织</w:t>
            </w:r>
          </w:p>
        </w:tc>
        <w:tc>
          <w:tcPr>
            <w:tcW w:type="dxa" w:w="1247"/>
          </w:tcPr>
          <w:p>
            <w:pPr>
              <w:spacing w:before="50" w:after="50"/>
              <w:ind w:firstLine="0"/>
              <w:jc w:val="center"/>
            </w:pPr>
            <w:r>
              <w:rPr>
                <w:rFonts w:ascii="Arial" w:hAnsi="Arial"/>
                <w:b w:val="0"/>
                <w:i w:val="0"/>
                <w:sz w:val="19"/>
                <w:rFonts w:ascii="Arial" w:hAnsi="Arial" w:eastAsia="SimSun"/>
              </w:rPr>
              <w:t>4.874%</w:t>
            </w:r>
          </w:p>
        </w:tc>
        <w:tc>
          <w:tcPr>
            <w:tcW w:type="dxa" w:w="1247"/>
          </w:tcPr>
          <w:p>
            <w:pPr>
              <w:spacing w:before="50" w:after="50"/>
              <w:ind w:firstLine="0"/>
              <w:jc w:val="center"/>
            </w:pPr>
            <w:r>
              <w:rPr>
                <w:rFonts w:ascii="Arial" w:hAnsi="Arial"/>
                <w:b w:val="0"/>
                <w:i w:val="0"/>
                <w:sz w:val="19"/>
                <w:rFonts w:ascii="Arial" w:hAnsi="Arial" w:eastAsia="SimSun"/>
              </w:rPr>
              <w:t>5.012%</w:t>
            </w:r>
          </w:p>
        </w:tc>
        <w:tc>
          <w:tcPr>
            <w:tcW w:type="dxa" w:w="1134"/>
          </w:tcPr>
          <w:p>
            <w:pPr>
              <w:spacing w:before="50" w:after="50"/>
              <w:ind w:firstLine="0"/>
              <w:jc w:val="center"/>
            </w:pPr>
            <w:r>
              <w:rPr>
                <w:rFonts w:ascii="Arial" w:hAnsi="Arial"/>
                <w:b w:val="0"/>
                <w:i w:val="0"/>
                <w:sz w:val="19"/>
                <w:rFonts w:ascii="Arial" w:hAnsi="Arial" w:eastAsia="SimSun"/>
              </w:rPr>
              <w:t>0.143</w:t>
            </w:r>
          </w:p>
        </w:tc>
        <w:tc>
          <w:tcPr>
            <w:tcW w:type="dxa" w:w="1134"/>
          </w:tcPr>
          <w:p>
            <w:pPr>
              <w:spacing w:before="50" w:after="50"/>
              <w:ind w:firstLine="0"/>
              <w:jc w:val="center"/>
            </w:pPr>
            <w:r>
              <w:rPr>
                <w:rFonts w:ascii="Arial" w:hAnsi="Arial"/>
                <w:b w:val="0"/>
                <w:i w:val="0"/>
                <w:sz w:val="19"/>
                <w:rFonts w:ascii="Arial" w:hAnsi="Arial" w:eastAsia="SimSun"/>
              </w:rPr>
              <w:t>0.693</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普通组 · DDR 占比</w:t>
            </w:r>
          </w:p>
        </w:tc>
        <w:tc>
          <w:tcPr>
            <w:tcW w:type="dxa" w:w="1134"/>
          </w:tcPr>
          <w:p>
            <w:pPr>
              <w:spacing w:before="50" w:after="50"/>
              <w:ind w:firstLine="0"/>
              <w:jc w:val="center"/>
            </w:pPr>
            <w:r>
              <w:rPr>
                <w:rFonts w:ascii="Arial" w:hAnsi="Arial"/>
                <w:b w:val="0"/>
                <w:i w:val="0"/>
                <w:sz w:val="19"/>
                <w:rFonts w:ascii="Arial" w:hAnsi="Arial" w:eastAsia="SimSun"/>
              </w:rPr>
              <w:t>配对癌旁</w:t>
            </w:r>
          </w:p>
        </w:tc>
        <w:tc>
          <w:tcPr>
            <w:tcW w:type="dxa" w:w="1247"/>
          </w:tcPr>
          <w:p>
            <w:pPr>
              <w:spacing w:before="50" w:after="50"/>
              <w:ind w:firstLine="0"/>
              <w:jc w:val="center"/>
            </w:pPr>
            <w:r>
              <w:rPr>
                <w:rFonts w:ascii="Arial" w:hAnsi="Arial"/>
                <w:b w:val="0"/>
                <w:i w:val="0"/>
                <w:sz w:val="19"/>
                <w:rFonts w:ascii="Arial" w:hAnsi="Arial" w:eastAsia="SimSun"/>
              </w:rPr>
              <w:t>4.785%</w:t>
            </w:r>
          </w:p>
        </w:tc>
        <w:tc>
          <w:tcPr>
            <w:tcW w:type="dxa" w:w="1247"/>
          </w:tcPr>
          <w:p>
            <w:pPr>
              <w:spacing w:before="50" w:after="50"/>
              <w:ind w:firstLine="0"/>
              <w:jc w:val="center"/>
            </w:pPr>
            <w:r>
              <w:rPr>
                <w:rFonts w:ascii="Arial" w:hAnsi="Arial"/>
                <w:b w:val="0"/>
                <w:i w:val="0"/>
                <w:sz w:val="19"/>
                <w:rFonts w:ascii="Arial" w:hAnsi="Arial" w:eastAsia="SimSun"/>
              </w:rPr>
              <w:t>4.960%</w:t>
            </w:r>
          </w:p>
        </w:tc>
        <w:tc>
          <w:tcPr>
            <w:tcW w:type="dxa" w:w="1134"/>
          </w:tcPr>
          <w:p>
            <w:pPr>
              <w:spacing w:before="50" w:after="50"/>
              <w:ind w:firstLine="0"/>
              <w:jc w:val="center"/>
            </w:pPr>
            <w:r>
              <w:rPr>
                <w:rFonts w:ascii="Arial" w:hAnsi="Arial"/>
                <w:b w:val="0"/>
                <w:i w:val="0"/>
                <w:sz w:val="19"/>
                <w:rFonts w:ascii="Arial" w:hAnsi="Arial" w:eastAsia="SimSun"/>
              </w:rPr>
              <w:t>0.175</w:t>
            </w:r>
          </w:p>
        </w:tc>
        <w:tc>
          <w:tcPr>
            <w:tcW w:type="dxa" w:w="1134"/>
          </w:tcPr>
          <w:p>
            <w:pPr>
              <w:spacing w:before="50" w:after="50"/>
              <w:ind w:firstLine="0"/>
              <w:jc w:val="center"/>
            </w:pPr>
            <w:r>
              <w:rPr>
                <w:rFonts w:ascii="Arial" w:hAnsi="Arial"/>
                <w:b w:val="0"/>
                <w:i w:val="0"/>
                <w:sz w:val="19"/>
                <w:rFonts w:ascii="Arial" w:hAnsi="Arial" w:eastAsia="SimSun"/>
              </w:rPr>
              <w:t>0.782</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Kla 组 · DDR 占比</w:t>
            </w:r>
          </w:p>
        </w:tc>
        <w:tc>
          <w:tcPr>
            <w:tcW w:type="dxa" w:w="1134"/>
          </w:tcPr>
          <w:p>
            <w:pPr>
              <w:spacing w:before="50" w:after="50"/>
              <w:ind w:firstLine="0"/>
              <w:jc w:val="center"/>
            </w:pPr>
            <w:r>
              <w:rPr>
                <w:rFonts w:ascii="Arial" w:hAnsi="Arial"/>
                <w:b w:val="0"/>
                <w:i w:val="0"/>
                <w:sz w:val="19"/>
                <w:rFonts w:ascii="Arial" w:hAnsi="Arial" w:eastAsia="SimSun"/>
              </w:rPr>
              <w:t>肿瘤组织</w:t>
            </w:r>
          </w:p>
        </w:tc>
        <w:tc>
          <w:tcPr>
            <w:tcW w:type="dxa" w:w="1247"/>
          </w:tcPr>
          <w:p>
            <w:pPr>
              <w:spacing w:before="50" w:after="50"/>
              <w:ind w:firstLine="0"/>
              <w:jc w:val="center"/>
            </w:pPr>
            <w:r>
              <w:rPr>
                <w:rFonts w:ascii="Arial" w:hAnsi="Arial"/>
                <w:b w:val="0"/>
                <w:i w:val="0"/>
                <w:sz w:val="19"/>
                <w:rFonts w:ascii="Arial" w:hAnsi="Arial" w:eastAsia="SimSun"/>
              </w:rPr>
              <w:t>6.831%</w:t>
            </w:r>
          </w:p>
        </w:tc>
        <w:tc>
          <w:tcPr>
            <w:tcW w:type="dxa" w:w="1247"/>
          </w:tcPr>
          <w:p>
            <w:pPr>
              <w:spacing w:before="50" w:after="50"/>
              <w:ind w:firstLine="0"/>
              <w:jc w:val="center"/>
            </w:pPr>
            <w:r>
              <w:rPr>
                <w:rFonts w:ascii="Arial" w:hAnsi="Arial"/>
                <w:b w:val="0"/>
                <w:i w:val="0"/>
                <w:sz w:val="19"/>
                <w:rFonts w:ascii="Arial" w:hAnsi="Arial" w:eastAsia="SimSun"/>
              </w:rPr>
              <w:t>6.750%</w:t>
            </w:r>
          </w:p>
        </w:tc>
        <w:tc>
          <w:tcPr>
            <w:tcW w:type="dxa" w:w="1134"/>
          </w:tcPr>
          <w:p>
            <w:pPr>
              <w:spacing w:before="50" w:after="50"/>
              <w:ind w:firstLine="0"/>
              <w:jc w:val="center"/>
            </w:pPr>
            <w:r>
              <w:rPr>
                <w:rFonts w:ascii="Arial" w:hAnsi="Arial"/>
                <w:b w:val="0"/>
                <w:i w:val="0"/>
                <w:sz w:val="19"/>
                <w:rFonts w:ascii="Arial" w:hAnsi="Arial" w:eastAsia="SimSun"/>
              </w:rPr>
              <w:t>0.190</w:t>
            </w:r>
          </w:p>
        </w:tc>
        <w:tc>
          <w:tcPr>
            <w:tcW w:type="dxa" w:w="1134"/>
          </w:tcPr>
          <w:p>
            <w:pPr>
              <w:spacing w:before="50" w:after="50"/>
              <w:ind w:firstLine="0"/>
              <w:jc w:val="center"/>
            </w:pPr>
            <w:r>
              <w:rPr>
                <w:rFonts w:ascii="Arial" w:hAnsi="Arial"/>
                <w:b w:val="0"/>
                <w:i w:val="0"/>
                <w:sz w:val="19"/>
                <w:rFonts w:ascii="Arial" w:hAnsi="Arial" w:eastAsia="SimSun"/>
              </w:rPr>
              <w:t>2.565</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Kla 组 · DDR 占比</w:t>
            </w:r>
          </w:p>
        </w:tc>
        <w:tc>
          <w:tcPr>
            <w:tcW w:type="dxa" w:w="1134"/>
          </w:tcPr>
          <w:p>
            <w:pPr>
              <w:spacing w:before="50" w:after="50"/>
              <w:ind w:firstLine="0"/>
              <w:jc w:val="center"/>
            </w:pPr>
            <w:r>
              <w:rPr>
                <w:rFonts w:ascii="Arial" w:hAnsi="Arial"/>
                <w:b w:val="0"/>
                <w:i w:val="0"/>
                <w:sz w:val="19"/>
                <w:rFonts w:ascii="Arial" w:hAnsi="Arial" w:eastAsia="SimSun"/>
              </w:rPr>
              <w:t>配对癌旁</w:t>
            </w:r>
          </w:p>
        </w:tc>
        <w:tc>
          <w:tcPr>
            <w:tcW w:type="dxa" w:w="1247"/>
          </w:tcPr>
          <w:p>
            <w:pPr>
              <w:spacing w:before="50" w:after="50"/>
              <w:ind w:firstLine="0"/>
              <w:jc w:val="center"/>
            </w:pPr>
            <w:r>
              <w:rPr>
                <w:rFonts w:ascii="Arial" w:hAnsi="Arial"/>
                <w:b w:val="0"/>
                <w:i w:val="0"/>
                <w:sz w:val="19"/>
                <w:rFonts w:ascii="Arial" w:hAnsi="Arial" w:eastAsia="SimSun"/>
              </w:rPr>
              <w:t>8.898%</w:t>
            </w:r>
          </w:p>
        </w:tc>
        <w:tc>
          <w:tcPr>
            <w:tcW w:type="dxa" w:w="1247"/>
          </w:tcPr>
          <w:p>
            <w:pPr>
              <w:spacing w:before="50" w:after="50"/>
              <w:ind w:firstLine="0"/>
              <w:jc w:val="center"/>
            </w:pPr>
            <w:r>
              <w:rPr>
                <w:rFonts w:ascii="Arial" w:hAnsi="Arial"/>
                <w:b w:val="0"/>
                <w:i w:val="0"/>
                <w:sz w:val="19"/>
                <w:rFonts w:ascii="Arial" w:hAnsi="Arial" w:eastAsia="SimSun"/>
              </w:rPr>
              <w:t>7.017%</w:t>
            </w:r>
          </w:p>
        </w:tc>
        <w:tc>
          <w:tcPr>
            <w:tcW w:type="dxa" w:w="1134"/>
          </w:tcPr>
          <w:p>
            <w:pPr>
              <w:spacing w:before="50" w:after="50"/>
              <w:ind w:firstLine="0"/>
              <w:jc w:val="center"/>
            </w:pPr>
            <w:r>
              <w:rPr>
                <w:rFonts w:ascii="Arial" w:hAnsi="Arial"/>
                <w:b w:val="0"/>
                <w:i w:val="0"/>
                <w:sz w:val="19"/>
                <w:rFonts w:ascii="Arial" w:hAnsi="Arial" w:eastAsia="SimSun"/>
              </w:rPr>
              <w:t>1.881</w:t>
            </w:r>
          </w:p>
        </w:tc>
        <w:tc>
          <w:tcPr>
            <w:tcW w:type="dxa" w:w="1134"/>
          </w:tcPr>
          <w:p>
            <w:pPr>
              <w:spacing w:before="50" w:after="50"/>
              <w:ind w:firstLine="0"/>
              <w:jc w:val="center"/>
            </w:pPr>
            <w:r>
              <w:rPr>
                <w:rFonts w:ascii="Arial" w:hAnsi="Arial"/>
                <w:b w:val="0"/>
                <w:i w:val="0"/>
                <w:sz w:val="19"/>
                <w:rFonts w:ascii="Arial" w:hAnsi="Arial" w:eastAsia="SimSun"/>
              </w:rPr>
              <w:t>0.498</w:t>
            </w:r>
          </w:p>
        </w:tc>
        <w:tc>
          <w:tcPr>
            <w:tcW w:type="dxa" w:w="907"/>
          </w:tcPr>
          <w:p>
            <w:pPr>
              <w:spacing w:before="50" w:after="50"/>
              <w:ind w:firstLine="0"/>
              <w:jc w:val="center"/>
            </w:pPr>
            <w:r>
              <w:rPr>
                <w:rFonts w:ascii="Arial" w:hAnsi="Arial"/>
                <w:b w:val="0"/>
                <w:i w:val="0"/>
                <w:sz w:val="19"/>
                <w:rFonts w:ascii="Arial" w:hAnsi="Arial" w:eastAsia="SimSun"/>
              </w:rPr>
              <w:t>0.0%</w:t>
            </w:r>
          </w:p>
        </w:tc>
      </w:tr>
      <w:tr>
        <w:tc>
          <w:tcPr>
            <w:tcW w:type="dxa" w:w="2268"/>
          </w:tcPr>
          <w:p>
            <w:pPr>
              <w:spacing w:before="50" w:after="50"/>
              <w:ind w:firstLine="0"/>
              <w:jc w:val="left"/>
            </w:pPr>
            <w:r>
              <w:rPr>
                <w:rFonts w:ascii="Arial" w:hAnsi="Arial"/>
                <w:b w:val="0"/>
                <w:i w:val="0"/>
                <w:sz w:val="19"/>
                <w:rFonts w:ascii="Arial" w:hAnsi="Arial" w:eastAsia="SimSun"/>
              </w:rPr>
              <w:t>普通组 · DNA repair 占比</w:t>
            </w:r>
          </w:p>
        </w:tc>
        <w:tc>
          <w:tcPr>
            <w:tcW w:type="dxa" w:w="1134"/>
          </w:tcPr>
          <w:p>
            <w:pPr>
              <w:spacing w:before="50" w:after="50"/>
              <w:ind w:firstLine="0"/>
              <w:jc w:val="center"/>
            </w:pPr>
            <w:r>
              <w:rPr>
                <w:rFonts w:ascii="Arial" w:hAnsi="Arial"/>
                <w:b w:val="0"/>
                <w:i w:val="0"/>
                <w:sz w:val="19"/>
                <w:rFonts w:ascii="Arial" w:hAnsi="Arial" w:eastAsia="SimSun"/>
              </w:rPr>
              <w:t>肿瘤组织</w:t>
            </w:r>
          </w:p>
        </w:tc>
        <w:tc>
          <w:tcPr>
            <w:tcW w:type="dxa" w:w="1247"/>
          </w:tcPr>
          <w:p>
            <w:pPr>
              <w:spacing w:before="50" w:after="50"/>
              <w:ind w:firstLine="0"/>
              <w:jc w:val="center"/>
            </w:pPr>
            <w:r>
              <w:rPr>
                <w:rFonts w:ascii="Arial" w:hAnsi="Arial"/>
                <w:b w:val="0"/>
                <w:i w:val="0"/>
                <w:sz w:val="19"/>
                <w:rFonts w:ascii="Arial" w:hAnsi="Arial" w:eastAsia="SimSun"/>
              </w:rPr>
              <w:t>2.846%</w:t>
            </w:r>
          </w:p>
        </w:tc>
        <w:tc>
          <w:tcPr>
            <w:tcW w:type="dxa" w:w="1247"/>
          </w:tcPr>
          <w:p>
            <w:pPr>
              <w:spacing w:before="50" w:after="50"/>
              <w:ind w:firstLine="0"/>
              <w:jc w:val="center"/>
            </w:pPr>
            <w:r>
              <w:rPr>
                <w:rFonts w:ascii="Arial" w:hAnsi="Arial"/>
                <w:b w:val="0"/>
                <w:i w:val="0"/>
                <w:sz w:val="19"/>
                <w:rFonts w:ascii="Arial" w:hAnsi="Arial" w:eastAsia="SimSun"/>
              </w:rPr>
              <w:t>2.887%</w:t>
            </w:r>
          </w:p>
        </w:tc>
        <w:tc>
          <w:tcPr>
            <w:tcW w:type="dxa" w:w="1134"/>
          </w:tcPr>
          <w:p>
            <w:pPr>
              <w:spacing w:before="50" w:after="50"/>
              <w:ind w:firstLine="0"/>
              <w:jc w:val="center"/>
            </w:pPr>
            <w:r>
              <w:rPr>
                <w:rFonts w:ascii="Arial" w:hAnsi="Arial"/>
                <w:b w:val="0"/>
                <w:i w:val="0"/>
                <w:sz w:val="19"/>
                <w:rFonts w:ascii="Arial" w:hAnsi="Arial" w:eastAsia="SimSun"/>
              </w:rPr>
              <w:t>0.052</w:t>
            </w:r>
          </w:p>
        </w:tc>
        <w:tc>
          <w:tcPr>
            <w:tcW w:type="dxa" w:w="1134"/>
          </w:tcPr>
          <w:p>
            <w:pPr>
              <w:spacing w:before="50" w:after="50"/>
              <w:ind w:firstLine="0"/>
              <w:jc w:val="center"/>
            </w:pPr>
            <w:r>
              <w:rPr>
                <w:rFonts w:ascii="Arial" w:hAnsi="Arial"/>
                <w:b w:val="0"/>
                <w:i w:val="0"/>
                <w:sz w:val="19"/>
                <w:rFonts w:ascii="Arial" w:hAnsi="Arial" w:eastAsia="SimSun"/>
              </w:rPr>
              <w:t>0.479</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普通组 · DNA repair 占比</w:t>
            </w:r>
          </w:p>
        </w:tc>
        <w:tc>
          <w:tcPr>
            <w:tcW w:type="dxa" w:w="1134"/>
          </w:tcPr>
          <w:p>
            <w:pPr>
              <w:spacing w:before="50" w:after="50"/>
              <w:ind w:firstLine="0"/>
              <w:jc w:val="center"/>
            </w:pPr>
            <w:r>
              <w:rPr>
                <w:rFonts w:ascii="Arial" w:hAnsi="Arial"/>
                <w:b w:val="0"/>
                <w:i w:val="0"/>
                <w:sz w:val="19"/>
                <w:rFonts w:ascii="Arial" w:hAnsi="Arial" w:eastAsia="SimSun"/>
              </w:rPr>
              <w:t>配对癌旁</w:t>
            </w:r>
          </w:p>
        </w:tc>
        <w:tc>
          <w:tcPr>
            <w:tcW w:type="dxa" w:w="1247"/>
          </w:tcPr>
          <w:p>
            <w:pPr>
              <w:spacing w:before="50" w:after="50"/>
              <w:ind w:firstLine="0"/>
              <w:jc w:val="center"/>
            </w:pPr>
            <w:r>
              <w:rPr>
                <w:rFonts w:ascii="Arial" w:hAnsi="Arial"/>
                <w:b w:val="0"/>
                <w:i w:val="0"/>
                <w:sz w:val="19"/>
                <w:rFonts w:ascii="Arial" w:hAnsi="Arial" w:eastAsia="SimSun"/>
              </w:rPr>
              <w:t>2.732%</w:t>
            </w:r>
          </w:p>
        </w:tc>
        <w:tc>
          <w:tcPr>
            <w:tcW w:type="dxa" w:w="1247"/>
          </w:tcPr>
          <w:p>
            <w:pPr>
              <w:spacing w:before="50" w:after="50"/>
              <w:ind w:firstLine="0"/>
              <w:jc w:val="center"/>
            </w:pPr>
            <w:r>
              <w:rPr>
                <w:rFonts w:ascii="Arial" w:hAnsi="Arial"/>
                <w:b w:val="0"/>
                <w:i w:val="0"/>
                <w:sz w:val="19"/>
                <w:rFonts w:ascii="Arial" w:hAnsi="Arial" w:eastAsia="SimSun"/>
              </w:rPr>
              <w:t>2.893%</w:t>
            </w:r>
          </w:p>
        </w:tc>
        <w:tc>
          <w:tcPr>
            <w:tcW w:type="dxa" w:w="1134"/>
          </w:tcPr>
          <w:p>
            <w:pPr>
              <w:spacing w:before="50" w:after="50"/>
              <w:ind w:firstLine="0"/>
              <w:jc w:val="center"/>
            </w:pPr>
            <w:r>
              <w:rPr>
                <w:rFonts w:ascii="Arial" w:hAnsi="Arial"/>
                <w:b w:val="0"/>
                <w:i w:val="0"/>
                <w:sz w:val="19"/>
                <w:rFonts w:ascii="Arial" w:hAnsi="Arial" w:eastAsia="SimSun"/>
              </w:rPr>
              <w:t>0.161</w:t>
            </w:r>
          </w:p>
        </w:tc>
        <w:tc>
          <w:tcPr>
            <w:tcW w:type="dxa" w:w="1134"/>
          </w:tcPr>
          <w:p>
            <w:pPr>
              <w:spacing w:before="50" w:after="50"/>
              <w:ind w:firstLine="0"/>
              <w:jc w:val="center"/>
            </w:pPr>
            <w:r>
              <w:rPr>
                <w:rFonts w:ascii="Arial" w:hAnsi="Arial"/>
                <w:b w:val="0"/>
                <w:i w:val="0"/>
                <w:sz w:val="19"/>
                <w:rFonts w:ascii="Arial" w:hAnsi="Arial" w:eastAsia="SimSun"/>
              </w:rPr>
              <w:t>0.593</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Kla 组 · DNA repair 占比</w:t>
            </w:r>
          </w:p>
        </w:tc>
        <w:tc>
          <w:tcPr>
            <w:tcW w:type="dxa" w:w="1134"/>
          </w:tcPr>
          <w:p>
            <w:pPr>
              <w:spacing w:before="50" w:after="50"/>
              <w:ind w:firstLine="0"/>
              <w:jc w:val="center"/>
            </w:pPr>
            <w:r>
              <w:rPr>
                <w:rFonts w:ascii="Arial" w:hAnsi="Arial"/>
                <w:b w:val="0"/>
                <w:i w:val="0"/>
                <w:sz w:val="19"/>
                <w:rFonts w:ascii="Arial" w:hAnsi="Arial" w:eastAsia="SimSun"/>
              </w:rPr>
              <w:t>肿瘤组织</w:t>
            </w:r>
          </w:p>
        </w:tc>
        <w:tc>
          <w:tcPr>
            <w:tcW w:type="dxa" w:w="1247"/>
          </w:tcPr>
          <w:p>
            <w:pPr>
              <w:spacing w:before="50" w:after="50"/>
              <w:ind w:firstLine="0"/>
              <w:jc w:val="center"/>
            </w:pPr>
            <w:r>
              <w:rPr>
                <w:rFonts w:ascii="Arial" w:hAnsi="Arial"/>
                <w:b w:val="0"/>
                <w:i w:val="0"/>
                <w:sz w:val="19"/>
                <w:rFonts w:ascii="Arial" w:hAnsi="Arial" w:eastAsia="SimSun"/>
              </w:rPr>
              <w:t>4.797%</w:t>
            </w:r>
          </w:p>
        </w:tc>
        <w:tc>
          <w:tcPr>
            <w:tcW w:type="dxa" w:w="1247"/>
          </w:tcPr>
          <w:p>
            <w:pPr>
              <w:spacing w:before="50" w:after="50"/>
              <w:ind w:firstLine="0"/>
              <w:jc w:val="center"/>
            </w:pPr>
            <w:r>
              <w:rPr>
                <w:rFonts w:ascii="Arial" w:hAnsi="Arial"/>
                <w:b w:val="0"/>
                <w:i w:val="0"/>
                <w:sz w:val="19"/>
                <w:rFonts w:ascii="Arial" w:hAnsi="Arial" w:eastAsia="SimSun"/>
              </w:rPr>
              <w:t>4.730%</w:t>
            </w:r>
          </w:p>
        </w:tc>
        <w:tc>
          <w:tcPr>
            <w:tcW w:type="dxa" w:w="1134"/>
          </w:tcPr>
          <w:p>
            <w:pPr>
              <w:spacing w:before="50" w:after="50"/>
              <w:ind w:firstLine="0"/>
              <w:jc w:val="center"/>
            </w:pPr>
            <w:r>
              <w:rPr>
                <w:rFonts w:ascii="Arial" w:hAnsi="Arial"/>
                <w:b w:val="0"/>
                <w:i w:val="0"/>
                <w:sz w:val="19"/>
                <w:rFonts w:ascii="Arial" w:hAnsi="Arial" w:eastAsia="SimSun"/>
              </w:rPr>
              <w:t>0.159</w:t>
            </w:r>
          </w:p>
        </w:tc>
        <w:tc>
          <w:tcPr>
            <w:tcW w:type="dxa" w:w="1134"/>
          </w:tcPr>
          <w:p>
            <w:pPr>
              <w:spacing w:before="50" w:after="50"/>
              <w:ind w:firstLine="0"/>
              <w:jc w:val="center"/>
            </w:pPr>
            <w:r>
              <w:rPr>
                <w:rFonts w:ascii="Arial" w:hAnsi="Arial"/>
                <w:b w:val="0"/>
                <w:i w:val="0"/>
                <w:sz w:val="19"/>
                <w:rFonts w:ascii="Arial" w:hAnsi="Arial" w:eastAsia="SimSun"/>
              </w:rPr>
              <w:t>1.913</w:t>
            </w:r>
          </w:p>
        </w:tc>
        <w:tc>
          <w:tcPr>
            <w:tcW w:type="dxa" w:w="907"/>
          </w:tcPr>
          <w:p>
            <w:pPr>
              <w:spacing w:before="50" w:after="50"/>
              <w:ind w:firstLine="0"/>
              <w:jc w:val="center"/>
            </w:pPr>
            <w:r>
              <w:rPr>
                <w:rFonts w:ascii="Arial" w:hAnsi="Arial"/>
                <w:b w:val="0"/>
                <w:i w:val="0"/>
                <w:sz w:val="19"/>
                <w:rFonts w:ascii="Arial" w:hAnsi="Arial" w:eastAsia="SimSun"/>
              </w:rPr>
              <w:t>100.0%</w:t>
            </w:r>
          </w:p>
        </w:tc>
      </w:tr>
      <w:tr>
        <w:tc>
          <w:tcPr>
            <w:tcW w:type="dxa" w:w="2268"/>
          </w:tcPr>
          <w:p>
            <w:pPr>
              <w:spacing w:before="50" w:after="50"/>
              <w:ind w:firstLine="0"/>
              <w:jc w:val="left"/>
            </w:pPr>
            <w:r>
              <w:rPr>
                <w:rFonts w:ascii="Arial" w:hAnsi="Arial"/>
                <w:b w:val="0"/>
                <w:i w:val="0"/>
                <w:sz w:val="19"/>
                <w:rFonts w:ascii="Arial" w:hAnsi="Arial" w:eastAsia="SimSun"/>
              </w:rPr>
              <w:t>Kla 组 · DNA repair 占比</w:t>
            </w:r>
          </w:p>
        </w:tc>
        <w:tc>
          <w:tcPr>
            <w:tcW w:type="dxa" w:w="1134"/>
          </w:tcPr>
          <w:p>
            <w:pPr>
              <w:spacing w:before="50" w:after="50"/>
              <w:ind w:firstLine="0"/>
              <w:jc w:val="center"/>
            </w:pPr>
            <w:r>
              <w:rPr>
                <w:rFonts w:ascii="Arial" w:hAnsi="Arial"/>
                <w:b w:val="0"/>
                <w:i w:val="0"/>
                <w:sz w:val="19"/>
                <w:rFonts w:ascii="Arial" w:hAnsi="Arial" w:eastAsia="SimSun"/>
              </w:rPr>
              <w:t>配对癌旁</w:t>
            </w:r>
          </w:p>
        </w:tc>
        <w:tc>
          <w:tcPr>
            <w:tcW w:type="dxa" w:w="1247"/>
          </w:tcPr>
          <w:p>
            <w:pPr>
              <w:spacing w:before="50" w:after="50"/>
              <w:ind w:firstLine="0"/>
              <w:jc w:val="center"/>
            </w:pPr>
            <w:r>
              <w:rPr>
                <w:rFonts w:ascii="Arial" w:hAnsi="Arial"/>
                <w:b w:val="0"/>
                <w:i w:val="0"/>
                <w:sz w:val="19"/>
                <w:rFonts w:ascii="Arial" w:hAnsi="Arial" w:eastAsia="SimSun"/>
              </w:rPr>
              <w:t>5.932%</w:t>
            </w:r>
          </w:p>
        </w:tc>
        <w:tc>
          <w:tcPr>
            <w:tcW w:type="dxa" w:w="1247"/>
          </w:tcPr>
          <w:p>
            <w:pPr>
              <w:spacing w:before="50" w:after="50"/>
              <w:ind w:firstLine="0"/>
              <w:jc w:val="center"/>
            </w:pPr>
            <w:r>
              <w:rPr>
                <w:rFonts w:ascii="Arial" w:hAnsi="Arial"/>
                <w:b w:val="0"/>
                <w:i w:val="0"/>
                <w:sz w:val="19"/>
                <w:rFonts w:ascii="Arial" w:hAnsi="Arial" w:eastAsia="SimSun"/>
              </w:rPr>
              <w:t>4.899%</w:t>
            </w:r>
          </w:p>
        </w:tc>
        <w:tc>
          <w:tcPr>
            <w:tcW w:type="dxa" w:w="1134"/>
          </w:tcPr>
          <w:p>
            <w:pPr>
              <w:spacing w:before="50" w:after="50"/>
              <w:ind w:firstLine="0"/>
              <w:jc w:val="center"/>
            </w:pPr>
            <w:r>
              <w:rPr>
                <w:rFonts w:ascii="Arial" w:hAnsi="Arial"/>
                <w:b w:val="0"/>
                <w:i w:val="0"/>
                <w:sz w:val="19"/>
                <w:rFonts w:ascii="Arial" w:hAnsi="Arial" w:eastAsia="SimSun"/>
              </w:rPr>
              <w:t>1.033</w:t>
            </w:r>
          </w:p>
        </w:tc>
        <w:tc>
          <w:tcPr>
            <w:tcW w:type="dxa" w:w="1134"/>
          </w:tcPr>
          <w:p>
            <w:pPr>
              <w:spacing w:before="50" w:after="50"/>
              <w:ind w:firstLine="0"/>
              <w:jc w:val="center"/>
            </w:pPr>
            <w:r>
              <w:rPr>
                <w:rFonts w:ascii="Arial" w:hAnsi="Arial"/>
                <w:b w:val="0"/>
                <w:i w:val="0"/>
                <w:sz w:val="19"/>
                <w:rFonts w:ascii="Arial" w:hAnsi="Arial" w:eastAsia="SimSun"/>
              </w:rPr>
              <w:t>0.777</w:t>
            </w:r>
          </w:p>
        </w:tc>
        <w:tc>
          <w:tcPr>
            <w:tcW w:type="dxa" w:w="907"/>
          </w:tcPr>
          <w:p>
            <w:pPr>
              <w:spacing w:before="50" w:after="50"/>
              <w:ind w:firstLine="0"/>
              <w:jc w:val="center"/>
            </w:pPr>
            <w:r>
              <w:rPr>
                <w:rFonts w:ascii="Arial" w:hAnsi="Arial"/>
                <w:b w:val="0"/>
                <w:i w:val="0"/>
                <w:sz w:val="19"/>
                <w:rFonts w:ascii="Arial" w:hAnsi="Arial" w:eastAsia="SimSun"/>
              </w:rPr>
              <w:t>39.1%</w:t>
            </w:r>
          </w:p>
        </w:tc>
      </w:tr>
    </w:tbl>
    <w:p>
      <w:pPr>
        <w:spacing w:before="0" w:after="120"/>
      </w:pPr>
    </w:p>
    <w:p>
      <w:pPr>
        <w:spacing w:line="300" w:lineRule="auto" w:before="0" w:after="60"/>
        <w:ind w:firstLine="420"/>
      </w:pPr>
      <w:r>
        <w:rPr>
          <w:rFonts w:ascii="Arial" w:hAnsi="Arial"/>
          <w:b/>
          <w:i w:val="0"/>
          <w:sz w:val="21"/>
          <w:rFonts w:ascii="Arial" w:hAnsi="Arial" w:eastAsia="SimSun"/>
        </w:rPr>
        <w:t>对比观察：</w:t>
      </w:r>
      <w:r>
        <w:rPr>
          <w:rFonts w:ascii="Arial" w:hAnsi="Arial"/>
          <w:b w:val="0"/>
          <w:i w:val="0"/>
          <w:sz w:val="21"/>
          <w:rFonts w:ascii="Arial" w:hAnsi="Arial" w:eastAsia="SimSun"/>
        </w:rPr>
        <w:t>从外部验证结果中可以观察到两个鲜明现象：</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肿瘤预测一致性高：</w:t>
      </w:r>
      <w:r>
        <w:rPr>
          <w:rFonts w:ascii="Arial" w:hAnsi="Arial"/>
          <w:b w:val="0"/>
          <w:i w:val="0"/>
          <w:sz w:val="21"/>
          <w:rFonts w:ascii="Arial" w:hAnsi="Arial" w:eastAsia="SimSun"/>
        </w:rPr>
        <w:t>在 ESCC 肿瘤组织中，四个目标的模型预测均值与新质谱参考值高度吻合：Kla-DDR 参考值为 6.831%，预测均值为 6.750%（误差 0.190 个百分点）；Kla-Repair 参考值为 4.797%，预测均值为 4.730%（误差 0.159 个百分点）；普通组两目标的误差仅为 0.143 和 0.052 个百分点，所有 23 条肿瘤 RNA 样本的误差均在 ±1 个百分点以内，且显著优于基线；</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癌旁预测偏低：</w:t>
      </w:r>
      <w:r>
        <w:rPr>
          <w:rFonts w:ascii="Arial" w:hAnsi="Arial"/>
          <w:b w:val="0"/>
          <w:i w:val="0"/>
          <w:sz w:val="21"/>
          <w:rFonts w:ascii="Arial" w:hAnsi="Arial" w:eastAsia="SimSun"/>
        </w:rPr>
        <w:t>在配对癌旁组织中，Kla 组两个目标的预测均值出现了一定程度的偏低：Kla-DDR 参考值为 8.898%，模型预测均值为 7.017%（误差 1.881 个百分点）；Kla-Repair 参考值为 5.932%，模型预测均值为 4.899%（误差 1.033 个百分点），未优于无 RNA 基线。</w:t>
      </w:r>
    </w:p>
    <w:p>
      <w:pPr>
        <w:keepNext/>
        <w:spacing w:before="280" w:after="100"/>
      </w:pPr>
      <w:r>
        <w:rPr>
          <w:rFonts w:ascii="Arial" w:hAnsi="Arial"/>
          <w:b/>
          <w:i w:val="0"/>
          <w:color w:val="19375F"/>
          <w:sz w:val="26"/>
          <w:rFonts w:ascii="Arial" w:hAnsi="Arial" w:eastAsia="SimHei"/>
        </w:rPr>
        <w:t>六、结果分析与适用边界</w:t>
      </w:r>
    </w:p>
    <w:p>
      <w:pPr>
        <w:keepNext/>
        <w:spacing w:before="180" w:after="60"/>
      </w:pPr>
      <w:r>
        <w:rPr>
          <w:rFonts w:ascii="Arial" w:hAnsi="Arial"/>
          <w:b/>
          <w:i w:val="0"/>
          <w:color w:val="284B78"/>
          <w:sz w:val="23"/>
          <w:rFonts w:ascii="Arial" w:hAnsi="Arial" w:eastAsia="SimHei"/>
        </w:rPr>
        <w:t>6.1 为什么组学内占比在外部肿瘤中吻合度更好？</w:t>
      </w:r>
    </w:p>
    <w:p>
      <w:pPr>
        <w:spacing w:line="300" w:lineRule="auto" w:before="0" w:after="60"/>
        <w:ind w:firstLine="420"/>
      </w:pPr>
      <w:r>
        <w:rPr>
          <w:rFonts w:ascii="Arial" w:hAnsi="Arial"/>
          <w:b w:val="0"/>
          <w:i w:val="0"/>
          <w:sz w:val="21"/>
          <w:rFonts w:ascii="Arial" w:hAnsi="Arial" w:eastAsia="SimSun"/>
        </w:rPr>
        <w:t>此前基于两组学交集比值的预测模型在外部验证中出现约 9 个百分点的偏移，主要原因在于抗体富集深度差异改变了两套质谱检出列表的交集大小。而本次采用的【组学内部组成比例】仅依赖单一组学自身的检出总量作为分母，反映的是恶性肿瘤细胞总蛋白池或总修饰池中分配给特定修复通路的固有比例。这类基础组分构成在同类肿瘤细胞中表现出较高的稳态特性，因而减少了跨实验室富集深度波动带来的影响。</w:t>
      </w:r>
    </w:p>
    <w:p>
      <w:pPr>
        <w:keepNext/>
        <w:spacing w:before="180" w:after="60"/>
      </w:pPr>
      <w:r>
        <w:rPr>
          <w:rFonts w:ascii="Arial" w:hAnsi="Arial"/>
          <w:b/>
          <w:i w:val="0"/>
          <w:color w:val="284B78"/>
          <w:sz w:val="23"/>
          <w:rFonts w:ascii="Arial" w:hAnsi="Arial" w:eastAsia="SimHei"/>
        </w:rPr>
        <w:t>6.2 癌旁组织偏离的可能原因与客观限制</w:t>
      </w:r>
    </w:p>
    <w:p>
      <w:pPr>
        <w:spacing w:line="300" w:lineRule="auto" w:before="0" w:after="60"/>
        <w:ind w:firstLine="420"/>
      </w:pPr>
      <w:r>
        <w:rPr>
          <w:rFonts w:ascii="Arial" w:hAnsi="Arial"/>
          <w:b/>
          <w:i w:val="0"/>
          <w:sz w:val="21"/>
          <w:rFonts w:ascii="Arial" w:hAnsi="Arial" w:eastAsia="SimSun"/>
        </w:rPr>
        <w:t>潜在限制：</w:t>
      </w:r>
      <w:r>
        <w:rPr>
          <w:rFonts w:ascii="Arial" w:hAnsi="Arial"/>
          <w:b w:val="0"/>
          <w:i w:val="0"/>
          <w:sz w:val="21"/>
          <w:rFonts w:ascii="Arial" w:hAnsi="Arial" w:eastAsia="SimSun"/>
        </w:rPr>
        <w:t>癌旁组织中 Kla 占比预测偏低，可能与以下因素有关：</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取材与异质性：</w:t>
      </w:r>
      <w:r>
        <w:rPr>
          <w:rFonts w:ascii="Arial" w:hAnsi="Arial"/>
          <w:b w:val="0"/>
          <w:i w:val="0"/>
          <w:sz w:val="21"/>
          <w:rFonts w:ascii="Arial" w:hAnsi="Arial" w:eastAsia="SimSun"/>
        </w:rPr>
        <w:t>癌旁组织细胞异质性较高：癌旁切片常混杂间质细胞、浸润免疫细胞及不同程度的慢性炎症改变，其 RNA 表达谱与纯肿瘤组织存在显著差异，且各实验室取材距肿瘤边缘的距离并不统一；</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正常组织样本偏少：</w:t>
      </w:r>
      <w:r>
        <w:rPr>
          <w:rFonts w:ascii="Arial" w:hAnsi="Arial"/>
          <w:b w:val="0"/>
          <w:i w:val="0"/>
          <w:sz w:val="21"/>
          <w:rFonts w:ascii="Arial" w:hAnsi="Arial" w:eastAsia="SimSun"/>
        </w:rPr>
        <w:t>训练材料覆盖度不均衡：现有训练集中正常食管组织样本数量极少，模型对食管鳞状上皮在非癌状态下的修饰特征学习不够充分；</w:t>
      </w:r>
    </w:p>
    <w:p>
      <w:pPr>
        <w:spacing w:line="300" w:lineRule="auto" w:before="20" w:after="40"/>
        <w:ind w:left="420" w:hanging="227"/>
      </w:pPr>
      <w:r>
        <w:rPr>
          <w:rFonts w:ascii="Arial" w:hAnsi="Arial"/>
          <w:b/>
          <w:i w:val="0"/>
          <w:color w:val="1F4E79"/>
          <w:sz w:val="19"/>
          <w:rFonts w:ascii="Arial" w:hAnsi="Arial" w:eastAsia="SimSun"/>
        </w:rPr>
        <w:t xml:space="preserve">▪ </w:t>
      </w:r>
      <w:r>
        <w:rPr>
          <w:rFonts w:ascii="Arial" w:hAnsi="Arial"/>
          <w:b/>
          <w:i w:val="0"/>
          <w:sz w:val="21"/>
          <w:rFonts w:ascii="Arial" w:hAnsi="Arial" w:eastAsia="SimSun"/>
        </w:rPr>
        <w:t>非个体配对限制：</w:t>
      </w:r>
      <w:r>
        <w:rPr>
          <w:rFonts w:ascii="Arial" w:hAnsi="Arial"/>
          <w:b w:val="0"/>
          <w:i w:val="0"/>
          <w:sz w:val="21"/>
          <w:rFonts w:ascii="Arial" w:hAnsi="Arial" w:eastAsia="SimSun"/>
        </w:rPr>
        <w:t>队列非同一患者多组学配对：RNA 来自韩国 YSH 队列，质谱来自华山医院，两者仅在组织病理层面匹配，无法排除人群遗传背景、生活方式及未知临床治疗史对基线修饰水平的影响。</w:t>
      </w:r>
    </w:p>
    <w:p>
      <w:pPr>
        <w:keepNext/>
        <w:spacing w:before="180" w:after="60"/>
      </w:pPr>
      <w:r>
        <w:rPr>
          <w:rFonts w:ascii="Arial" w:hAnsi="Arial"/>
          <w:b/>
          <w:i w:val="0"/>
          <w:color w:val="284B78"/>
          <w:sz w:val="23"/>
          <w:rFonts w:ascii="Arial" w:hAnsi="Arial" w:eastAsia="SimHei"/>
        </w:rPr>
        <w:t>6.3 总结与后续建议</w:t>
      </w:r>
    </w:p>
    <w:p>
      <w:pPr>
        <w:spacing w:line="300" w:lineRule="auto" w:before="0" w:after="60"/>
        <w:ind w:firstLine="420"/>
      </w:pPr>
      <w:r>
        <w:rPr>
          <w:rFonts w:ascii="Arial" w:hAnsi="Arial"/>
          <w:b w:val="0"/>
          <w:i w:val="0"/>
          <w:sz w:val="21"/>
          <w:rFonts w:ascii="Arial" w:hAnsi="Arial" w:eastAsia="SimSun"/>
        </w:rPr>
        <w:t>综上所述，当前模型在肿瘤组织内的表现支持其作为‘已知材料体系内基于全转录组特征重现组学内通路占比’的有效工具。但面对正常/癌旁组织或更广泛的非肿瘤材料时，模型尚不能做到无条件准确预测。若要在未来开展真正的盲测应用，仍需在固定模型的前提下，引入小批量同批次配对基准数据进行局部标定。</w:t>
      </w:r>
    </w:p>
    <w:p>
      <w:pPr>
        <w:keepNext/>
        <w:spacing w:before="280" w:after="100"/>
      </w:pPr>
      <w:r>
        <w:rPr>
          <w:rFonts w:ascii="Arial" w:hAnsi="Arial"/>
          <w:b/>
          <w:i w:val="0"/>
          <w:color w:val="19375F"/>
          <w:sz w:val="26"/>
          <w:rFonts w:ascii="Arial" w:hAnsi="Arial" w:eastAsia="SimHei"/>
        </w:rPr>
        <w:t>七、交付文件与数据索引</w:t>
      </w:r>
    </w:p>
    <w:p>
      <w:pPr>
        <w:keepNext/>
        <w:spacing w:before="120" w:after="80"/>
        <w:ind w:firstLine="0"/>
        <w:jc w:val="center"/>
      </w:pPr>
      <w:r>
        <w:rPr>
          <w:rFonts w:ascii="Arial" w:hAnsi="Arial"/>
          <w:b/>
          <w:i w:val="0"/>
          <w:color w:val="323232"/>
          <w:sz w:val="20"/>
          <w:rFonts w:ascii="Arial" w:hAnsi="Arial" w:eastAsia="SimSun"/>
        </w:rPr>
        <w:t>表 3 四目标模型交付产出文件路径索引表</w:t>
      </w:r>
    </w:p>
    <w:tbl>
      <w:tblPr>
        <w:tblW w:type="auto" w:w="0"/>
        <w:jc w:val="center"/>
        <w:tblBorders>
          <w:top w:val="single" w:sz="12" w:space="0" w:color="000000"/>
          <w:left w:val="none"/>
          <w:bottom w:val="single" w:sz="12" w:space="0" w:color="000000"/>
          <w:right w:val="none"/>
          <w:insideH w:val="none"/>
          <w:insideV w:val="none"/>
        </w:tblBorders>
        <w:tblLook w:firstColumn="1" w:firstRow="1" w:lastColumn="0" w:lastRow="0" w:noHBand="0" w:noVBand="1" w:val="04A0"/>
      </w:tblPr>
      <w:tblGrid>
        <w:gridCol w:w="3024"/>
        <w:gridCol w:w="3024"/>
        <w:gridCol w:w="3024"/>
      </w:tblGrid>
      <w:tr>
        <w:trPr>
          <w:tblHeader/>
        </w:trPr>
        <w:tc>
          <w:tcPr>
            <w:tcW w:type="dxa" w:w="1587"/>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文件类别</w:t>
            </w:r>
          </w:p>
        </w:tc>
        <w:tc>
          <w:tcPr>
            <w:tcW w:type="dxa" w:w="4649"/>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相对路径 / 文件名</w:t>
            </w:r>
          </w:p>
        </w:tc>
        <w:tc>
          <w:tcPr>
            <w:tcW w:type="dxa" w:w="2835"/>
            <w:tcBorders>
              <w:bottom w:val="single" w:sz="6" w:space="0" w:color="000000"/>
            </w:tcBorders>
            <w:shd w:val="clear" w:color="auto" w:fill="F5F7FA"/>
          </w:tcPr>
          <w:p>
            <w:pPr>
              <w:spacing w:before="60" w:after="60"/>
              <w:ind w:firstLine="0"/>
              <w:jc w:val="center"/>
            </w:pPr>
            <w:r>
              <w:rPr>
                <w:rFonts w:ascii="Arial" w:hAnsi="Arial"/>
                <w:b/>
                <w:i w:val="0"/>
                <w:sz w:val="19"/>
                <w:rFonts w:ascii="Arial" w:hAnsi="Arial" w:eastAsia="SimHei"/>
              </w:rPr>
              <w:t>规格说明</w:t>
            </w:r>
          </w:p>
        </w:tc>
      </w:tr>
      <w:tr>
        <w:tc>
          <w:tcPr>
            <w:tcW w:type="dxa" w:w="1587"/>
          </w:tcPr>
          <w:p>
            <w:pPr>
              <w:spacing w:before="50" w:after="50"/>
              <w:ind w:firstLine="0"/>
              <w:jc w:val="left"/>
            </w:pPr>
            <w:r>
              <w:rPr>
                <w:rFonts w:ascii="Arial" w:hAnsi="Arial"/>
                <w:b w:val="0"/>
                <w:i w:val="0"/>
                <w:sz w:val="19"/>
                <w:rFonts w:ascii="Arial" w:hAnsi="Arial" w:eastAsia="SimSun"/>
              </w:rPr>
              <w:t>综合指标表</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outputs/20260929_assay_composition/comparison_metrics.csv</w:t>
            </w:r>
          </w:p>
        </w:tc>
        <w:tc>
          <w:tcPr>
            <w:tcW w:type="dxa" w:w="2835"/>
          </w:tcPr>
          <w:p>
            <w:pPr>
              <w:spacing w:before="50" w:after="50"/>
              <w:ind w:firstLine="0"/>
              <w:jc w:val="center"/>
            </w:pPr>
            <w:r>
              <w:rPr>
                <w:rFonts w:ascii="Arial" w:hAnsi="Arial"/>
                <w:b w:val="0"/>
                <w:i w:val="0"/>
                <w:sz w:val="19"/>
                <w:rFonts w:ascii="Arial" w:hAnsi="Arial" w:eastAsia="SimSun"/>
              </w:rPr>
              <w:t>四目标全景评价指标表 (含基线对照)</w:t>
            </w:r>
          </w:p>
        </w:tc>
      </w:tr>
      <w:tr>
        <w:tc>
          <w:tcPr>
            <w:tcW w:type="dxa" w:w="1587"/>
          </w:tcPr>
          <w:p>
            <w:pPr>
              <w:spacing w:before="50" w:after="50"/>
              <w:ind w:firstLine="0"/>
              <w:jc w:val="left"/>
            </w:pPr>
            <w:r>
              <w:rPr>
                <w:rFonts w:ascii="Arial" w:hAnsi="Arial"/>
                <w:b w:val="0"/>
                <w:i w:val="0"/>
                <w:sz w:val="19"/>
                <w:rFonts w:ascii="Arial" w:hAnsi="Arial" w:eastAsia="SimSun"/>
              </w:rPr>
              <w:t>外部验证指标</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outputs/20260929_assay_composition/external_metrics.csv</w:t>
            </w:r>
          </w:p>
        </w:tc>
        <w:tc>
          <w:tcPr>
            <w:tcW w:type="dxa" w:w="2835"/>
          </w:tcPr>
          <w:p>
            <w:pPr>
              <w:spacing w:before="50" w:after="50"/>
              <w:ind w:firstLine="0"/>
              <w:jc w:val="center"/>
            </w:pPr>
            <w:r>
              <w:rPr>
                <w:rFonts w:ascii="Arial" w:hAnsi="Arial"/>
                <w:b w:val="0"/>
                <w:i w:val="0"/>
                <w:sz w:val="19"/>
                <w:rFonts w:ascii="Arial" w:hAnsi="Arial" w:eastAsia="SimSun"/>
              </w:rPr>
              <w:t>新 RNA 食管癌肿瘤与癌旁逐项指标明细表</w:t>
            </w:r>
          </w:p>
        </w:tc>
      </w:tr>
      <w:tr>
        <w:tc>
          <w:tcPr>
            <w:tcW w:type="dxa" w:w="1587"/>
          </w:tcPr>
          <w:p>
            <w:pPr>
              <w:spacing w:before="50" w:after="50"/>
              <w:ind w:firstLine="0"/>
              <w:jc w:val="left"/>
            </w:pPr>
            <w:r>
              <w:rPr>
                <w:rFonts w:ascii="Arial" w:hAnsi="Arial"/>
                <w:b w:val="0"/>
                <w:i w:val="0"/>
                <w:sz w:val="19"/>
                <w:rFonts w:ascii="Arial" w:hAnsi="Arial" w:eastAsia="SimSun"/>
              </w:rPr>
              <w:t>内部测试图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outputs/20260929_assay_composition/figures/internal_test.png/.pdf</w:t>
            </w:r>
          </w:p>
        </w:tc>
        <w:tc>
          <w:tcPr>
            <w:tcW w:type="dxa" w:w="2835"/>
          </w:tcPr>
          <w:p>
            <w:pPr>
              <w:spacing w:before="50" w:after="50"/>
              <w:ind w:firstLine="0"/>
              <w:jc w:val="center"/>
            </w:pPr>
            <w:r>
              <w:rPr>
                <w:rFonts w:ascii="Arial" w:hAnsi="Arial"/>
                <w:b w:val="0"/>
                <w:i w:val="0"/>
                <w:sz w:val="19"/>
                <w:rFonts w:ascii="Arial" w:hAnsi="Arial" w:eastAsia="SimSun"/>
              </w:rPr>
              <w:t>四目标内部留出预测 4 联散点图</w:t>
            </w:r>
          </w:p>
        </w:tc>
      </w:tr>
      <w:tr>
        <w:tc>
          <w:tcPr>
            <w:tcW w:type="dxa" w:w="1587"/>
          </w:tcPr>
          <w:p>
            <w:pPr>
              <w:spacing w:before="50" w:after="50"/>
              <w:ind w:firstLine="0"/>
              <w:jc w:val="left"/>
            </w:pPr>
            <w:r>
              <w:rPr>
                <w:rFonts w:ascii="Arial" w:hAnsi="Arial"/>
                <w:b w:val="0"/>
                <w:i w:val="0"/>
                <w:sz w:val="19"/>
                <w:rFonts w:ascii="Arial" w:hAnsi="Arial" w:eastAsia="SimSun"/>
              </w:rPr>
              <w:t>跨来源留出图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outputs/20260929_assay_composition/figures/source_heldout.png/.pdf</w:t>
            </w:r>
          </w:p>
        </w:tc>
        <w:tc>
          <w:tcPr>
            <w:tcW w:type="dxa" w:w="2835"/>
          </w:tcPr>
          <w:p>
            <w:pPr>
              <w:spacing w:before="50" w:after="50"/>
              <w:ind w:firstLine="0"/>
              <w:jc w:val="center"/>
            </w:pPr>
            <w:r>
              <w:rPr>
                <w:rFonts w:ascii="Arial" w:hAnsi="Arial"/>
                <w:b w:val="0"/>
                <w:i w:val="0"/>
                <w:sz w:val="19"/>
                <w:rFonts w:ascii="Arial" w:hAnsi="Arial" w:eastAsia="SimSun"/>
              </w:rPr>
              <w:t>14 折来源留出交叉验证对比散点图</w:t>
            </w:r>
          </w:p>
        </w:tc>
      </w:tr>
      <w:tr>
        <w:tc>
          <w:tcPr>
            <w:tcW w:type="dxa" w:w="1587"/>
          </w:tcPr>
          <w:p>
            <w:pPr>
              <w:spacing w:before="50" w:after="50"/>
              <w:ind w:firstLine="0"/>
              <w:jc w:val="left"/>
            </w:pPr>
            <w:r>
              <w:rPr>
                <w:rFonts w:ascii="Arial" w:hAnsi="Arial"/>
                <w:b w:val="0"/>
                <w:i w:val="0"/>
                <w:sz w:val="19"/>
                <w:rFonts w:ascii="Arial" w:hAnsi="Arial" w:eastAsia="SimSun"/>
              </w:rPr>
              <w:t>外部盲测图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outputs/20260929_assay_composition/figures/external_newRNA.png/.pdf</w:t>
            </w:r>
          </w:p>
        </w:tc>
        <w:tc>
          <w:tcPr>
            <w:tcW w:type="dxa" w:w="2835"/>
          </w:tcPr>
          <w:p>
            <w:pPr>
              <w:spacing w:before="50" w:after="50"/>
              <w:ind w:firstLine="0"/>
              <w:jc w:val="center"/>
            </w:pPr>
            <w:r>
              <w:rPr>
                <w:rFonts w:ascii="Arial" w:hAnsi="Arial"/>
                <w:b w:val="0"/>
                <w:i w:val="0"/>
                <w:sz w:val="19"/>
                <w:rFonts w:ascii="Arial" w:hAnsi="Arial" w:eastAsia="SimSun"/>
              </w:rPr>
              <w:t>GSE130078 组织 RNA 盲测外部质谱参考值分布图</w:t>
            </w:r>
          </w:p>
        </w:tc>
      </w:tr>
      <w:tr>
        <w:tc>
          <w:tcPr>
            <w:tcW w:type="dxa" w:w="1587"/>
          </w:tcPr>
          <w:p>
            <w:pPr>
              <w:spacing w:before="50" w:after="50"/>
              <w:ind w:firstLine="0"/>
              <w:jc w:val="left"/>
            </w:pPr>
            <w:r>
              <w:rPr>
                <w:rFonts w:ascii="Arial" w:hAnsi="Arial"/>
                <w:b w:val="0"/>
                <w:i w:val="0"/>
                <w:sz w:val="19"/>
                <w:rFonts w:ascii="Arial" w:hAnsi="Arial" w:eastAsia="SimSun"/>
              </w:rPr>
              <w:t>Kla-DDR 材料图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outputs/20260929_assay_composition/models/Kla_DDR/figures/figure1_material_distributions.png</w:t>
            </w:r>
          </w:p>
        </w:tc>
        <w:tc>
          <w:tcPr>
            <w:tcW w:type="dxa" w:w="2835"/>
          </w:tcPr>
          <w:p>
            <w:pPr>
              <w:spacing w:before="50" w:after="50"/>
              <w:ind w:firstLine="0"/>
              <w:jc w:val="center"/>
            </w:pPr>
            <w:r>
              <w:rPr>
                <w:rFonts w:ascii="Arial" w:hAnsi="Arial"/>
                <w:b w:val="0"/>
                <w:i w:val="0"/>
                <w:sz w:val="19"/>
                <w:rFonts w:ascii="Arial" w:hAnsi="Arial" w:eastAsia="SimSun"/>
              </w:rPr>
              <w:t>28 种材料预测分布箱线/散点图</w:t>
            </w:r>
          </w:p>
        </w:tc>
      </w:tr>
      <w:tr>
        <w:tc>
          <w:tcPr>
            <w:tcW w:type="dxa" w:w="1587"/>
          </w:tcPr>
          <w:p>
            <w:pPr>
              <w:spacing w:before="50" w:after="50"/>
              <w:ind w:firstLine="0"/>
              <w:jc w:val="left"/>
            </w:pPr>
            <w:r>
              <w:rPr>
                <w:rFonts w:ascii="Arial" w:hAnsi="Arial"/>
                <w:b w:val="0"/>
                <w:i w:val="0"/>
                <w:sz w:val="19"/>
                <w:rFonts w:ascii="Arial" w:hAnsi="Arial" w:eastAsia="SimSun"/>
              </w:rPr>
              <w:t>Kla-DDR 特征图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outputs/20260929_assay_composition/models/Kla_DDR/figures/top25.png</w:t>
            </w:r>
          </w:p>
        </w:tc>
        <w:tc>
          <w:tcPr>
            <w:tcW w:type="dxa" w:w="2835"/>
          </w:tcPr>
          <w:p>
            <w:pPr>
              <w:spacing w:before="50" w:after="50"/>
              <w:ind w:firstLine="0"/>
              <w:jc w:val="center"/>
            </w:pPr>
            <w:r>
              <w:rPr>
                <w:rFonts w:ascii="Arial" w:hAnsi="Arial"/>
                <w:b w:val="0"/>
                <w:i w:val="0"/>
                <w:sz w:val="19"/>
                <w:rFonts w:ascii="Arial" w:hAnsi="Arial" w:eastAsia="SimSun"/>
              </w:rPr>
              <w:t>Top 25 变量重要性条形图 (带 Gene Symbol)</w:t>
            </w:r>
          </w:p>
        </w:tc>
      </w:tr>
      <w:tr>
        <w:tc>
          <w:tcPr>
            <w:tcW w:type="dxa" w:w="1587"/>
          </w:tcPr>
          <w:p>
            <w:pPr>
              <w:spacing w:before="50" w:after="50"/>
              <w:ind w:firstLine="0"/>
              <w:jc w:val="left"/>
            </w:pPr>
            <w:r>
              <w:rPr>
                <w:rFonts w:ascii="Arial" w:hAnsi="Arial"/>
                <w:b w:val="0"/>
                <w:i w:val="0"/>
                <w:sz w:val="19"/>
                <w:rFonts w:ascii="Arial" w:hAnsi="Arial" w:eastAsia="SimSun"/>
              </w:rPr>
              <w:t>Kla-DDR 流形图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outputs/20260929_assay_composition/models/Kla_DDR/figures/figure3_manifold_projection.png</w:t>
            </w:r>
          </w:p>
        </w:tc>
        <w:tc>
          <w:tcPr>
            <w:tcW w:type="dxa" w:w="2835"/>
          </w:tcPr>
          <w:p>
            <w:pPr>
              <w:spacing w:before="50" w:after="50"/>
              <w:ind w:firstLine="0"/>
              <w:jc w:val="center"/>
            </w:pPr>
            <w:r>
              <w:rPr>
                <w:rFonts w:ascii="Arial" w:hAnsi="Arial"/>
                <w:b w:val="0"/>
                <w:i w:val="0"/>
                <w:sz w:val="19"/>
                <w:rFonts w:ascii="Arial" w:hAnsi="Arial" w:eastAsia="SimSun"/>
              </w:rPr>
              <w:t>1,898 样本转录组 UMAP 流形三联色谱图</w:t>
            </w:r>
          </w:p>
        </w:tc>
      </w:tr>
      <w:tr>
        <w:tc>
          <w:tcPr>
            <w:tcW w:type="dxa" w:w="1587"/>
          </w:tcPr>
          <w:p>
            <w:pPr>
              <w:spacing w:before="50" w:after="50"/>
              <w:ind w:firstLine="0"/>
              <w:jc w:val="left"/>
            </w:pPr>
            <w:r>
              <w:rPr>
                <w:rFonts w:ascii="Arial" w:hAnsi="Arial"/>
                <w:b w:val="0"/>
                <w:i w:val="0"/>
                <w:sz w:val="19"/>
                <w:rFonts w:ascii="Arial" w:hAnsi="Arial" w:eastAsia="SimSun"/>
              </w:rPr>
              <w:t>Kla-DDR 残差图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outputs/20260929_assay_composition/models/Kla_DDR/figures/figure4_residual_diagnostics.png</w:t>
            </w:r>
          </w:p>
        </w:tc>
        <w:tc>
          <w:tcPr>
            <w:tcW w:type="dxa" w:w="2835"/>
          </w:tcPr>
          <w:p>
            <w:pPr>
              <w:spacing w:before="50" w:after="50"/>
              <w:ind w:firstLine="0"/>
              <w:jc w:val="center"/>
            </w:pPr>
            <w:r>
              <w:rPr>
                <w:rFonts w:ascii="Arial" w:hAnsi="Arial"/>
                <w:b w:val="0"/>
                <w:i w:val="0"/>
                <w:sz w:val="19"/>
                <w:rFonts w:ascii="Arial" w:hAnsi="Arial" w:eastAsia="SimSun"/>
              </w:rPr>
              <w:t>LOESS 平滑残差与误差密度分布图</w:t>
            </w:r>
          </w:p>
        </w:tc>
      </w:tr>
      <w:tr>
        <w:tc>
          <w:tcPr>
            <w:tcW w:type="dxa" w:w="1587"/>
          </w:tcPr>
          <w:p>
            <w:pPr>
              <w:spacing w:before="50" w:after="50"/>
              <w:ind w:firstLine="0"/>
              <w:jc w:val="left"/>
            </w:pPr>
            <w:r>
              <w:rPr>
                <w:rFonts w:ascii="Arial" w:hAnsi="Arial"/>
                <w:b w:val="0"/>
                <w:i w:val="0"/>
                <w:sz w:val="19"/>
                <w:rFonts w:ascii="Arial" w:hAnsi="Arial" w:eastAsia="SimSun"/>
              </w:rPr>
              <w:t>Kla-DDR 分层图</w:t>
            </w:r>
          </w:p>
        </w:tc>
        <w:tc>
          <w:tcPr>
            <w:tcW w:type="dxa" w:w="4649"/>
          </w:tcPr>
          <w:p>
            <w:pPr>
              <w:spacing w:before="50" w:after="50"/>
              <w:ind w:firstLine="0"/>
              <w:jc w:val="center"/>
            </w:pPr>
            <w:r>
              <w:rPr>
                <w:rFonts w:ascii="Arial" w:hAnsi="Arial"/>
                <w:b w:val="0"/>
                <w:i w:val="0"/>
                <w:sz w:val="19"/>
                <w:rFonts w:ascii="Arial" w:hAnsi="Arial" w:eastAsia="SimSun"/>
              </w:rPr>
              <w:t>outputs/20260929_assay_composition/models/Kla_DDR/figures/figure5_category_stratified.png</w:t>
            </w:r>
          </w:p>
        </w:tc>
        <w:tc>
          <w:tcPr>
            <w:tcW w:type="dxa" w:w="2835"/>
          </w:tcPr>
          <w:p>
            <w:pPr>
              <w:spacing w:before="50" w:after="50"/>
              <w:ind w:firstLine="0"/>
              <w:jc w:val="center"/>
            </w:pPr>
            <w:r>
              <w:rPr>
                <w:rFonts w:ascii="Arial" w:hAnsi="Arial"/>
                <w:b w:val="0"/>
                <w:i w:val="0"/>
                <w:sz w:val="19"/>
                <w:rFonts w:ascii="Arial" w:hAnsi="Arial" w:eastAsia="SimSun"/>
              </w:rPr>
              <w:t>四大生物分类分层散点图</w:t>
            </w:r>
          </w:p>
        </w:tc>
      </w:tr>
      <w:tr>
        <w:tc>
          <w:tcPr>
            <w:tcW w:type="dxa" w:w="1587"/>
          </w:tcPr>
          <w:p>
            <w:pPr>
              <w:spacing w:before="50" w:after="50"/>
              <w:ind w:firstLine="0"/>
              <w:jc w:val="left"/>
            </w:pPr>
            <w:r>
              <w:rPr>
                <w:rFonts w:ascii="Arial" w:hAnsi="Arial"/>
                <w:b w:val="0"/>
                <w:i w:val="0"/>
                <w:sz w:val="19"/>
                <w:rFonts w:ascii="Arial" w:hAnsi="Arial" w:eastAsia="SimSun"/>
              </w:rPr>
              <w:t>主报告文件</w:t>
            </w:r>
          </w:p>
        </w:tc>
        <w:tc>
          <w:tcPr>
            <w:tcW w:type="dxa" w:w="4649"/>
          </w:tcPr>
          <w:p>
            <w:pPr>
              <w:spacing w:before="50" w:after="50"/>
              <w:ind w:firstLine="0"/>
              <w:jc w:val="center"/>
            </w:pPr>
            <w:r>
              <w:rPr>
                <w:rFonts w:ascii="Arial" w:hAnsi="Arial"/>
                <w:b w:val="0"/>
                <w:i w:val="0"/>
                <w:sz w:val="19"/>
                <w:rFonts w:ascii="Arial" w:hAnsi="Arial" w:eastAsia="SimSun"/>
              </w:rPr>
              <w:t>reports/图1a口径四目标RNA预测模型及外部盲测实验报告_20260929.docx</w:t>
            </w:r>
          </w:p>
        </w:tc>
        <w:tc>
          <w:tcPr>
            <w:tcW w:type="dxa" w:w="2835"/>
          </w:tcPr>
          <w:p>
            <w:pPr>
              <w:spacing w:before="50" w:after="50"/>
              <w:ind w:firstLine="0"/>
              <w:jc w:val="center"/>
            </w:pPr>
            <w:r>
              <w:rPr>
                <w:rFonts w:ascii="Arial" w:hAnsi="Arial"/>
                <w:b w:val="0"/>
                <w:i w:val="0"/>
                <w:sz w:val="19"/>
                <w:rFonts w:ascii="Arial" w:hAnsi="Arial" w:eastAsia="SimSun"/>
              </w:rPr>
              <w:t>本项目的完整正式学术 Word 报告</w:t>
            </w:r>
          </w:p>
        </w:tc>
      </w:tr>
      <w:tr>
        <w:tc>
          <w:tcPr>
            <w:tcW w:type="dxa" w:w="1587"/>
          </w:tcPr>
          <w:p>
            <w:pPr>
              <w:spacing w:before="50" w:after="50"/>
              <w:ind w:firstLine="0"/>
              <w:jc w:val="left"/>
            </w:pPr>
            <w:r>
              <w:rPr>
                <w:rFonts w:ascii="Arial" w:hAnsi="Arial"/>
                <w:b w:val="0"/>
                <w:i w:val="0"/>
                <w:sz w:val="19"/>
                <w:rFonts w:ascii="Arial" w:hAnsi="Arial" w:eastAsia="SimSun"/>
              </w:rPr>
              <w:t>桌面同步副本</w:t>
            </w:r>
          </w:p>
        </w:tc>
        <w:tc>
          <w:tcPr>
            <w:tcW w:type="dxa" w:w="4649"/>
          </w:tcPr>
          <w:p>
            <w:pPr>
              <w:spacing w:before="50" w:after="50"/>
              <w:ind w:firstLine="0"/>
              <w:jc w:val="center"/>
            </w:pPr>
            <w:r>
              <w:rPr>
                <w:rFonts w:ascii="Arial" w:hAnsi="Arial"/>
                <w:b w:val="0"/>
                <w:i w:val="0"/>
                <w:sz w:val="19"/>
                <w:rFonts w:ascii="Arial" w:hAnsi="Arial" w:eastAsia="SimSun"/>
              </w:rPr>
              <w:t>/Users/gzy2520/Desktop/ML_图1a四目标_20260929.docx</w:t>
            </w:r>
          </w:p>
        </w:tc>
        <w:tc>
          <w:tcPr>
            <w:tcW w:type="dxa" w:w="2835"/>
          </w:tcPr>
          <w:p>
            <w:pPr>
              <w:spacing w:before="50" w:after="50"/>
              <w:ind w:firstLine="0"/>
              <w:jc w:val="center"/>
            </w:pPr>
            <w:r>
              <w:rPr>
                <w:rFonts w:ascii="Arial" w:hAnsi="Arial"/>
                <w:b w:val="0"/>
                <w:i w:val="0"/>
                <w:sz w:val="19"/>
                <w:rFonts w:ascii="Arial" w:hAnsi="Arial" w:eastAsia="SimSun"/>
              </w:rPr>
              <w:t>直接供审阅与交付的桌面端 Word 副本</w:t>
            </w:r>
          </w:p>
        </w:tc>
      </w:tr>
    </w:tbl>
    <w:p>
      <w:pPr>
        <w:spacing w:before="0" w:after="120"/>
      </w:pP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imSun" w:hAnsi="SimSun"/>
        <w:color w:val="646464"/>
        <w:sz w:val="18"/>
      </w:rPr>
      <w:t xml:space="preserve">第 </w:t>
    </w:r>
    <w:fldSimple w:instr="PAGE"/>
    <w:r>
      <w:rPr>
        <w:rFonts w:ascii="SimSun" w:hAnsi="SimSun"/>
        <w:color w:val="646464"/>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imSun" w:hAnsi="SimSun"/>
        <w:color w:val="808080"/>
        <w:sz w:val="17"/>
      </w:rPr>
      <w:t>人类乳酸化修饰组学与 DDR 机制分析 · 实验研究报告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