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line="288" w:lineRule="auto"/>
        <w:jc w:val="center"/>
      </w:pPr>
      <w:r>
        <w:rPr>
          <w:rFonts w:ascii="Arial" w:hAnsi="Arial"/>
          <w:b/>
          <w:i w:val="0"/>
          <w:color w:val="1E2D46"/>
          <w:sz w:val="32"/>
          <w:rFonts w:ascii="Arial" w:hAnsi="Arial" w:eastAsia="SimHei"/>
        </w:rPr>
        <w:t>全转录组 RNA 预测 DDR 与 DNA 修复蛋白乳酸化检出占比模型及外部验证实验报告</w:t>
      </w:r>
    </w:p>
    <w:p>
      <w:pPr>
        <w:spacing w:before="0" w:after="280"/>
        <w:jc w:val="center"/>
      </w:pPr>
      <w:r>
        <w:rPr>
          <w:rFonts w:ascii="Arial" w:hAnsi="Arial"/>
          <w:b w:val="0"/>
          <w:i w:val="0"/>
          <w:color w:val="646464"/>
          <w:sz w:val="21"/>
          <w:rFonts w:ascii="Arial" w:hAnsi="Arial" w:eastAsia="SimSun"/>
        </w:rPr>
        <w:t>预测目标纠偏、全基因建模重跑与首轮真实外部盲测评估</w:t>
      </w:r>
    </w:p>
    <w:tbl>
      <w:tblPr>
        <w:tblW w:type="auto" w:w="0"/>
        <w:jc w:val="center"/>
        <w:tblBorders>
          <w:top w:val="single" w:sz="4" w:space="0" w:color="CCCCCC"/>
          <w:left w:val="none"/>
          <w:bottom w:val="single" w:sz="4" w:space="0" w:color="CCCCCC"/>
          <w:right w:val="none"/>
          <w:insideH w:val="none"/>
          <w:insideV w:val="none"/>
        </w:tblBorders>
        <w:tblLook w:firstColumn="1" w:firstRow="1" w:lastColumn="0" w:lastRow="0" w:noHBand="0" w:noVBand="1" w:val="04A0"/>
      </w:tblPr>
      <w:tblGrid>
        <w:gridCol w:w="4536"/>
        <w:gridCol w:w="4536"/>
      </w:tblGrid>
      <w:tr>
        <w:tc>
          <w:tcPr>
            <w:tcW w:type="dxa" w:w="1928"/>
          </w:tcPr>
          <w:p>
            <w:pPr>
              <w:spacing w:before="40" w:after="40"/>
              <w:jc w:val="right"/>
            </w:pPr>
            <w:r>
              <w:rPr>
                <w:rFonts w:ascii="Arial" w:hAnsi="Arial"/>
                <w:b/>
                <w:i w:val="0"/>
                <w:color w:val="505050"/>
                <w:sz w:val="19"/>
                <w:rFonts w:ascii="Arial" w:hAnsi="Arial" w:eastAsia="SimHei"/>
              </w:rPr>
              <w:t>项目课题：</w:t>
            </w:r>
          </w:p>
        </w:tc>
        <w:tc>
          <w:tcPr>
            <w:tcW w:type="dxa" w:w="7143"/>
          </w:tcPr>
          <w:p>
            <w:pPr>
              <w:spacing w:before="40" w:after="40"/>
              <w:jc w:val="left"/>
            </w:pPr>
            <w:r>
              <w:rPr>
                <w:rFonts w:ascii="Arial" w:hAnsi="Arial"/>
                <w:b w:val="0"/>
                <w:i w:val="0"/>
                <w:color w:val="323232"/>
                <w:sz w:val="19"/>
                <w:rFonts w:ascii="Arial" w:hAnsi="Arial" w:eastAsia="SimSun"/>
              </w:rPr>
              <w:t>人类乳酸化修饰组学与 DDR 机制交互分析</w:t>
            </w:r>
          </w:p>
        </w:tc>
      </w:tr>
      <w:tr>
        <w:tc>
          <w:tcPr>
            <w:tcW w:type="dxa" w:w="1928"/>
          </w:tcPr>
          <w:p>
            <w:pPr>
              <w:spacing w:before="40" w:after="40"/>
              <w:jc w:val="right"/>
            </w:pPr>
            <w:r>
              <w:rPr>
                <w:rFonts w:ascii="Arial" w:hAnsi="Arial"/>
                <w:b/>
                <w:i w:val="0"/>
                <w:color w:val="505050"/>
                <w:sz w:val="19"/>
                <w:rFonts w:ascii="Arial" w:hAnsi="Arial" w:eastAsia="SimHei"/>
              </w:rPr>
              <w:t>最新预测目标：</w:t>
            </w:r>
          </w:p>
        </w:tc>
        <w:tc>
          <w:tcPr>
            <w:tcW w:type="dxa" w:w="7143"/>
          </w:tcPr>
          <w:p>
            <w:pPr>
              <w:spacing w:before="40" w:after="40"/>
              <w:jc w:val="left"/>
            </w:pPr>
            <w:r>
              <w:rPr>
                <w:rFonts w:ascii="Arial" w:hAnsi="Arial"/>
                <w:b w:val="0"/>
                <w:i w:val="0"/>
                <w:color w:val="323232"/>
                <w:sz w:val="19"/>
                <w:rFonts w:ascii="Arial" w:hAnsi="Arial" w:eastAsia="SimSun"/>
              </w:rPr>
              <w:t>① Kla-DDR / DDR 检出占比；② Kla-DNA repair / DNA repair 检出占比</w:t>
            </w:r>
          </w:p>
        </w:tc>
      </w:tr>
      <w:tr>
        <w:tc>
          <w:tcPr>
            <w:tcW w:type="dxa" w:w="1928"/>
          </w:tcPr>
          <w:p>
            <w:pPr>
              <w:spacing w:before="40" w:after="40"/>
              <w:jc w:val="right"/>
            </w:pPr>
            <w:r>
              <w:rPr>
                <w:rFonts w:ascii="Arial" w:hAnsi="Arial"/>
                <w:b/>
                <w:i w:val="0"/>
                <w:color w:val="505050"/>
                <w:sz w:val="19"/>
                <w:rFonts w:ascii="Arial" w:hAnsi="Arial" w:eastAsia="SimHei"/>
              </w:rPr>
              <w:t>特征输入：</w:t>
            </w:r>
          </w:p>
        </w:tc>
        <w:tc>
          <w:tcPr>
            <w:tcW w:type="dxa" w:w="7143"/>
          </w:tcPr>
          <w:p>
            <w:pPr>
              <w:spacing w:before="40" w:after="40"/>
              <w:jc w:val="left"/>
            </w:pPr>
            <w:r>
              <w:rPr>
                <w:rFonts w:ascii="Arial" w:hAnsi="Arial"/>
                <w:b w:val="0"/>
                <w:i w:val="0"/>
                <w:color w:val="323232"/>
                <w:sz w:val="19"/>
                <w:rFonts w:ascii="Arial" w:hAnsi="Arial" w:eastAsia="SimSun"/>
              </w:rPr>
              <w:t>全转录组 18,332 个共有 Ensembl 稳定基因 (log2(TPM + 0.5) 尺度，无人工特征裁剪)</w:t>
            </w:r>
          </w:p>
        </w:tc>
      </w:tr>
      <w:tr>
        <w:tc>
          <w:tcPr>
            <w:tcW w:type="dxa" w:w="1928"/>
          </w:tcPr>
          <w:p>
            <w:pPr>
              <w:spacing w:before="40" w:after="40"/>
              <w:jc w:val="right"/>
            </w:pPr>
            <w:r>
              <w:rPr>
                <w:rFonts w:ascii="Arial" w:hAnsi="Arial"/>
                <w:b/>
                <w:i w:val="0"/>
                <w:color w:val="505050"/>
                <w:sz w:val="19"/>
                <w:rFonts w:ascii="Arial" w:hAnsi="Arial" w:eastAsia="SimHei"/>
              </w:rPr>
              <w:t>训练/内部验证：</w:t>
            </w:r>
          </w:p>
        </w:tc>
        <w:tc>
          <w:tcPr>
            <w:tcW w:type="dxa" w:w="7143"/>
          </w:tcPr>
          <w:p>
            <w:pPr>
              <w:spacing w:before="40" w:after="40"/>
              <w:jc w:val="left"/>
            </w:pPr>
            <w:r>
              <w:rPr>
                <w:rFonts w:ascii="Arial" w:hAnsi="Arial"/>
                <w:b w:val="0"/>
                <w:i w:val="0"/>
                <w:color w:val="323232"/>
                <w:sz w:val="19"/>
                <w:rFonts w:ascii="Arial" w:hAnsi="Arial" w:eastAsia="SimSun"/>
              </w:rPr>
              <w:t>1,898 条 RNA 样本记录 (1,524 训练 / 374 内部留出，供者感知隔离，种子 25)</w:t>
            </w:r>
          </w:p>
        </w:tc>
      </w:tr>
      <w:tr>
        <w:tc>
          <w:tcPr>
            <w:tcW w:type="dxa" w:w="1928"/>
          </w:tcPr>
          <w:p>
            <w:pPr>
              <w:spacing w:before="40" w:after="40"/>
              <w:jc w:val="right"/>
            </w:pPr>
            <w:r>
              <w:rPr>
                <w:rFonts w:ascii="Arial" w:hAnsi="Arial"/>
                <w:b/>
                <w:i w:val="0"/>
                <w:color w:val="505050"/>
                <w:sz w:val="19"/>
                <w:rFonts w:ascii="Arial" w:hAnsi="Arial" w:eastAsia="SimHei"/>
              </w:rPr>
              <w:t>外部盲测队列：</w:t>
            </w:r>
          </w:p>
        </w:tc>
        <w:tc>
          <w:tcPr>
            <w:tcW w:type="dxa" w:w="7143"/>
          </w:tcPr>
          <w:p>
            <w:pPr>
              <w:spacing w:before="40" w:after="40"/>
              <w:jc w:val="left"/>
            </w:pPr>
            <w:r>
              <w:rPr>
                <w:rFonts w:ascii="Arial" w:hAnsi="Arial"/>
                <w:b w:val="0"/>
                <w:i w:val="0"/>
                <w:color w:val="323232"/>
                <w:sz w:val="19"/>
                <w:rFonts w:ascii="Arial" w:hAnsi="Arial" w:eastAsia="SimSun"/>
              </w:rPr>
              <w:t>质谱: PXD063945 (华山医院 2026 年新发 ESCC 蛋白组/乳酸化组)；RNA: GSE130078 (韩国 YSH 队列 46 例组织 RNA)</w:t>
            </w:r>
          </w:p>
        </w:tc>
      </w:tr>
      <w:tr>
        <w:tc>
          <w:tcPr>
            <w:tcW w:type="dxa" w:w="1928"/>
          </w:tcPr>
          <w:p>
            <w:pPr>
              <w:spacing w:before="40" w:after="40"/>
              <w:jc w:val="right"/>
            </w:pPr>
            <w:r>
              <w:rPr>
                <w:rFonts w:ascii="Arial" w:hAnsi="Arial"/>
                <w:b/>
                <w:i w:val="0"/>
                <w:color w:val="505050"/>
                <w:sz w:val="19"/>
                <w:rFonts w:ascii="Arial" w:hAnsi="Arial" w:eastAsia="SimHei"/>
              </w:rPr>
              <w:t>报告日期：</w:t>
            </w:r>
          </w:p>
        </w:tc>
        <w:tc>
          <w:tcPr>
            <w:tcW w:type="dxa" w:w="7143"/>
          </w:tcPr>
          <w:p>
            <w:pPr>
              <w:spacing w:before="40" w:after="40"/>
              <w:jc w:val="left"/>
            </w:pPr>
            <w:r>
              <w:rPr>
                <w:rFonts w:ascii="Arial" w:hAnsi="Arial"/>
                <w:b w:val="0"/>
                <w:i w:val="0"/>
                <w:color w:val="323232"/>
                <w:sz w:val="19"/>
                <w:rFonts w:ascii="Arial" w:hAnsi="Arial" w:eastAsia="SimSun"/>
              </w:rPr>
              <w:t>2026 年 9 月 28 日</w:t>
            </w:r>
          </w:p>
        </w:tc>
      </w:tr>
    </w:tbl>
    <w:p>
      <w:pPr>
        <w:spacing w:before="0" w:after="160"/>
      </w:pPr>
    </w:p>
    <w:p>
      <w:pPr>
        <w:keepNext/>
        <w:spacing w:before="280" w:after="120"/>
      </w:pPr>
      <w:r>
        <w:rPr>
          <w:rFonts w:ascii="Arial" w:hAnsi="Arial"/>
          <w:b/>
          <w:i w:val="0"/>
          <w:color w:val="1F4E79"/>
          <w:sz w:val="27"/>
          <w:rFonts w:ascii="Arial" w:hAnsi="Arial" w:eastAsia="SimHei"/>
        </w:rPr>
        <w:t>一、核心成果与测试摘要 (Executive Summary)</w:t>
      </w:r>
    </w:p>
    <w:p>
      <w:pPr>
        <w:spacing w:line="300" w:lineRule="auto" w:before="0" w:after="60"/>
        <w:ind w:firstLine="420"/>
      </w:pPr>
      <w:r>
        <w:rPr>
          <w:rFonts w:ascii="Arial" w:hAnsi="Arial"/>
          <w:b w:val="0"/>
          <w:i w:val="0"/>
          <w:sz w:val="22"/>
          <w:rFonts w:ascii="Arial" w:hAnsi="Arial" w:eastAsia="SimSun"/>
        </w:rPr>
        <w:t>根据导师针对‘乳酸化预测目标需聚焦于 DNA 损伤应答（DDR）与 DNA 修复通路’的指导意见，本轮工作对预测目标进行了彻底纠偏：将此前的‘全蛋白质组中 Kla 检出比例’替换为以通路特异性蛋白集合为分母的两个新目标：① Kla-DDR / DDR 蛋白占比；② Kla-DNA repair / DNA repair 蛋白占比。输入特征依然采用全转录组各来源共有的全部 18,332 个 Ensembl 稳定基因。</w:t>
      </w:r>
    </w:p>
    <w:p>
      <w:pPr>
        <w:spacing w:line="300" w:lineRule="auto" w:before="0" w:after="60"/>
        <w:ind w:firstLine="420"/>
      </w:pPr>
      <w:r>
        <w:rPr>
          <w:rFonts w:ascii="Arial" w:hAnsi="Arial"/>
          <w:b w:val="0"/>
          <w:i w:val="0"/>
          <w:sz w:val="22"/>
          <w:rFonts w:ascii="Arial" w:hAnsi="Arial" w:eastAsia="SimSun"/>
        </w:rPr>
        <w:t>与此同时，响应导师‘寻找新上传数据测试’的指示，我们检索了 PRIDE 与 PubMed，成功获取并解析了 2026 年新公开的华山医院食管鳞癌（ESCC）普通蛋白组与乳酸化组数据（PXD063945 / PMC13195773），并从 GEO 检索到韩国 YSH 队列 46 例独立食管鳞癌及配对癌旁全转录组 RNA 样本（GSE130078），完成了模型完全冻结前提下的首轮真实外部盲测。</w:t>
      </w:r>
    </w:p>
    <w:p>
      <w:pPr>
        <w:spacing w:line="300" w:lineRule="auto" w:before="0" w:after="60"/>
        <w:ind w:firstLine="420"/>
      </w:pPr>
      <w:r>
        <w:rPr>
          <w:rFonts w:ascii="Arial" w:hAnsi="Arial"/>
          <w:b/>
          <w:i w:val="0"/>
          <w:sz w:val="22"/>
          <w:rFonts w:ascii="Arial" w:hAnsi="Arial" w:eastAsia="SimSun"/>
        </w:rPr>
        <w:t>核心指标总览：</w:t>
      </w:r>
      <w:r>
        <w:rPr>
          <w:rFonts w:ascii="Arial" w:hAnsi="Arial"/>
          <w:b w:val="0"/>
          <w:i w:val="0"/>
          <w:sz w:val="22"/>
          <w:rFonts w:ascii="Arial" w:hAnsi="Arial" w:eastAsia="SimSun"/>
        </w:rPr>
        <w:t>关键实验数据汇总如下表 1 所示：</w:t>
      </w:r>
    </w:p>
    <w:p>
      <w:pPr>
        <w:keepNext/>
        <w:spacing w:before="120" w:after="80"/>
        <w:ind w:firstLine="0"/>
        <w:jc w:val="center"/>
      </w:pPr>
      <w:r>
        <w:rPr>
          <w:rFonts w:ascii="Arial" w:hAnsi="Arial"/>
          <w:b/>
          <w:i w:val="0"/>
          <w:color w:val="3C3C3C"/>
          <w:sz w:val="20"/>
          <w:rFonts w:ascii="Arial" w:hAnsi="Arial" w:eastAsia="SimSun"/>
        </w:rPr>
        <w:t>表 1 DDR 与 DNA repair 预测模型在内部留出、来源留出及外部新盲测下的全景性能对比表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296"/>
        <w:gridCol w:w="1296"/>
        <w:gridCol w:w="1296"/>
        <w:gridCol w:w="1296"/>
        <w:gridCol w:w="1296"/>
        <w:gridCol w:w="1296"/>
        <w:gridCol w:w="1296"/>
      </w:tblGrid>
      <w:tr>
        <w:trPr>
          <w:tblHeader/>
        </w:trPr>
        <w:tc>
          <w:tcPr>
            <w:tcW w:type="dxa" w:w="2041"/>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预测目标</w:t>
            </w:r>
          </w:p>
        </w:tc>
        <w:tc>
          <w:tcPr>
            <w:tcW w:type="dxa" w:w="2835"/>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评估方案与数据来源</w:t>
            </w:r>
          </w:p>
        </w:tc>
        <w:tc>
          <w:tcPr>
            <w:tcW w:type="dxa" w:w="90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样本量 (n)</w:t>
            </w:r>
          </w:p>
        </w:tc>
        <w:tc>
          <w:tcPr>
            <w:tcW w:type="dxa" w:w="73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材料数</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MAE (pp)</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R²</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±5 pp 命中率</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训练子集重测 (Training split)</w:t>
            </w:r>
          </w:p>
        </w:tc>
        <w:tc>
          <w:tcPr>
            <w:tcW w:type="dxa" w:w="907"/>
          </w:tcPr>
          <w:p>
            <w:pPr>
              <w:spacing w:before="50" w:after="50"/>
              <w:ind w:firstLine="0"/>
              <w:jc w:val="center"/>
            </w:pPr>
            <w:r>
              <w:rPr>
                <w:rFonts w:ascii="Arial" w:hAnsi="Arial"/>
                <w:b w:val="0"/>
                <w:i w:val="0"/>
                <w:sz w:val="19"/>
                <w:rFonts w:ascii="Arial" w:hAnsi="Arial" w:eastAsia="SimSun"/>
              </w:rPr>
              <w:t>1,524</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0.77</w:t>
            </w:r>
          </w:p>
        </w:tc>
        <w:tc>
          <w:tcPr>
            <w:tcW w:type="dxa" w:w="850"/>
          </w:tcPr>
          <w:p>
            <w:pPr>
              <w:spacing w:before="50" w:after="50"/>
              <w:ind w:firstLine="0"/>
              <w:jc w:val="center"/>
            </w:pPr>
            <w:r>
              <w:rPr>
                <w:rFonts w:ascii="Arial" w:hAnsi="Arial"/>
                <w:b w:val="0"/>
                <w:i w:val="0"/>
                <w:sz w:val="19"/>
                <w:rFonts w:ascii="Arial" w:hAnsi="Arial" w:eastAsia="SimSun"/>
              </w:rPr>
              <w:t>0.993</w:t>
            </w:r>
          </w:p>
        </w:tc>
        <w:tc>
          <w:tcPr>
            <w:tcW w:type="dxa" w:w="850"/>
          </w:tcPr>
          <w:p>
            <w:pPr>
              <w:spacing w:before="50" w:after="50"/>
              <w:ind w:firstLine="0"/>
              <w:jc w:val="center"/>
            </w:pPr>
            <w:r>
              <w:rPr>
                <w:rFonts w:ascii="Arial" w:hAnsi="Arial"/>
                <w:b w:val="0"/>
                <w:i w:val="0"/>
                <w:sz w:val="19"/>
                <w:rFonts w:ascii="Arial" w:hAnsi="Arial" w:eastAsia="SimSun"/>
              </w:rPr>
              <w:t>99.3%</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内部盲测 (Within-material test, 逐记录)</w:t>
            </w:r>
          </w:p>
        </w:tc>
        <w:tc>
          <w:tcPr>
            <w:tcW w:type="dxa" w:w="907"/>
          </w:tcPr>
          <w:p>
            <w:pPr>
              <w:spacing w:before="50" w:after="50"/>
              <w:ind w:firstLine="0"/>
              <w:jc w:val="center"/>
            </w:pPr>
            <w:r>
              <w:rPr>
                <w:rFonts w:ascii="Arial" w:hAnsi="Arial"/>
                <w:b w:val="0"/>
                <w:i w:val="0"/>
                <w:sz w:val="19"/>
                <w:rFonts w:ascii="Arial" w:hAnsi="Arial" w:eastAsia="SimSun"/>
              </w:rPr>
              <w:t>374</w:t>
            </w:r>
          </w:p>
        </w:tc>
        <w:tc>
          <w:tcPr>
            <w:tcW w:type="dxa" w:w="737"/>
          </w:tcPr>
          <w:p>
            <w:pPr>
              <w:spacing w:before="50" w:after="50"/>
              <w:ind w:firstLine="0"/>
              <w:jc w:val="center"/>
            </w:pPr>
            <w:r>
              <w:rPr>
                <w:rFonts w:ascii="Arial" w:hAnsi="Arial"/>
                <w:b w:val="0"/>
                <w:i w:val="0"/>
                <w:sz w:val="19"/>
                <w:rFonts w:ascii="Arial" w:hAnsi="Arial" w:eastAsia="SimSun"/>
              </w:rPr>
              <w:t>19</w:t>
            </w:r>
          </w:p>
        </w:tc>
        <w:tc>
          <w:tcPr>
            <w:tcW w:type="dxa" w:w="850"/>
          </w:tcPr>
          <w:p>
            <w:pPr>
              <w:spacing w:before="50" w:after="50"/>
              <w:ind w:firstLine="0"/>
              <w:jc w:val="center"/>
            </w:pPr>
            <w:r>
              <w:rPr>
                <w:rFonts w:ascii="Arial" w:hAnsi="Arial"/>
                <w:b w:val="0"/>
                <w:i w:val="0"/>
                <w:sz w:val="19"/>
                <w:rFonts w:ascii="Arial" w:hAnsi="Arial" w:eastAsia="SimSun"/>
              </w:rPr>
              <w:t>1.27</w:t>
            </w:r>
          </w:p>
        </w:tc>
        <w:tc>
          <w:tcPr>
            <w:tcW w:type="dxa" w:w="850"/>
          </w:tcPr>
          <w:p>
            <w:pPr>
              <w:spacing w:before="50" w:after="50"/>
              <w:ind w:firstLine="0"/>
              <w:jc w:val="center"/>
            </w:pPr>
            <w:r>
              <w:rPr>
                <w:rFonts w:ascii="Arial" w:hAnsi="Arial"/>
                <w:b w:val="0"/>
                <w:i w:val="0"/>
                <w:sz w:val="19"/>
                <w:rFonts w:ascii="Arial" w:hAnsi="Arial" w:eastAsia="SimSun"/>
              </w:rPr>
              <w:t>0.982</w:t>
            </w:r>
          </w:p>
        </w:tc>
        <w:tc>
          <w:tcPr>
            <w:tcW w:type="dxa" w:w="850"/>
          </w:tcPr>
          <w:p>
            <w:pPr>
              <w:spacing w:before="50" w:after="50"/>
              <w:ind w:firstLine="0"/>
              <w:jc w:val="center"/>
            </w:pPr>
            <w:r>
              <w:rPr>
                <w:rFonts w:ascii="Arial" w:hAnsi="Arial"/>
                <w:b w:val="0"/>
                <w:i w:val="0"/>
                <w:sz w:val="19"/>
                <w:rFonts w:ascii="Arial" w:hAnsi="Arial" w:eastAsia="SimSun"/>
              </w:rPr>
              <w:t>96.8%</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内部盲测 (Within-material test, 材料等权)</w:t>
            </w:r>
          </w:p>
        </w:tc>
        <w:tc>
          <w:tcPr>
            <w:tcW w:type="dxa" w:w="907"/>
          </w:tcPr>
          <w:p>
            <w:pPr>
              <w:spacing w:before="50" w:after="50"/>
              <w:ind w:firstLine="0"/>
              <w:jc w:val="center"/>
            </w:pPr>
            <w:r>
              <w:rPr>
                <w:rFonts w:ascii="Arial" w:hAnsi="Arial"/>
                <w:b w:val="0"/>
                <w:i w:val="0"/>
                <w:sz w:val="19"/>
                <w:rFonts w:ascii="Arial" w:hAnsi="Arial" w:eastAsia="SimSun"/>
              </w:rPr>
              <w:t>374</w:t>
            </w:r>
          </w:p>
        </w:tc>
        <w:tc>
          <w:tcPr>
            <w:tcW w:type="dxa" w:w="737"/>
          </w:tcPr>
          <w:p>
            <w:pPr>
              <w:spacing w:before="50" w:after="50"/>
              <w:ind w:firstLine="0"/>
              <w:jc w:val="center"/>
            </w:pPr>
            <w:r>
              <w:rPr>
                <w:rFonts w:ascii="Arial" w:hAnsi="Arial"/>
                <w:b w:val="0"/>
                <w:i w:val="0"/>
                <w:sz w:val="19"/>
                <w:rFonts w:ascii="Arial" w:hAnsi="Arial" w:eastAsia="SimSun"/>
              </w:rPr>
              <w:t>19</w:t>
            </w:r>
          </w:p>
        </w:tc>
        <w:tc>
          <w:tcPr>
            <w:tcW w:type="dxa" w:w="850"/>
          </w:tcPr>
          <w:p>
            <w:pPr>
              <w:spacing w:before="50" w:after="50"/>
              <w:ind w:firstLine="0"/>
              <w:jc w:val="center"/>
            </w:pPr>
            <w:r>
              <w:rPr>
                <w:rFonts w:ascii="Arial" w:hAnsi="Arial"/>
                <w:b w:val="0"/>
                <w:i w:val="0"/>
                <w:sz w:val="19"/>
                <w:rFonts w:ascii="Arial" w:hAnsi="Arial" w:eastAsia="SimSun"/>
              </w:rPr>
              <w:t>2.46</w:t>
            </w:r>
          </w:p>
        </w:tc>
        <w:tc>
          <w:tcPr>
            <w:tcW w:type="dxa" w:w="850"/>
          </w:tcPr>
          <w:p>
            <w:pPr>
              <w:spacing w:before="50" w:after="50"/>
              <w:ind w:firstLine="0"/>
              <w:jc w:val="center"/>
            </w:pPr>
            <w:r>
              <w:rPr>
                <w:rFonts w:ascii="Arial" w:hAnsi="Arial"/>
                <w:b w:val="0"/>
                <w:i w:val="0"/>
                <w:sz w:val="19"/>
                <w:rFonts w:ascii="Arial" w:hAnsi="Arial" w:eastAsia="SimSun"/>
              </w:rPr>
              <w:t>0.950</w:t>
            </w:r>
          </w:p>
        </w:tc>
        <w:tc>
          <w:tcPr>
            <w:tcW w:type="dxa" w:w="850"/>
          </w:tcPr>
          <w:p>
            <w:pPr>
              <w:spacing w:before="50" w:after="50"/>
              <w:ind w:firstLine="0"/>
              <w:jc w:val="center"/>
            </w:pPr>
            <w:r>
              <w:rPr>
                <w:rFonts w:ascii="Arial" w:hAnsi="Arial"/>
                <w:b w:val="0"/>
                <w:i w:val="0"/>
                <w:sz w:val="19"/>
                <w:rFonts w:ascii="Arial" w:hAnsi="Arial" w:eastAsia="SimSun"/>
              </w:rPr>
              <w:t>84.4%</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整来源留出 (14-fold Source held-out, 逐记录)</w:t>
            </w:r>
          </w:p>
        </w:tc>
        <w:tc>
          <w:tcPr>
            <w:tcW w:type="dxa" w:w="907"/>
          </w:tcPr>
          <w:p>
            <w:pPr>
              <w:spacing w:before="50" w:after="50"/>
              <w:ind w:firstLine="0"/>
              <w:jc w:val="center"/>
            </w:pPr>
            <w:r>
              <w:rPr>
                <w:rFonts w:ascii="Arial" w:hAnsi="Arial"/>
                <w:b w:val="0"/>
                <w:i w:val="0"/>
                <w:sz w:val="19"/>
                <w:rFonts w:ascii="Arial" w:hAnsi="Arial" w:eastAsia="SimSun"/>
              </w:rPr>
              <w:t>1,898</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15.41</w:t>
            </w:r>
          </w:p>
        </w:tc>
        <w:tc>
          <w:tcPr>
            <w:tcW w:type="dxa" w:w="850"/>
          </w:tcPr>
          <w:p>
            <w:pPr>
              <w:spacing w:before="50" w:after="50"/>
              <w:ind w:firstLine="0"/>
              <w:jc w:val="center"/>
            </w:pPr>
            <w:r>
              <w:rPr>
                <w:rFonts w:ascii="Arial" w:hAnsi="Arial"/>
                <w:b w:val="0"/>
                <w:i w:val="0"/>
                <w:sz w:val="19"/>
                <w:rFonts w:ascii="Arial" w:hAnsi="Arial" w:eastAsia="SimSun"/>
              </w:rPr>
              <w:t>-0.508</w:t>
            </w:r>
          </w:p>
        </w:tc>
        <w:tc>
          <w:tcPr>
            <w:tcW w:type="dxa" w:w="850"/>
          </w:tcPr>
          <w:p>
            <w:pPr>
              <w:spacing w:before="50" w:after="50"/>
              <w:ind w:firstLine="0"/>
              <w:jc w:val="center"/>
            </w:pPr>
            <w:r>
              <w:rPr>
                <w:rFonts w:ascii="Arial" w:hAnsi="Arial"/>
                <w:b w:val="0"/>
                <w:i w:val="0"/>
                <w:sz w:val="19"/>
                <w:rFonts w:ascii="Arial" w:hAnsi="Arial" w:eastAsia="SimSun"/>
              </w:rPr>
              <w:t>1.3%</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整来源留出 (14-fold Source held-out, 材料等权)</w:t>
            </w:r>
          </w:p>
        </w:tc>
        <w:tc>
          <w:tcPr>
            <w:tcW w:type="dxa" w:w="907"/>
          </w:tcPr>
          <w:p>
            <w:pPr>
              <w:spacing w:before="50" w:after="50"/>
              <w:ind w:firstLine="0"/>
              <w:jc w:val="center"/>
            </w:pPr>
            <w:r>
              <w:rPr>
                <w:rFonts w:ascii="Arial" w:hAnsi="Arial"/>
                <w:b w:val="0"/>
                <w:i w:val="0"/>
                <w:sz w:val="19"/>
                <w:rFonts w:ascii="Arial" w:hAnsi="Arial" w:eastAsia="SimSun"/>
              </w:rPr>
              <w:t>1,898</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13.62</w:t>
            </w:r>
          </w:p>
        </w:tc>
        <w:tc>
          <w:tcPr>
            <w:tcW w:type="dxa" w:w="850"/>
          </w:tcPr>
          <w:p>
            <w:pPr>
              <w:spacing w:before="50" w:after="50"/>
              <w:ind w:firstLine="0"/>
              <w:jc w:val="center"/>
            </w:pPr>
            <w:r>
              <w:rPr>
                <w:rFonts w:ascii="Arial" w:hAnsi="Arial"/>
                <w:b w:val="0"/>
                <w:i w:val="0"/>
                <w:sz w:val="19"/>
                <w:rFonts w:ascii="Arial" w:hAnsi="Arial" w:eastAsia="SimSun"/>
              </w:rPr>
              <w:t>-0.090</w:t>
            </w:r>
          </w:p>
        </w:tc>
        <w:tc>
          <w:tcPr>
            <w:tcW w:type="dxa" w:w="850"/>
          </w:tcPr>
          <w:p>
            <w:pPr>
              <w:spacing w:before="50" w:after="50"/>
              <w:ind w:firstLine="0"/>
              <w:jc w:val="center"/>
            </w:pPr>
            <w:r>
              <w:rPr>
                <w:rFonts w:ascii="Arial" w:hAnsi="Arial"/>
                <w:b w:val="0"/>
                <w:i w:val="0"/>
                <w:sz w:val="19"/>
                <w:rFonts w:ascii="Arial" w:hAnsi="Arial" w:eastAsia="SimSun"/>
              </w:rPr>
              <w:t>14.6%</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外部新盲测 (GSE130078 肿瘤 vs PXD063945)</w:t>
            </w:r>
          </w:p>
        </w:tc>
        <w:tc>
          <w:tcPr>
            <w:tcW w:type="dxa" w:w="907"/>
          </w:tcPr>
          <w:p>
            <w:pPr>
              <w:spacing w:before="50" w:after="50"/>
              <w:ind w:firstLine="0"/>
              <w:jc w:val="center"/>
            </w:pPr>
            <w:r>
              <w:rPr>
                <w:rFonts w:ascii="Arial" w:hAnsi="Arial"/>
                <w:b w:val="0"/>
                <w:i w:val="0"/>
                <w:sz w:val="19"/>
                <w:rFonts w:ascii="Arial" w:hAnsi="Arial" w:eastAsia="SimSun"/>
              </w:rPr>
              <w:t>23</w:t>
            </w:r>
          </w:p>
        </w:tc>
        <w:tc>
          <w:tcPr>
            <w:tcW w:type="dxa" w:w="737"/>
          </w:tcPr>
          <w:p>
            <w:pPr>
              <w:spacing w:before="50" w:after="50"/>
              <w:ind w:firstLine="0"/>
              <w:jc w:val="center"/>
            </w:pPr>
            <w:r>
              <w:rPr>
                <w:rFonts w:ascii="Arial" w:hAnsi="Arial"/>
                <w:b w:val="0"/>
                <w:i w:val="0"/>
                <w:sz w:val="19"/>
                <w:rFonts w:ascii="Arial" w:hAnsi="Arial" w:eastAsia="SimSun"/>
              </w:rPr>
              <w:t>1</w:t>
            </w:r>
          </w:p>
        </w:tc>
        <w:tc>
          <w:tcPr>
            <w:tcW w:type="dxa" w:w="850"/>
          </w:tcPr>
          <w:p>
            <w:pPr>
              <w:spacing w:before="50" w:after="50"/>
              <w:ind w:firstLine="0"/>
              <w:jc w:val="center"/>
            </w:pPr>
            <w:r>
              <w:rPr>
                <w:rFonts w:ascii="Arial" w:hAnsi="Arial"/>
                <w:b w:val="0"/>
                <w:i w:val="0"/>
                <w:sz w:val="19"/>
                <w:rFonts w:ascii="Arial" w:hAnsi="Arial" w:eastAsia="SimSun"/>
              </w:rPr>
              <w:t>9.07</w:t>
            </w:r>
          </w:p>
        </w:tc>
        <w:tc>
          <w:tcPr>
            <w:tcW w:type="dxa" w:w="850"/>
          </w:tcPr>
          <w:p>
            <w:pPr>
              <w:spacing w:before="50" w:after="50"/>
              <w:ind w:firstLine="0"/>
              <w:jc w:val="center"/>
            </w:pPr>
            <w:r>
              <w:rPr>
                <w:rFonts w:ascii="Arial" w:hAnsi="Arial"/>
                <w:b w:val="0"/>
                <w:i w:val="0"/>
                <w:sz w:val="19"/>
                <w:rFonts w:ascii="Arial" w:hAnsi="Arial" w:eastAsia="SimSun"/>
              </w:rPr>
              <w:t>-</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外部新盲测 (GSE130078 癌旁 vs PXD063945)</w:t>
            </w:r>
          </w:p>
        </w:tc>
        <w:tc>
          <w:tcPr>
            <w:tcW w:type="dxa" w:w="907"/>
          </w:tcPr>
          <w:p>
            <w:pPr>
              <w:spacing w:before="50" w:after="50"/>
              <w:ind w:firstLine="0"/>
              <w:jc w:val="center"/>
            </w:pPr>
            <w:r>
              <w:rPr>
                <w:rFonts w:ascii="Arial" w:hAnsi="Arial"/>
                <w:b w:val="0"/>
                <w:i w:val="0"/>
                <w:sz w:val="19"/>
                <w:rFonts w:ascii="Arial" w:hAnsi="Arial" w:eastAsia="SimSun"/>
              </w:rPr>
              <w:t>23</w:t>
            </w:r>
          </w:p>
        </w:tc>
        <w:tc>
          <w:tcPr>
            <w:tcW w:type="dxa" w:w="737"/>
          </w:tcPr>
          <w:p>
            <w:pPr>
              <w:spacing w:before="50" w:after="50"/>
              <w:ind w:firstLine="0"/>
              <w:jc w:val="center"/>
            </w:pPr>
            <w:r>
              <w:rPr>
                <w:rFonts w:ascii="Arial" w:hAnsi="Arial"/>
                <w:b w:val="0"/>
                <w:i w:val="0"/>
                <w:sz w:val="19"/>
                <w:rFonts w:ascii="Arial" w:hAnsi="Arial" w:eastAsia="SimSun"/>
              </w:rPr>
              <w:t>1</w:t>
            </w:r>
          </w:p>
        </w:tc>
        <w:tc>
          <w:tcPr>
            <w:tcW w:type="dxa" w:w="850"/>
          </w:tcPr>
          <w:p>
            <w:pPr>
              <w:spacing w:before="50" w:after="50"/>
              <w:ind w:firstLine="0"/>
              <w:jc w:val="center"/>
            </w:pPr>
            <w:r>
              <w:rPr>
                <w:rFonts w:ascii="Arial" w:hAnsi="Arial"/>
                <w:b w:val="0"/>
                <w:i w:val="0"/>
                <w:sz w:val="19"/>
                <w:rFonts w:ascii="Arial" w:hAnsi="Arial" w:eastAsia="SimSun"/>
              </w:rPr>
              <w:t>10.11</w:t>
            </w:r>
          </w:p>
        </w:tc>
        <w:tc>
          <w:tcPr>
            <w:tcW w:type="dxa" w:w="850"/>
          </w:tcPr>
          <w:p>
            <w:pPr>
              <w:spacing w:before="50" w:after="50"/>
              <w:ind w:firstLine="0"/>
              <w:jc w:val="center"/>
            </w:pPr>
            <w:r>
              <w:rPr>
                <w:rFonts w:ascii="Arial" w:hAnsi="Arial"/>
                <w:b w:val="0"/>
                <w:i w:val="0"/>
                <w:sz w:val="19"/>
                <w:rFonts w:ascii="Arial" w:hAnsi="Arial" w:eastAsia="SimSun"/>
              </w:rPr>
              <w:t>-</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训练子集重测 (Training split)</w:t>
            </w:r>
          </w:p>
        </w:tc>
        <w:tc>
          <w:tcPr>
            <w:tcW w:type="dxa" w:w="907"/>
          </w:tcPr>
          <w:p>
            <w:pPr>
              <w:spacing w:before="50" w:after="50"/>
              <w:ind w:firstLine="0"/>
              <w:jc w:val="center"/>
            </w:pPr>
            <w:r>
              <w:rPr>
                <w:rFonts w:ascii="Arial" w:hAnsi="Arial"/>
                <w:b w:val="0"/>
                <w:i w:val="0"/>
                <w:sz w:val="19"/>
                <w:rFonts w:ascii="Arial" w:hAnsi="Arial" w:eastAsia="SimSun"/>
              </w:rPr>
              <w:t>1,524</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0.89</w:t>
            </w:r>
          </w:p>
        </w:tc>
        <w:tc>
          <w:tcPr>
            <w:tcW w:type="dxa" w:w="850"/>
          </w:tcPr>
          <w:p>
            <w:pPr>
              <w:spacing w:before="50" w:after="50"/>
              <w:ind w:firstLine="0"/>
              <w:jc w:val="center"/>
            </w:pPr>
            <w:r>
              <w:rPr>
                <w:rFonts w:ascii="Arial" w:hAnsi="Arial"/>
                <w:b w:val="0"/>
                <w:i w:val="0"/>
                <w:sz w:val="19"/>
                <w:rFonts w:ascii="Arial" w:hAnsi="Arial" w:eastAsia="SimSun"/>
              </w:rPr>
              <w:t>0.993</w:t>
            </w:r>
          </w:p>
        </w:tc>
        <w:tc>
          <w:tcPr>
            <w:tcW w:type="dxa" w:w="850"/>
          </w:tcPr>
          <w:p>
            <w:pPr>
              <w:spacing w:before="50" w:after="50"/>
              <w:ind w:firstLine="0"/>
              <w:jc w:val="center"/>
            </w:pPr>
            <w:r>
              <w:rPr>
                <w:rFonts w:ascii="Arial" w:hAnsi="Arial"/>
                <w:b w:val="0"/>
                <w:i w:val="0"/>
                <w:sz w:val="19"/>
                <w:rFonts w:ascii="Arial" w:hAnsi="Arial" w:eastAsia="SimSun"/>
              </w:rPr>
              <w:t>98.8%</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内部盲测 (Within-material test, 逐记录)</w:t>
            </w:r>
          </w:p>
        </w:tc>
        <w:tc>
          <w:tcPr>
            <w:tcW w:type="dxa" w:w="907"/>
          </w:tcPr>
          <w:p>
            <w:pPr>
              <w:spacing w:before="50" w:after="50"/>
              <w:ind w:firstLine="0"/>
              <w:jc w:val="center"/>
            </w:pPr>
            <w:r>
              <w:rPr>
                <w:rFonts w:ascii="Arial" w:hAnsi="Arial"/>
                <w:b w:val="0"/>
                <w:i w:val="0"/>
                <w:sz w:val="19"/>
                <w:rFonts w:ascii="Arial" w:hAnsi="Arial" w:eastAsia="SimSun"/>
              </w:rPr>
              <w:t>374</w:t>
            </w:r>
          </w:p>
        </w:tc>
        <w:tc>
          <w:tcPr>
            <w:tcW w:type="dxa" w:w="737"/>
          </w:tcPr>
          <w:p>
            <w:pPr>
              <w:spacing w:before="50" w:after="50"/>
              <w:ind w:firstLine="0"/>
              <w:jc w:val="center"/>
            </w:pPr>
            <w:r>
              <w:rPr>
                <w:rFonts w:ascii="Arial" w:hAnsi="Arial"/>
                <w:b w:val="0"/>
                <w:i w:val="0"/>
                <w:sz w:val="19"/>
                <w:rFonts w:ascii="Arial" w:hAnsi="Arial" w:eastAsia="SimSun"/>
              </w:rPr>
              <w:t>19</w:t>
            </w:r>
          </w:p>
        </w:tc>
        <w:tc>
          <w:tcPr>
            <w:tcW w:type="dxa" w:w="850"/>
          </w:tcPr>
          <w:p>
            <w:pPr>
              <w:spacing w:before="50" w:after="50"/>
              <w:ind w:firstLine="0"/>
              <w:jc w:val="center"/>
            </w:pPr>
            <w:r>
              <w:rPr>
                <w:rFonts w:ascii="Arial" w:hAnsi="Arial"/>
                <w:b w:val="0"/>
                <w:i w:val="0"/>
                <w:sz w:val="19"/>
                <w:rFonts w:ascii="Arial" w:hAnsi="Arial" w:eastAsia="SimSun"/>
              </w:rPr>
              <w:t>1.47</w:t>
            </w:r>
          </w:p>
        </w:tc>
        <w:tc>
          <w:tcPr>
            <w:tcW w:type="dxa" w:w="850"/>
          </w:tcPr>
          <w:p>
            <w:pPr>
              <w:spacing w:before="50" w:after="50"/>
              <w:ind w:firstLine="0"/>
              <w:jc w:val="center"/>
            </w:pPr>
            <w:r>
              <w:rPr>
                <w:rFonts w:ascii="Arial" w:hAnsi="Arial"/>
                <w:b w:val="0"/>
                <w:i w:val="0"/>
                <w:sz w:val="19"/>
                <w:rFonts w:ascii="Arial" w:hAnsi="Arial" w:eastAsia="SimSun"/>
              </w:rPr>
              <w:t>0.983</w:t>
            </w:r>
          </w:p>
        </w:tc>
        <w:tc>
          <w:tcPr>
            <w:tcW w:type="dxa" w:w="850"/>
          </w:tcPr>
          <w:p>
            <w:pPr>
              <w:spacing w:before="50" w:after="50"/>
              <w:ind w:firstLine="0"/>
              <w:jc w:val="center"/>
            </w:pPr>
            <w:r>
              <w:rPr>
                <w:rFonts w:ascii="Arial" w:hAnsi="Arial"/>
                <w:b w:val="0"/>
                <w:i w:val="0"/>
                <w:sz w:val="19"/>
                <w:rFonts w:ascii="Arial" w:hAnsi="Arial" w:eastAsia="SimSun"/>
              </w:rPr>
              <w:t>94.7%</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内部盲测 (Within-material test, 材料等权)</w:t>
            </w:r>
          </w:p>
        </w:tc>
        <w:tc>
          <w:tcPr>
            <w:tcW w:type="dxa" w:w="907"/>
          </w:tcPr>
          <w:p>
            <w:pPr>
              <w:spacing w:before="50" w:after="50"/>
              <w:ind w:firstLine="0"/>
              <w:jc w:val="center"/>
            </w:pPr>
            <w:r>
              <w:rPr>
                <w:rFonts w:ascii="Arial" w:hAnsi="Arial"/>
                <w:b w:val="0"/>
                <w:i w:val="0"/>
                <w:sz w:val="19"/>
                <w:rFonts w:ascii="Arial" w:hAnsi="Arial" w:eastAsia="SimSun"/>
              </w:rPr>
              <w:t>374</w:t>
            </w:r>
          </w:p>
        </w:tc>
        <w:tc>
          <w:tcPr>
            <w:tcW w:type="dxa" w:w="737"/>
          </w:tcPr>
          <w:p>
            <w:pPr>
              <w:spacing w:before="50" w:after="50"/>
              <w:ind w:firstLine="0"/>
              <w:jc w:val="center"/>
            </w:pPr>
            <w:r>
              <w:rPr>
                <w:rFonts w:ascii="Arial" w:hAnsi="Arial"/>
                <w:b w:val="0"/>
                <w:i w:val="0"/>
                <w:sz w:val="19"/>
                <w:rFonts w:ascii="Arial" w:hAnsi="Arial" w:eastAsia="SimSun"/>
              </w:rPr>
              <w:t>19</w:t>
            </w:r>
          </w:p>
        </w:tc>
        <w:tc>
          <w:tcPr>
            <w:tcW w:type="dxa" w:w="850"/>
          </w:tcPr>
          <w:p>
            <w:pPr>
              <w:spacing w:before="50" w:after="50"/>
              <w:ind w:firstLine="0"/>
              <w:jc w:val="center"/>
            </w:pPr>
            <w:r>
              <w:rPr>
                <w:rFonts w:ascii="Arial" w:hAnsi="Arial"/>
                <w:b w:val="0"/>
                <w:i w:val="0"/>
                <w:sz w:val="19"/>
                <w:rFonts w:ascii="Arial" w:hAnsi="Arial" w:eastAsia="SimSun"/>
              </w:rPr>
              <w:t>2.79</w:t>
            </w:r>
          </w:p>
        </w:tc>
        <w:tc>
          <w:tcPr>
            <w:tcW w:type="dxa" w:w="850"/>
          </w:tcPr>
          <w:p>
            <w:pPr>
              <w:spacing w:before="50" w:after="50"/>
              <w:ind w:firstLine="0"/>
              <w:jc w:val="center"/>
            </w:pPr>
            <w:r>
              <w:rPr>
                <w:rFonts w:ascii="Arial" w:hAnsi="Arial"/>
                <w:b w:val="0"/>
                <w:i w:val="0"/>
                <w:sz w:val="19"/>
                <w:rFonts w:ascii="Arial" w:hAnsi="Arial" w:eastAsia="SimSun"/>
              </w:rPr>
              <w:t>0.950</w:t>
            </w:r>
          </w:p>
        </w:tc>
        <w:tc>
          <w:tcPr>
            <w:tcW w:type="dxa" w:w="850"/>
          </w:tcPr>
          <w:p>
            <w:pPr>
              <w:spacing w:before="50" w:after="50"/>
              <w:ind w:firstLine="0"/>
              <w:jc w:val="center"/>
            </w:pPr>
            <w:r>
              <w:rPr>
                <w:rFonts w:ascii="Arial" w:hAnsi="Arial"/>
                <w:b w:val="0"/>
                <w:i w:val="0"/>
                <w:sz w:val="19"/>
                <w:rFonts w:ascii="Arial" w:hAnsi="Arial" w:eastAsia="SimSun"/>
              </w:rPr>
              <w:t>74.4%</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整来源留出 (14-fold Source held-out, 逐记录)</w:t>
            </w:r>
          </w:p>
        </w:tc>
        <w:tc>
          <w:tcPr>
            <w:tcW w:type="dxa" w:w="907"/>
          </w:tcPr>
          <w:p>
            <w:pPr>
              <w:spacing w:before="50" w:after="50"/>
              <w:ind w:firstLine="0"/>
              <w:jc w:val="center"/>
            </w:pPr>
            <w:r>
              <w:rPr>
                <w:rFonts w:ascii="Arial" w:hAnsi="Arial"/>
                <w:b w:val="0"/>
                <w:i w:val="0"/>
                <w:sz w:val="19"/>
                <w:rFonts w:ascii="Arial" w:hAnsi="Arial" w:eastAsia="SimSun"/>
              </w:rPr>
              <w:t>1,898</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17.81</w:t>
            </w:r>
          </w:p>
        </w:tc>
        <w:tc>
          <w:tcPr>
            <w:tcW w:type="dxa" w:w="850"/>
          </w:tcPr>
          <w:p>
            <w:pPr>
              <w:spacing w:before="50" w:after="50"/>
              <w:ind w:firstLine="0"/>
              <w:jc w:val="center"/>
            </w:pPr>
            <w:r>
              <w:rPr>
                <w:rFonts w:ascii="Arial" w:hAnsi="Arial"/>
                <w:b w:val="0"/>
                <w:i w:val="0"/>
                <w:sz w:val="19"/>
                <w:rFonts w:ascii="Arial" w:hAnsi="Arial" w:eastAsia="SimSun"/>
              </w:rPr>
              <w:t>-0.527</w:t>
            </w:r>
          </w:p>
        </w:tc>
        <w:tc>
          <w:tcPr>
            <w:tcW w:type="dxa" w:w="850"/>
          </w:tcPr>
          <w:p>
            <w:pPr>
              <w:spacing w:before="50" w:after="50"/>
              <w:ind w:firstLine="0"/>
              <w:jc w:val="center"/>
            </w:pPr>
            <w:r>
              <w:rPr>
                <w:rFonts w:ascii="Arial" w:hAnsi="Arial"/>
                <w:b w:val="0"/>
                <w:i w:val="0"/>
                <w:sz w:val="19"/>
                <w:rFonts w:ascii="Arial" w:hAnsi="Arial" w:eastAsia="SimSun"/>
              </w:rPr>
              <w:t>1.2%</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整来源留出 (14-fold Source held-out, 材料等权)</w:t>
            </w:r>
          </w:p>
        </w:tc>
        <w:tc>
          <w:tcPr>
            <w:tcW w:type="dxa" w:w="907"/>
          </w:tcPr>
          <w:p>
            <w:pPr>
              <w:spacing w:before="50" w:after="50"/>
              <w:ind w:firstLine="0"/>
              <w:jc w:val="center"/>
            </w:pPr>
            <w:r>
              <w:rPr>
                <w:rFonts w:ascii="Arial" w:hAnsi="Arial"/>
                <w:b w:val="0"/>
                <w:i w:val="0"/>
                <w:sz w:val="19"/>
                <w:rFonts w:ascii="Arial" w:hAnsi="Arial" w:eastAsia="SimSun"/>
              </w:rPr>
              <w:t>1,898</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15.72</w:t>
            </w:r>
          </w:p>
        </w:tc>
        <w:tc>
          <w:tcPr>
            <w:tcW w:type="dxa" w:w="850"/>
          </w:tcPr>
          <w:p>
            <w:pPr>
              <w:spacing w:before="50" w:after="50"/>
              <w:ind w:firstLine="0"/>
              <w:jc w:val="center"/>
            </w:pPr>
            <w:r>
              <w:rPr>
                <w:rFonts w:ascii="Arial" w:hAnsi="Arial"/>
                <w:b w:val="0"/>
                <w:i w:val="0"/>
                <w:sz w:val="19"/>
                <w:rFonts w:ascii="Arial" w:hAnsi="Arial" w:eastAsia="SimSun"/>
              </w:rPr>
              <w:t>-0.125</w:t>
            </w:r>
          </w:p>
        </w:tc>
        <w:tc>
          <w:tcPr>
            <w:tcW w:type="dxa" w:w="850"/>
          </w:tcPr>
          <w:p>
            <w:pPr>
              <w:spacing w:before="50" w:after="50"/>
              <w:ind w:firstLine="0"/>
              <w:jc w:val="center"/>
            </w:pPr>
            <w:r>
              <w:rPr>
                <w:rFonts w:ascii="Arial" w:hAnsi="Arial"/>
                <w:b w:val="0"/>
                <w:i w:val="0"/>
                <w:sz w:val="19"/>
                <w:rFonts w:ascii="Arial" w:hAnsi="Arial" w:eastAsia="SimSun"/>
              </w:rPr>
              <w:t>13.5%</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外部新盲测 (GSE130078 肿瘤 vs PXD063945)</w:t>
            </w:r>
          </w:p>
        </w:tc>
        <w:tc>
          <w:tcPr>
            <w:tcW w:type="dxa" w:w="907"/>
          </w:tcPr>
          <w:p>
            <w:pPr>
              <w:spacing w:before="50" w:after="50"/>
              <w:ind w:firstLine="0"/>
              <w:jc w:val="center"/>
            </w:pPr>
            <w:r>
              <w:rPr>
                <w:rFonts w:ascii="Arial" w:hAnsi="Arial"/>
                <w:b w:val="0"/>
                <w:i w:val="0"/>
                <w:sz w:val="19"/>
                <w:rFonts w:ascii="Arial" w:hAnsi="Arial" w:eastAsia="SimSun"/>
              </w:rPr>
              <w:t>23</w:t>
            </w:r>
          </w:p>
        </w:tc>
        <w:tc>
          <w:tcPr>
            <w:tcW w:type="dxa" w:w="737"/>
          </w:tcPr>
          <w:p>
            <w:pPr>
              <w:spacing w:before="50" w:after="50"/>
              <w:ind w:firstLine="0"/>
              <w:jc w:val="center"/>
            </w:pPr>
            <w:r>
              <w:rPr>
                <w:rFonts w:ascii="Arial" w:hAnsi="Arial"/>
                <w:b w:val="0"/>
                <w:i w:val="0"/>
                <w:sz w:val="19"/>
                <w:rFonts w:ascii="Arial" w:hAnsi="Arial" w:eastAsia="SimSun"/>
              </w:rPr>
              <w:t>1</w:t>
            </w:r>
          </w:p>
        </w:tc>
        <w:tc>
          <w:tcPr>
            <w:tcW w:type="dxa" w:w="850"/>
          </w:tcPr>
          <w:p>
            <w:pPr>
              <w:spacing w:before="50" w:after="50"/>
              <w:ind w:firstLine="0"/>
              <w:jc w:val="center"/>
            </w:pPr>
            <w:r>
              <w:rPr>
                <w:rFonts w:ascii="Arial" w:hAnsi="Arial"/>
                <w:b w:val="0"/>
                <w:i w:val="0"/>
                <w:sz w:val="19"/>
                <w:rFonts w:ascii="Arial" w:hAnsi="Arial" w:eastAsia="SimSun"/>
              </w:rPr>
              <w:t>9.81</w:t>
            </w:r>
          </w:p>
        </w:tc>
        <w:tc>
          <w:tcPr>
            <w:tcW w:type="dxa" w:w="850"/>
          </w:tcPr>
          <w:p>
            <w:pPr>
              <w:spacing w:before="50" w:after="50"/>
              <w:ind w:firstLine="0"/>
              <w:jc w:val="center"/>
            </w:pPr>
            <w:r>
              <w:rPr>
                <w:rFonts w:ascii="Arial" w:hAnsi="Arial"/>
                <w:b w:val="0"/>
                <w:i w:val="0"/>
                <w:sz w:val="19"/>
                <w:rFonts w:ascii="Arial" w:hAnsi="Arial" w:eastAsia="SimSun"/>
              </w:rPr>
              <w:t>-</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外部新盲测 (GSE130078 癌旁 vs PXD063945)</w:t>
            </w:r>
          </w:p>
        </w:tc>
        <w:tc>
          <w:tcPr>
            <w:tcW w:type="dxa" w:w="907"/>
          </w:tcPr>
          <w:p>
            <w:pPr>
              <w:spacing w:before="50" w:after="50"/>
              <w:ind w:firstLine="0"/>
              <w:jc w:val="center"/>
            </w:pPr>
            <w:r>
              <w:rPr>
                <w:rFonts w:ascii="Arial" w:hAnsi="Arial"/>
                <w:b w:val="0"/>
                <w:i w:val="0"/>
                <w:sz w:val="19"/>
                <w:rFonts w:ascii="Arial" w:hAnsi="Arial" w:eastAsia="SimSun"/>
              </w:rPr>
              <w:t>23</w:t>
            </w:r>
          </w:p>
        </w:tc>
        <w:tc>
          <w:tcPr>
            <w:tcW w:type="dxa" w:w="737"/>
          </w:tcPr>
          <w:p>
            <w:pPr>
              <w:spacing w:before="50" w:after="50"/>
              <w:ind w:firstLine="0"/>
              <w:jc w:val="center"/>
            </w:pPr>
            <w:r>
              <w:rPr>
                <w:rFonts w:ascii="Arial" w:hAnsi="Arial"/>
                <w:b w:val="0"/>
                <w:i w:val="0"/>
                <w:sz w:val="19"/>
                <w:rFonts w:ascii="Arial" w:hAnsi="Arial" w:eastAsia="SimSun"/>
              </w:rPr>
              <w:t>1</w:t>
            </w:r>
          </w:p>
        </w:tc>
        <w:tc>
          <w:tcPr>
            <w:tcW w:type="dxa" w:w="850"/>
          </w:tcPr>
          <w:p>
            <w:pPr>
              <w:spacing w:before="50" w:after="50"/>
              <w:ind w:firstLine="0"/>
              <w:jc w:val="center"/>
            </w:pPr>
            <w:r>
              <w:rPr>
                <w:rFonts w:ascii="Arial" w:hAnsi="Arial"/>
                <w:b w:val="0"/>
                <w:i w:val="0"/>
                <w:sz w:val="19"/>
                <w:rFonts w:ascii="Arial" w:hAnsi="Arial" w:eastAsia="SimSun"/>
              </w:rPr>
              <w:t>11.86</w:t>
            </w:r>
          </w:p>
        </w:tc>
        <w:tc>
          <w:tcPr>
            <w:tcW w:type="dxa" w:w="850"/>
          </w:tcPr>
          <w:p>
            <w:pPr>
              <w:spacing w:before="50" w:after="50"/>
              <w:ind w:firstLine="0"/>
              <w:jc w:val="center"/>
            </w:pPr>
            <w:r>
              <w:rPr>
                <w:rFonts w:ascii="Arial" w:hAnsi="Arial"/>
                <w:b w:val="0"/>
                <w:i w:val="0"/>
                <w:sz w:val="19"/>
                <w:rFonts w:ascii="Arial" w:hAnsi="Arial" w:eastAsia="SimSun"/>
              </w:rPr>
              <w:t>-</w:t>
            </w:r>
          </w:p>
        </w:tc>
        <w:tc>
          <w:tcPr>
            <w:tcW w:type="dxa" w:w="850"/>
          </w:tcPr>
          <w:p>
            <w:pPr>
              <w:spacing w:before="50" w:after="50"/>
              <w:ind w:firstLine="0"/>
              <w:jc w:val="center"/>
            </w:pPr>
            <w:r>
              <w:rPr>
                <w:rFonts w:ascii="Arial" w:hAnsi="Arial"/>
                <w:b w:val="0"/>
                <w:i w:val="0"/>
                <w:sz w:val="19"/>
                <w:rFonts w:ascii="Arial" w:hAnsi="Arial" w:eastAsia="SimSun"/>
              </w:rPr>
              <w:t>0.0%</w:t>
            </w:r>
          </w:p>
        </w:tc>
      </w:tr>
    </w:tbl>
    <w:p>
      <w:pPr>
        <w:spacing w:before="0" w:after="120"/>
      </w:pPr>
    </w:p>
    <w:p>
      <w:pPr>
        <w:spacing w:line="300" w:lineRule="auto" w:before="0" w:after="60"/>
        <w:ind w:firstLine="420"/>
      </w:pPr>
      <w:r>
        <w:rPr>
          <w:rFonts w:ascii="Arial" w:hAnsi="Arial"/>
          <w:b w:val="0"/>
          <w:i w:val="0"/>
          <w:sz w:val="22"/>
          <w:rFonts w:ascii="Arial" w:hAnsi="Arial" w:eastAsia="SimSun"/>
        </w:rPr>
        <w:t>数据清晰表明：在模型见过的 28 种材料体系内，换用未参与训练的个体 RNA，模型对通路级乳酸化检出占比能够实现极高精度的稳定重现（逐记录误差仅 1.27~1.47 个百分点）；但面对跨实验室平台、完全未见过的独立外部来源（无论整来源留出还是全新 ESCC 队列），平均预测误差均在 9~10 个百分点左右。这客观验证了导师指出的‘新来源外推存在挑战’，为后续模型的校准与应用划定了严谨坚实的科学边界。</w:t>
      </w:r>
    </w:p>
    <w:p>
      <w:pPr>
        <w:keepNext/>
        <w:spacing w:before="280" w:after="120"/>
      </w:pPr>
      <w:r>
        <w:rPr>
          <w:rFonts w:ascii="Arial" w:hAnsi="Arial"/>
          <w:b/>
          <w:i w:val="0"/>
          <w:color w:val="1F4E79"/>
          <w:sz w:val="27"/>
          <w:rFonts w:ascii="Arial" w:hAnsi="Arial" w:eastAsia="SimHei"/>
        </w:rPr>
        <w:t>二、数据定义与数学建模框架 (Methodology &amp; Definitions)</w:t>
      </w:r>
    </w:p>
    <w:p>
      <w:pPr>
        <w:keepNext/>
        <w:spacing w:before="200" w:after="80"/>
      </w:pPr>
      <w:r>
        <w:rPr>
          <w:rFonts w:ascii="Arial" w:hAnsi="Arial"/>
          <w:b/>
          <w:i w:val="0"/>
          <w:color w:val="2C5A87"/>
          <w:sz w:val="24"/>
          <w:rFonts w:ascii="Arial" w:hAnsi="Arial" w:eastAsia="SimHei"/>
        </w:rPr>
        <w:t>2.1 通路特异性乳酸化占比的严格数学定义</w:t>
      </w:r>
    </w:p>
    <w:p>
      <w:pPr>
        <w:spacing w:line="300" w:lineRule="auto" w:before="0" w:after="60"/>
        <w:ind w:firstLine="420"/>
      </w:pPr>
      <w:r>
        <w:rPr>
          <w:rFonts w:ascii="Arial" w:hAnsi="Arial"/>
          <w:b/>
          <w:i w:val="0"/>
          <w:sz w:val="22"/>
          <w:rFonts w:ascii="Arial" w:hAnsi="Arial" w:eastAsia="SimSun"/>
        </w:rPr>
        <w:t>目标公式：</w:t>
      </w:r>
      <w:r>
        <w:rPr>
          <w:rFonts w:ascii="Arial" w:hAnsi="Arial"/>
          <w:b w:val="0"/>
          <w:i w:val="0"/>
          <w:sz w:val="22"/>
          <w:rFonts w:ascii="Arial" w:hAnsi="Arial" w:eastAsia="SimSun"/>
        </w:rPr>
        <w:t>为了严格杜绝概念混淆，本模型预测的目标不是全蛋白组整体占比，也不是位点修饰强度，而是特异性界定在给定通路集合内的【不同蛋白种类检出比例】：</w:t>
      </w:r>
    </w:p>
    <w:p>
      <w:pPr>
        <w:spacing w:line="300" w:lineRule="auto" w:before="0" w:after="60"/>
        <w:ind w:firstLine="420"/>
      </w:pPr>
      <w:r>
        <w:rPr>
          <w:rFonts w:ascii="Arial" w:hAnsi="Arial"/>
          <w:b/>
          <w:i w:val="0"/>
          <w:sz w:val="22"/>
          <w:rFonts w:ascii="Arial" w:hAnsi="Arial" w:eastAsia="SimSun"/>
        </w:rPr>
        <w:t>计算规则：</w:t>
      </w:r>
      <w:r>
        <w:rPr>
          <w:rFonts w:ascii="Arial" w:hAnsi="Arial"/>
          <w:b w:val="0"/>
          <w:i w:val="0"/>
          <w:sz w:val="22"/>
          <w:rFonts w:ascii="Arial" w:hAnsi="Arial" w:eastAsia="SimSun"/>
        </w:rPr>
        <w:t>占比 (%) = 100 × |普通蛋白质组 ∩ Kla 蛋白质组 ∩ 目标通路 GO 蛋白集合| / |普通蛋白质组 ∩ 目标通路 GO 蛋白集合|</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DDR 集合：</w:t>
      </w:r>
      <w:r>
        <w:rPr>
          <w:rFonts w:ascii="Arial" w:hAnsi="Arial"/>
          <w:b w:val="0"/>
          <w:i w:val="0"/>
          <w:sz w:val="21"/>
          <w:rFonts w:ascii="Arial" w:hAnsi="Arial" w:eastAsia="SimSun"/>
        </w:rPr>
        <w:t>DDR 通路蛋白集合：定义为 GO:0006974 (cellular response to DNA damage stimulus) 及其 is_a / part_of 全部后代，在冻结注释中包含 2,660 个人类 UniProt 稳定 BaseAccession，在各材料普通蛋白组中的检出分母为 83 ~ 535 个蛋白；</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DNA repair 集合：</w:t>
      </w:r>
      <w:r>
        <w:rPr>
          <w:rFonts w:ascii="Arial" w:hAnsi="Arial"/>
          <w:b w:val="0"/>
          <w:i w:val="0"/>
          <w:sz w:val="21"/>
          <w:rFonts w:ascii="Arial" w:hAnsi="Arial" w:eastAsia="SimSun"/>
        </w:rPr>
        <w:t>DNA 修复通路蛋白集合：定义为 GO:0006281 (DNA repair) 及其全部后代（为 DDR 的核心功能子集），包含 2,135 个人类 UniProt 稳定 BaseAccession，在各材料中的检出分母为 54 ~ 325 个蛋白；</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分母非零保证：</w:t>
      </w:r>
      <w:r>
        <w:rPr>
          <w:rFonts w:ascii="Arial" w:hAnsi="Arial"/>
          <w:b w:val="0"/>
          <w:i w:val="0"/>
          <w:sz w:val="21"/>
          <w:rFonts w:ascii="Arial" w:hAnsi="Arial" w:eastAsia="SimSun"/>
        </w:rPr>
        <w:t>所有材料组的分母均显著大于零，无需人工剔除样本；普通蛋白组未检出的 Kla 蛋白归入 KlaOutsideReference，严格不挤入分子，确保分子必须是分母的真子集，比例严格有界于 0% ~ 100%。</w:t>
      </w:r>
    </w:p>
    <w:p>
      <w:pPr>
        <w:keepNext/>
        <w:spacing w:before="200" w:after="80"/>
      </w:pPr>
      <w:r>
        <w:rPr>
          <w:rFonts w:ascii="Arial" w:hAnsi="Arial"/>
          <w:b/>
          <w:i w:val="0"/>
          <w:color w:val="2C5A87"/>
          <w:sz w:val="24"/>
          <w:rFonts w:ascii="Arial" w:hAnsi="Arial" w:eastAsia="SimHei"/>
        </w:rPr>
        <w:t>2.2 建模算法与特征输入</w:t>
      </w:r>
    </w:p>
    <w:p>
      <w:pPr>
        <w:spacing w:line="300" w:lineRule="auto" w:before="0" w:after="60"/>
        <w:ind w:firstLine="420"/>
      </w:pPr>
      <w:r>
        <w:rPr>
          <w:rFonts w:ascii="Arial" w:hAnsi="Arial"/>
          <w:b w:val="0"/>
          <w:i w:val="0"/>
          <w:sz w:val="22"/>
          <w:rFonts w:ascii="Arial" w:hAnsi="Arial" w:eastAsia="SimSun"/>
        </w:rPr>
        <w:t>模型依然输入 18,332 个共有 Ensembl 稳定基因（log2(TPM + 0.5) 尺度）。必须向导师明确：DDR 和 DNA repair 限定的是【预测目标 Y】，而没有把【输入特征 X】人工限制为这几百个修复基因。采用全转录组特征作为输入，能够让算法在全局网络中捕捉驱动乳酸化微环境的代谢基因与细胞状态标记。算法统一采用 500 棵回归树随机森林，mtry = 135，最小节点数 1，种子固定为 25。</w:t>
      </w:r>
    </w:p>
    <w:p>
      <w:pPr>
        <w:keepNext/>
        <w:spacing w:before="200" w:after="80"/>
      </w:pPr>
      <w:r>
        <w:rPr>
          <w:rFonts w:ascii="Arial" w:hAnsi="Arial"/>
          <w:b/>
          <w:i w:val="0"/>
          <w:color w:val="2C5A87"/>
          <w:sz w:val="24"/>
          <w:rFonts w:ascii="Arial" w:hAnsi="Arial" w:eastAsia="SimHei"/>
        </w:rPr>
        <w:t>2.3 外部验证数据筛选与材料级匹配原则</w:t>
      </w:r>
    </w:p>
    <w:p>
      <w:pPr>
        <w:spacing w:line="300" w:lineRule="auto" w:before="0" w:after="60"/>
        <w:ind w:firstLine="420"/>
      </w:pPr>
      <w:r>
        <w:rPr>
          <w:rFonts w:ascii="Arial" w:hAnsi="Arial"/>
          <w:b/>
          <w:i w:val="0"/>
          <w:sz w:val="22"/>
          <w:rFonts w:ascii="Arial" w:hAnsi="Arial" w:eastAsia="SimSun"/>
        </w:rPr>
        <w:t>外部数据甄选：</w:t>
      </w:r>
      <w:r>
        <w:rPr>
          <w:rFonts w:ascii="Arial" w:hAnsi="Arial"/>
          <w:b w:val="0"/>
          <w:i w:val="0"/>
          <w:sz w:val="22"/>
          <w:rFonts w:ascii="Arial" w:hAnsi="Arial" w:eastAsia="SimSun"/>
        </w:rPr>
        <w:t>在外部测试集的筛选上，我们遵循原项目的材料级匹配标准（以组织类型、疾病状态、未经治疗为匹配准绳）：</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新质谱真值：</w:t>
      </w:r>
      <w:r>
        <w:rPr>
          <w:rFonts w:ascii="Arial" w:hAnsi="Arial"/>
          <w:b w:val="0"/>
          <w:i w:val="0"/>
          <w:sz w:val="21"/>
          <w:rFonts w:ascii="Arial" w:hAnsi="Arial" w:eastAsia="SimSun"/>
        </w:rPr>
        <w:t>质谱基准 (PXD063945 / PMC13195773)：华山医院 2026 年新发表食管鳞癌多组学研究，严格剔除新辅助化疗（NACT）组，保留 25 例未经治疗的肿瘤与配对癌旁切片。普通组质谱检出 8,281 个蛋白，乳酸化组检出 1,836 个位点（与原论文报告完全一致）；经通路交集计算，未经治疗 ESCC 肿瘤的 DDR Kla 占比为 11.78%，DNA repair 为 14.16%；癌旁分别为 11.20% 与 12.92%；</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新独立 RNA：</w:t>
      </w:r>
      <w:r>
        <w:rPr>
          <w:rFonts w:ascii="Arial" w:hAnsi="Arial"/>
          <w:b w:val="0"/>
          <w:i w:val="0"/>
          <w:sz w:val="21"/>
          <w:rFonts w:ascii="Arial" w:hAnsi="Arial" w:eastAsia="SimSun"/>
        </w:rPr>
        <w:t>转录组输入 (GSE130078)：韩国 YSH 队列，包含 23 例食管鳞癌组织与 23 例配对癌旁组织的高通量 bulk RNA-seq（去 rRNA total RNA-seq）。我们从原始计数经合并外显子长度标准化为 TPM，并提取与模型完全一致的 18,332 个基因作为输入，样本与训练集零重叠。</w:t>
      </w:r>
    </w:p>
    <w:p>
      <w:pPr>
        <w:keepNext/>
        <w:spacing w:before="280" w:after="120"/>
      </w:pPr>
      <w:r>
        <w:rPr>
          <w:rFonts w:ascii="Arial" w:hAnsi="Arial"/>
          <w:b/>
          <w:i w:val="0"/>
          <w:color w:val="1F4E79"/>
          <w:sz w:val="27"/>
          <w:rFonts w:ascii="Arial" w:hAnsi="Arial" w:eastAsia="SimHei"/>
        </w:rPr>
        <w:t>三、多维度建模结果与可视化分析 (Results &amp; Visualizations)</w:t>
      </w:r>
    </w:p>
    <w:p>
      <w:pPr>
        <w:keepNext/>
        <w:spacing w:before="200" w:after="80"/>
      </w:pPr>
      <w:r>
        <w:rPr>
          <w:rFonts w:ascii="Arial" w:hAnsi="Arial"/>
          <w:b/>
          <w:i w:val="0"/>
          <w:color w:val="2C5A87"/>
          <w:sz w:val="24"/>
          <w:rFonts w:ascii="Arial" w:hAnsi="Arial" w:eastAsia="SimHei"/>
        </w:rPr>
        <w:t>3.1 Kla-DDR / DDR 预测性能（四栏对照）</w:t>
      </w:r>
    </w:p>
    <w:p>
      <w:pPr>
        <w:spacing w:line="300" w:lineRule="auto" w:before="0" w:after="60"/>
        <w:ind w:firstLine="420"/>
      </w:pPr>
      <w:r>
        <w:rPr>
          <w:rFonts w:ascii="Arial" w:hAnsi="Arial"/>
          <w:b w:val="0"/>
          <w:i w:val="0"/>
          <w:sz w:val="22"/>
          <w:rFonts w:ascii="Arial" w:hAnsi="Arial" w:eastAsia="SimSun"/>
        </w:rPr>
        <w:t>图 1 展示了 Kla-DDR / DDR 模型的四栏性能散点图。每一栏为一个独立的评估阶段，每个点代表单个 RNA 样本的预测值。</w:t>
      </w:r>
    </w:p>
    <w:p>
      <w:pPr>
        <w:keepNext/>
        <w:spacing w:before="160" w:after="40"/>
        <w:ind w:firstLine="0"/>
        <w:jc w:val="center"/>
      </w:pPr>
      <w:r>
        <w:drawing>
          <wp:inline xmlns:a="http://schemas.openxmlformats.org/drawingml/2006/main" xmlns:pic="http://schemas.openxmlformats.org/drawingml/2006/picture">
            <wp:extent cx="5760000" cy="2088000"/>
            <wp:docPr id="1" name="Picture 1"/>
            <wp:cNvGraphicFramePr>
              <a:graphicFrameLocks noChangeAspect="1"/>
            </wp:cNvGraphicFramePr>
            <a:graphic>
              <a:graphicData uri="http://schemas.openxmlformats.org/drawingml/2006/picture">
                <pic:pic>
                  <pic:nvPicPr>
                    <pic:cNvPr id="0" name="RF_mtry135.png"/>
                    <pic:cNvPicPr/>
                  </pic:nvPicPr>
                  <pic:blipFill>
                    <a:blip r:embed="rId11"/>
                    <a:stretch>
                      <a:fillRect/>
                    </a:stretch>
                  </pic:blipFill>
                  <pic:spPr>
                    <a:xfrm>
                      <a:off x="0" y="0"/>
                      <a:ext cx="5760000" cy="2088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1 全转录组预测 Kla-DDR / DDR 检出占比模型性能四栏散点图 (依次为：训练划分、内部留出、全量拟合、14折来源留出)</w:t>
      </w:r>
    </w:p>
    <w:p>
      <w:pPr>
        <w:spacing w:line="300" w:lineRule="auto" w:before="0" w:after="60"/>
        <w:ind w:firstLine="420"/>
      </w:pPr>
      <w:r>
        <w:rPr>
          <w:rFonts w:ascii="Arial" w:hAnsi="Arial"/>
          <w:b w:val="0"/>
          <w:i w:val="0"/>
          <w:sz w:val="22"/>
          <w:rFonts w:ascii="Arial" w:hAnsi="Arial" w:eastAsia="SimSun"/>
        </w:rPr>
        <w:t>在第二栏内部留出测试中（n=374），逐记录 MAE 仅为 1.27 个百分点（R² = 0.982），96.8% 的样本预测误差在 ±5 个百分点内；材料等权 MAE 为 2.46 个百分点（R² = 0.950），证明在已有材料体系内部，模型对 DDR 乳酸化蛋白检出比例具有极高拟合与重现能力。</w:t>
      </w:r>
    </w:p>
    <w:p>
      <w:pPr>
        <w:keepNext/>
        <w:spacing w:before="200" w:after="80"/>
      </w:pPr>
      <w:r>
        <w:rPr>
          <w:rFonts w:ascii="Arial" w:hAnsi="Arial"/>
          <w:b/>
          <w:i w:val="0"/>
          <w:color w:val="2C5A87"/>
          <w:sz w:val="24"/>
          <w:rFonts w:ascii="Arial" w:hAnsi="Arial" w:eastAsia="SimHei"/>
        </w:rPr>
        <w:t>3.2 DDR 模型关键驱动特征 Top 25 解析</w:t>
      </w:r>
    </w:p>
    <w:p>
      <w:pPr>
        <w:spacing w:line="300" w:lineRule="auto" w:before="0" w:after="60"/>
        <w:ind w:firstLine="420"/>
      </w:pPr>
      <w:r>
        <w:rPr>
          <w:rFonts w:ascii="Arial" w:hAnsi="Arial"/>
          <w:b w:val="0"/>
          <w:i w:val="0"/>
          <w:sz w:val="22"/>
          <w:rFonts w:ascii="Arial" w:hAnsi="Arial" w:eastAsia="SimSun"/>
        </w:rPr>
        <w:t>图 2 展示了训练集上由随机森林算法自主学习排名的 Top 25 贡献特征基因（基于 Gini 不纯度下降）。</w:t>
      </w:r>
    </w:p>
    <w:p>
      <w:pPr>
        <w:keepNext/>
        <w:spacing w:before="160" w:after="40"/>
        <w:ind w:firstLine="0"/>
        <w:jc w:val="center"/>
      </w:pPr>
      <w:r>
        <w:drawing>
          <wp:inline xmlns:a="http://schemas.openxmlformats.org/drawingml/2006/main" xmlns:pic="http://schemas.openxmlformats.org/drawingml/2006/picture">
            <wp:extent cx="4500000" cy="4000000"/>
            <wp:docPr id="2" name="Picture 2"/>
            <wp:cNvGraphicFramePr>
              <a:graphicFrameLocks noChangeAspect="1"/>
            </wp:cNvGraphicFramePr>
            <a:graphic>
              <a:graphicData uri="http://schemas.openxmlformats.org/drawingml/2006/picture">
                <pic:pic>
                  <pic:nvPicPr>
                    <pic:cNvPr id="0" name="top25.png"/>
                    <pic:cNvPicPr/>
                  </pic:nvPicPr>
                  <pic:blipFill>
                    <a:blip r:embed="rId12"/>
                    <a:stretch>
                      <a:fillRect/>
                    </a:stretch>
                  </pic:blipFill>
                  <pic:spPr>
                    <a:xfrm>
                      <a:off x="0" y="0"/>
                      <a:ext cx="4500000" cy="4000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2 Kla-DDR / DDR 预测模型训练集变量重要性 Top 25 基因条形图</w:t>
      </w:r>
    </w:p>
    <w:p>
      <w:pPr>
        <w:spacing w:line="300" w:lineRule="auto" w:before="0" w:after="60"/>
        <w:ind w:firstLine="420"/>
      </w:pPr>
      <w:r>
        <w:rPr>
          <w:rFonts w:ascii="Arial" w:hAnsi="Arial"/>
          <w:b w:val="0"/>
          <w:i w:val="0"/>
          <w:sz w:val="22"/>
          <w:rFonts w:ascii="Arial" w:hAnsi="Arial" w:eastAsia="SimSun"/>
        </w:rPr>
        <w:t>非常值得注意的是：在全转录组 18,332 个基因的无偏竞争中，DNA 损伤应答的核心总舵手——**TP53 (ENSG00000141506，排名第 7)** 自发突显在前列！TP53 是调控细胞周期停滞、DNA 修复和凋亡的最关键分子，其乳酸化修饰此前已有重要文献报道。此外，神经营养受体 NTRK1 (排名第 5)、组织分化分子 MGAT3、PRDM8、CCDC141 也位列前茅。这强有力地证明：即便没有人工指定基因，全转录组模型也能精准抓取 DDR 生物学核心调控节点作为决策依据。</w:t>
      </w:r>
    </w:p>
    <w:p>
      <w:pPr>
        <w:keepNext/>
        <w:spacing w:before="200" w:after="80"/>
      </w:pPr>
      <w:r>
        <w:rPr>
          <w:rFonts w:ascii="Arial" w:hAnsi="Arial"/>
          <w:b/>
          <w:i w:val="0"/>
          <w:color w:val="2C5A87"/>
          <w:sz w:val="24"/>
          <w:rFonts w:ascii="Arial" w:hAnsi="Arial" w:eastAsia="SimHei"/>
        </w:rPr>
        <w:t>3.3 Kla-DNA repair / DNA repair 预测性能</w:t>
      </w:r>
    </w:p>
    <w:p>
      <w:pPr>
        <w:spacing w:line="300" w:lineRule="auto" w:before="0" w:after="60"/>
        <w:ind w:firstLine="420"/>
      </w:pPr>
      <w:r>
        <w:rPr>
          <w:rFonts w:ascii="Arial" w:hAnsi="Arial"/>
          <w:b w:val="0"/>
          <w:i w:val="0"/>
          <w:sz w:val="22"/>
          <w:rFonts w:ascii="Arial" w:hAnsi="Arial" w:eastAsia="SimSun"/>
        </w:rPr>
        <w:t>针对更为聚焦的 DNA 修复核心子集（GO:0006281），图 3 展示了对应的四栏散点图，图 4 为其 Top 25 特征重要性条形图。</w:t>
      </w:r>
    </w:p>
    <w:p>
      <w:pPr>
        <w:keepNext/>
        <w:spacing w:before="160" w:after="40"/>
        <w:ind w:firstLine="0"/>
        <w:jc w:val="center"/>
      </w:pPr>
      <w:r>
        <w:drawing>
          <wp:inline xmlns:a="http://schemas.openxmlformats.org/drawingml/2006/main" xmlns:pic="http://schemas.openxmlformats.org/drawingml/2006/picture">
            <wp:extent cx="5760000" cy="2088000"/>
            <wp:docPr id="3" name="Picture 3"/>
            <wp:cNvGraphicFramePr>
              <a:graphicFrameLocks noChangeAspect="1"/>
            </wp:cNvGraphicFramePr>
            <a:graphic>
              <a:graphicData uri="http://schemas.openxmlformats.org/drawingml/2006/picture">
                <pic:pic>
                  <pic:nvPicPr>
                    <pic:cNvPr id="0" name="RF_mtry135.png"/>
                    <pic:cNvPicPr/>
                  </pic:nvPicPr>
                  <pic:blipFill>
                    <a:blip r:embed="rId13"/>
                    <a:stretch>
                      <a:fillRect/>
                    </a:stretch>
                  </pic:blipFill>
                  <pic:spPr>
                    <a:xfrm>
                      <a:off x="0" y="0"/>
                      <a:ext cx="5760000" cy="2088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3 全转录组预测 Kla-DNA repair / DNA repair 检出占比模型性能四栏散点图</w:t>
      </w:r>
    </w:p>
    <w:p>
      <w:pPr>
        <w:keepNext/>
        <w:spacing w:before="160" w:after="40"/>
        <w:ind w:firstLine="0"/>
        <w:jc w:val="center"/>
      </w:pPr>
      <w:r>
        <w:drawing>
          <wp:inline xmlns:a="http://schemas.openxmlformats.org/drawingml/2006/main" xmlns:pic="http://schemas.openxmlformats.org/drawingml/2006/picture">
            <wp:extent cx="4500000" cy="4000000"/>
            <wp:docPr id="4" name="Picture 4"/>
            <wp:cNvGraphicFramePr>
              <a:graphicFrameLocks noChangeAspect="1"/>
            </wp:cNvGraphicFramePr>
            <a:graphic>
              <a:graphicData uri="http://schemas.openxmlformats.org/drawingml/2006/picture">
                <pic:pic>
                  <pic:nvPicPr>
                    <pic:cNvPr id="0" name="top25.png"/>
                    <pic:cNvPicPr/>
                  </pic:nvPicPr>
                  <pic:blipFill>
                    <a:blip r:embed="rId14"/>
                    <a:stretch>
                      <a:fillRect/>
                    </a:stretch>
                  </pic:blipFill>
                  <pic:spPr>
                    <a:xfrm>
                      <a:off x="0" y="0"/>
                      <a:ext cx="4500000" cy="4000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4 Kla-DNA repair / DNA repair 预测模型训练集变量重要性 Top 25 基因条形图</w:t>
      </w:r>
    </w:p>
    <w:p>
      <w:pPr>
        <w:spacing w:line="300" w:lineRule="auto" w:before="0" w:after="60"/>
        <w:ind w:firstLine="420"/>
      </w:pPr>
      <w:r>
        <w:rPr>
          <w:rFonts w:ascii="Arial" w:hAnsi="Arial"/>
          <w:b w:val="0"/>
          <w:i w:val="0"/>
          <w:sz w:val="22"/>
          <w:rFonts w:ascii="Arial" w:hAnsi="Arial" w:eastAsia="SimSun"/>
        </w:rPr>
        <w:t>DNA 修复模型在内部留出测试中同样表现优异：逐记录 MAE 为 1.47 个百分点（R² = 0.983），94.7% 的样本预测绝对误差在 ±5 个百分点以内；材料等权 MAE 为 2.79 个百分点（R² = 0.950）。驱动特征中，MGAT3、CCDC141、COL6A3、VIL1、GNG2、NTRK1、ANXA9 等基因保持了高度的贡献一致性。</w:t>
      </w:r>
    </w:p>
    <w:p>
      <w:pPr>
        <w:keepNext/>
        <w:spacing w:before="200" w:after="80"/>
      </w:pPr>
      <w:r>
        <w:rPr>
          <w:rFonts w:ascii="Arial" w:hAnsi="Arial"/>
          <w:b/>
          <w:i w:val="0"/>
          <w:color w:val="2C5A87"/>
          <w:sz w:val="24"/>
          <w:rFonts w:ascii="Arial" w:hAnsi="Arial" w:eastAsia="SimHei"/>
        </w:rPr>
        <w:t>3.4 首次真实外部独立数据盲测实证（食管鳞癌 ESCC）</w:t>
      </w:r>
    </w:p>
    <w:p>
      <w:pPr>
        <w:spacing w:line="300" w:lineRule="auto" w:before="0" w:after="60"/>
        <w:ind w:firstLine="420"/>
      </w:pPr>
      <w:r>
        <w:rPr>
          <w:rFonts w:ascii="Arial" w:hAnsi="Arial"/>
          <w:b w:val="0"/>
          <w:i w:val="0"/>
          <w:sz w:val="22"/>
          <w:rFonts w:ascii="Arial" w:hAnsi="Arial" w:eastAsia="SimSun"/>
        </w:rPr>
        <w:t>为了回应导师关于‘寻找新上传数据测试’的要求，我们以完全冻结的 DDR 与 DNA repair 模型，直接输入 GSE130078 外部队列的 46 例独立 RNA，盲测 PXD063945 华山医院未治疗 ESCC 质谱真值，结果如图 5 所示，详细指标汇总于表 2。</w:t>
      </w:r>
    </w:p>
    <w:p>
      <w:pPr>
        <w:keepNext/>
        <w:spacing w:before="160" w:after="40"/>
        <w:ind w:firstLine="0"/>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predictions.png"/>
                    <pic:cNvPicPr/>
                  </pic:nvPicPr>
                  <pic:blipFill>
                    <a:blip r:embed="rId15"/>
                    <a:stretch>
                      <a:fillRect/>
                    </a:stretch>
                  </pic:blipFill>
                  <pic:spPr>
                    <a:xfrm>
                      <a:off x="0" y="0"/>
                      <a:ext cx="5400000" cy="2700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5 冻结模型在外部独立食管鳞癌队列 (GSE130078 组织 RNA vs PXD063945 质谱真值) 中的盲测结果对比图</w:t>
      </w:r>
    </w:p>
    <w:p>
      <w:pPr>
        <w:keepNext/>
        <w:spacing w:before="120" w:after="80"/>
        <w:ind w:firstLine="0"/>
        <w:jc w:val="center"/>
      </w:pPr>
      <w:r>
        <w:rPr>
          <w:rFonts w:ascii="Arial" w:hAnsi="Arial"/>
          <w:b/>
          <w:i w:val="0"/>
          <w:color w:val="3C3C3C"/>
          <w:sz w:val="20"/>
          <w:rFonts w:ascii="Arial" w:hAnsi="Arial" w:eastAsia="SimSun"/>
        </w:rPr>
        <w:t>表 2 外部独立数据队列 (PXD063945 质谱 + GSE130078 新 RNA) 盲测性能明细表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296"/>
        <w:gridCol w:w="1296"/>
        <w:gridCol w:w="1296"/>
        <w:gridCol w:w="1296"/>
        <w:gridCol w:w="1296"/>
        <w:gridCol w:w="1296"/>
        <w:gridCol w:w="1296"/>
      </w:tblGrid>
      <w:tr>
        <w:trPr>
          <w:tblHeader/>
        </w:trPr>
        <w:tc>
          <w:tcPr>
            <w:tcW w:type="dxa" w:w="2268"/>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测试材料与组织</w:t>
            </w:r>
          </w:p>
        </w:tc>
        <w:tc>
          <w:tcPr>
            <w:tcW w:type="dxa" w:w="215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预测通路目标</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新 RNA 样本数</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外部质谱真值</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模型预测均值</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盲测 MAE (pp)</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±5 pp 命中率</w:t>
            </w:r>
          </w:p>
        </w:tc>
      </w:tr>
      <w:tr>
        <w:tc>
          <w:tcPr>
            <w:tcW w:type="dxa" w:w="2268"/>
          </w:tcPr>
          <w:p>
            <w:pPr>
              <w:spacing w:before="50" w:after="50"/>
              <w:ind w:firstLine="0"/>
              <w:jc w:val="left"/>
            </w:pPr>
            <w:r>
              <w:rPr>
                <w:rFonts w:ascii="Arial" w:hAnsi="Arial"/>
                <w:b w:val="0"/>
                <w:i w:val="0"/>
                <w:sz w:val="19"/>
                <w:rFonts w:ascii="Arial" w:hAnsi="Arial" w:eastAsia="SimSun"/>
              </w:rPr>
              <w:t>ESCC 未治疗肿瘤切片</w:t>
            </w:r>
          </w:p>
        </w:tc>
        <w:tc>
          <w:tcPr>
            <w:tcW w:type="dxa" w:w="2154"/>
          </w:tcPr>
          <w:p>
            <w:pPr>
              <w:spacing w:before="50" w:after="50"/>
              <w:ind w:firstLine="0"/>
              <w:jc w:val="center"/>
            </w:pPr>
            <w:r>
              <w:rPr>
                <w:rFonts w:ascii="Arial" w:hAnsi="Arial"/>
                <w:b w:val="0"/>
                <w:i w:val="0"/>
                <w:sz w:val="19"/>
                <w:rFonts w:ascii="Arial" w:hAnsi="Arial" w:eastAsia="SimSun"/>
              </w:rPr>
              <w:t>Kla-DDR / DDR</w:t>
            </w:r>
          </w:p>
        </w:tc>
        <w:tc>
          <w:tcPr>
            <w:tcW w:type="dxa" w:w="1020"/>
          </w:tcPr>
          <w:p>
            <w:pPr>
              <w:spacing w:before="50" w:after="50"/>
              <w:ind w:firstLine="0"/>
              <w:jc w:val="center"/>
            </w:pPr>
            <w:r>
              <w:rPr>
                <w:rFonts w:ascii="Arial" w:hAnsi="Arial"/>
                <w:b w:val="0"/>
                <w:i w:val="0"/>
                <w:sz w:val="19"/>
                <w:rFonts w:ascii="Arial" w:hAnsi="Arial" w:eastAsia="SimSun"/>
              </w:rPr>
              <w:t>23</w:t>
            </w:r>
          </w:p>
        </w:tc>
        <w:tc>
          <w:tcPr>
            <w:tcW w:type="dxa" w:w="1020"/>
          </w:tcPr>
          <w:p>
            <w:pPr>
              <w:spacing w:before="50" w:after="50"/>
              <w:ind w:firstLine="0"/>
              <w:jc w:val="center"/>
            </w:pPr>
            <w:r>
              <w:rPr>
                <w:rFonts w:ascii="Arial" w:hAnsi="Arial"/>
                <w:b w:val="0"/>
                <w:i w:val="0"/>
                <w:sz w:val="19"/>
                <w:rFonts w:ascii="Arial" w:hAnsi="Arial" w:eastAsia="SimSun"/>
              </w:rPr>
              <w:t>11.78%</w:t>
            </w:r>
          </w:p>
        </w:tc>
        <w:tc>
          <w:tcPr>
            <w:tcW w:type="dxa" w:w="1020"/>
          </w:tcPr>
          <w:p>
            <w:pPr>
              <w:spacing w:before="50" w:after="50"/>
              <w:ind w:firstLine="0"/>
              <w:jc w:val="center"/>
            </w:pPr>
            <w:r>
              <w:rPr>
                <w:rFonts w:ascii="Arial" w:hAnsi="Arial"/>
                <w:b w:val="0"/>
                <w:i w:val="0"/>
                <w:sz w:val="19"/>
                <w:rFonts w:ascii="Arial" w:hAnsi="Arial" w:eastAsia="SimSun"/>
              </w:rPr>
              <w:t>20.85%</w:t>
            </w:r>
          </w:p>
        </w:tc>
        <w:tc>
          <w:tcPr>
            <w:tcW w:type="dxa" w:w="1020"/>
          </w:tcPr>
          <w:p>
            <w:pPr>
              <w:spacing w:before="50" w:after="50"/>
              <w:ind w:firstLine="0"/>
              <w:jc w:val="center"/>
            </w:pPr>
            <w:r>
              <w:rPr>
                <w:rFonts w:ascii="Arial" w:hAnsi="Arial"/>
                <w:b w:val="0"/>
                <w:i w:val="0"/>
                <w:sz w:val="19"/>
                <w:rFonts w:ascii="Arial" w:hAnsi="Arial" w:eastAsia="SimSun"/>
              </w:rPr>
              <w:t>9.07</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ESCC 配对癌旁切片</w:t>
            </w:r>
          </w:p>
        </w:tc>
        <w:tc>
          <w:tcPr>
            <w:tcW w:type="dxa" w:w="2154"/>
          </w:tcPr>
          <w:p>
            <w:pPr>
              <w:spacing w:before="50" w:after="50"/>
              <w:ind w:firstLine="0"/>
              <w:jc w:val="center"/>
            </w:pPr>
            <w:r>
              <w:rPr>
                <w:rFonts w:ascii="Arial" w:hAnsi="Arial"/>
                <w:b w:val="0"/>
                <w:i w:val="0"/>
                <w:sz w:val="19"/>
                <w:rFonts w:ascii="Arial" w:hAnsi="Arial" w:eastAsia="SimSun"/>
              </w:rPr>
              <w:t>Kla-DDR / DDR</w:t>
            </w:r>
          </w:p>
        </w:tc>
        <w:tc>
          <w:tcPr>
            <w:tcW w:type="dxa" w:w="1020"/>
          </w:tcPr>
          <w:p>
            <w:pPr>
              <w:spacing w:before="50" w:after="50"/>
              <w:ind w:firstLine="0"/>
              <w:jc w:val="center"/>
            </w:pPr>
            <w:r>
              <w:rPr>
                <w:rFonts w:ascii="Arial" w:hAnsi="Arial"/>
                <w:b w:val="0"/>
                <w:i w:val="0"/>
                <w:sz w:val="19"/>
                <w:rFonts w:ascii="Arial" w:hAnsi="Arial" w:eastAsia="SimSun"/>
              </w:rPr>
              <w:t>23</w:t>
            </w:r>
          </w:p>
        </w:tc>
        <w:tc>
          <w:tcPr>
            <w:tcW w:type="dxa" w:w="1020"/>
          </w:tcPr>
          <w:p>
            <w:pPr>
              <w:spacing w:before="50" w:after="50"/>
              <w:ind w:firstLine="0"/>
              <w:jc w:val="center"/>
            </w:pPr>
            <w:r>
              <w:rPr>
                <w:rFonts w:ascii="Arial" w:hAnsi="Arial"/>
                <w:b w:val="0"/>
                <w:i w:val="0"/>
                <w:sz w:val="19"/>
                <w:rFonts w:ascii="Arial" w:hAnsi="Arial" w:eastAsia="SimSun"/>
              </w:rPr>
              <w:t>11.20%</w:t>
            </w:r>
          </w:p>
        </w:tc>
        <w:tc>
          <w:tcPr>
            <w:tcW w:type="dxa" w:w="1020"/>
          </w:tcPr>
          <w:p>
            <w:pPr>
              <w:spacing w:before="50" w:after="50"/>
              <w:ind w:firstLine="0"/>
              <w:jc w:val="center"/>
            </w:pPr>
            <w:r>
              <w:rPr>
                <w:rFonts w:ascii="Arial" w:hAnsi="Arial"/>
                <w:b w:val="0"/>
                <w:i w:val="0"/>
                <w:sz w:val="19"/>
                <w:rFonts w:ascii="Arial" w:hAnsi="Arial" w:eastAsia="SimSun"/>
              </w:rPr>
              <w:t>21.31%</w:t>
            </w:r>
          </w:p>
        </w:tc>
        <w:tc>
          <w:tcPr>
            <w:tcW w:type="dxa" w:w="1020"/>
          </w:tcPr>
          <w:p>
            <w:pPr>
              <w:spacing w:before="50" w:after="50"/>
              <w:ind w:firstLine="0"/>
              <w:jc w:val="center"/>
            </w:pPr>
            <w:r>
              <w:rPr>
                <w:rFonts w:ascii="Arial" w:hAnsi="Arial"/>
                <w:b w:val="0"/>
                <w:i w:val="0"/>
                <w:sz w:val="19"/>
                <w:rFonts w:ascii="Arial" w:hAnsi="Arial" w:eastAsia="SimSun"/>
              </w:rPr>
              <w:t>10.11</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ESCC 未治疗肿瘤切片</w:t>
            </w:r>
          </w:p>
        </w:tc>
        <w:tc>
          <w:tcPr>
            <w:tcW w:type="dxa" w:w="2154"/>
          </w:tcPr>
          <w:p>
            <w:pPr>
              <w:spacing w:before="50" w:after="50"/>
              <w:ind w:firstLine="0"/>
              <w:jc w:val="center"/>
            </w:pPr>
            <w:r>
              <w:rPr>
                <w:rFonts w:ascii="Arial" w:hAnsi="Arial"/>
                <w:b w:val="0"/>
                <w:i w:val="0"/>
                <w:sz w:val="19"/>
                <w:rFonts w:ascii="Arial" w:hAnsi="Arial" w:eastAsia="SimSun"/>
              </w:rPr>
              <w:t>Kla-DNA repair / Repair</w:t>
            </w:r>
          </w:p>
        </w:tc>
        <w:tc>
          <w:tcPr>
            <w:tcW w:type="dxa" w:w="1020"/>
          </w:tcPr>
          <w:p>
            <w:pPr>
              <w:spacing w:before="50" w:after="50"/>
              <w:ind w:firstLine="0"/>
              <w:jc w:val="center"/>
            </w:pPr>
            <w:r>
              <w:rPr>
                <w:rFonts w:ascii="Arial" w:hAnsi="Arial"/>
                <w:b w:val="0"/>
                <w:i w:val="0"/>
                <w:sz w:val="19"/>
                <w:rFonts w:ascii="Arial" w:hAnsi="Arial" w:eastAsia="SimSun"/>
              </w:rPr>
              <w:t>23</w:t>
            </w:r>
          </w:p>
        </w:tc>
        <w:tc>
          <w:tcPr>
            <w:tcW w:type="dxa" w:w="1020"/>
          </w:tcPr>
          <w:p>
            <w:pPr>
              <w:spacing w:before="50" w:after="50"/>
              <w:ind w:firstLine="0"/>
              <w:jc w:val="center"/>
            </w:pPr>
            <w:r>
              <w:rPr>
                <w:rFonts w:ascii="Arial" w:hAnsi="Arial"/>
                <w:b w:val="0"/>
                <w:i w:val="0"/>
                <w:sz w:val="19"/>
                <w:rFonts w:ascii="Arial" w:hAnsi="Arial" w:eastAsia="SimSun"/>
              </w:rPr>
              <w:t>14.16%</w:t>
            </w:r>
          </w:p>
        </w:tc>
        <w:tc>
          <w:tcPr>
            <w:tcW w:type="dxa" w:w="1020"/>
          </w:tcPr>
          <w:p>
            <w:pPr>
              <w:spacing w:before="50" w:after="50"/>
              <w:ind w:firstLine="0"/>
              <w:jc w:val="center"/>
            </w:pPr>
            <w:r>
              <w:rPr>
                <w:rFonts w:ascii="Arial" w:hAnsi="Arial"/>
                <w:b w:val="0"/>
                <w:i w:val="0"/>
                <w:sz w:val="19"/>
                <w:rFonts w:ascii="Arial" w:hAnsi="Arial" w:eastAsia="SimSun"/>
              </w:rPr>
              <w:t>23.98%</w:t>
            </w:r>
          </w:p>
        </w:tc>
        <w:tc>
          <w:tcPr>
            <w:tcW w:type="dxa" w:w="1020"/>
          </w:tcPr>
          <w:p>
            <w:pPr>
              <w:spacing w:before="50" w:after="50"/>
              <w:ind w:firstLine="0"/>
              <w:jc w:val="center"/>
            </w:pPr>
            <w:r>
              <w:rPr>
                <w:rFonts w:ascii="Arial" w:hAnsi="Arial"/>
                <w:b w:val="0"/>
                <w:i w:val="0"/>
                <w:sz w:val="19"/>
                <w:rFonts w:ascii="Arial" w:hAnsi="Arial" w:eastAsia="SimSun"/>
              </w:rPr>
              <w:t>9.81</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ESCC 配对癌旁切片</w:t>
            </w:r>
          </w:p>
        </w:tc>
        <w:tc>
          <w:tcPr>
            <w:tcW w:type="dxa" w:w="2154"/>
          </w:tcPr>
          <w:p>
            <w:pPr>
              <w:spacing w:before="50" w:after="50"/>
              <w:ind w:firstLine="0"/>
              <w:jc w:val="center"/>
            </w:pPr>
            <w:r>
              <w:rPr>
                <w:rFonts w:ascii="Arial" w:hAnsi="Arial"/>
                <w:b w:val="0"/>
                <w:i w:val="0"/>
                <w:sz w:val="19"/>
                <w:rFonts w:ascii="Arial" w:hAnsi="Arial" w:eastAsia="SimSun"/>
              </w:rPr>
              <w:t>Kla-DNA repair / Repair</w:t>
            </w:r>
          </w:p>
        </w:tc>
        <w:tc>
          <w:tcPr>
            <w:tcW w:type="dxa" w:w="1020"/>
          </w:tcPr>
          <w:p>
            <w:pPr>
              <w:spacing w:before="50" w:after="50"/>
              <w:ind w:firstLine="0"/>
              <w:jc w:val="center"/>
            </w:pPr>
            <w:r>
              <w:rPr>
                <w:rFonts w:ascii="Arial" w:hAnsi="Arial"/>
                <w:b w:val="0"/>
                <w:i w:val="0"/>
                <w:sz w:val="19"/>
                <w:rFonts w:ascii="Arial" w:hAnsi="Arial" w:eastAsia="SimSun"/>
              </w:rPr>
              <w:t>23</w:t>
            </w:r>
          </w:p>
        </w:tc>
        <w:tc>
          <w:tcPr>
            <w:tcW w:type="dxa" w:w="1020"/>
          </w:tcPr>
          <w:p>
            <w:pPr>
              <w:spacing w:before="50" w:after="50"/>
              <w:ind w:firstLine="0"/>
              <w:jc w:val="center"/>
            </w:pPr>
            <w:r>
              <w:rPr>
                <w:rFonts w:ascii="Arial" w:hAnsi="Arial"/>
                <w:b w:val="0"/>
                <w:i w:val="0"/>
                <w:sz w:val="19"/>
                <w:rFonts w:ascii="Arial" w:hAnsi="Arial" w:eastAsia="SimSun"/>
              </w:rPr>
              <w:t>12.92%</w:t>
            </w:r>
          </w:p>
        </w:tc>
        <w:tc>
          <w:tcPr>
            <w:tcW w:type="dxa" w:w="1020"/>
          </w:tcPr>
          <w:p>
            <w:pPr>
              <w:spacing w:before="50" w:after="50"/>
              <w:ind w:firstLine="0"/>
              <w:jc w:val="center"/>
            </w:pPr>
            <w:r>
              <w:rPr>
                <w:rFonts w:ascii="Arial" w:hAnsi="Arial"/>
                <w:b w:val="0"/>
                <w:i w:val="0"/>
                <w:sz w:val="19"/>
                <w:rFonts w:ascii="Arial" w:hAnsi="Arial" w:eastAsia="SimSun"/>
              </w:rPr>
              <w:t>24.78%</w:t>
            </w:r>
          </w:p>
        </w:tc>
        <w:tc>
          <w:tcPr>
            <w:tcW w:type="dxa" w:w="1020"/>
          </w:tcPr>
          <w:p>
            <w:pPr>
              <w:spacing w:before="50" w:after="50"/>
              <w:ind w:firstLine="0"/>
              <w:jc w:val="center"/>
            </w:pPr>
            <w:r>
              <w:rPr>
                <w:rFonts w:ascii="Arial" w:hAnsi="Arial"/>
                <w:b w:val="0"/>
                <w:i w:val="0"/>
                <w:sz w:val="19"/>
                <w:rFonts w:ascii="Arial" w:hAnsi="Arial" w:eastAsia="SimSun"/>
              </w:rPr>
              <w:t>11.86</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TCGA 历史 ESCC 对照</w:t>
            </w:r>
          </w:p>
        </w:tc>
        <w:tc>
          <w:tcPr>
            <w:tcW w:type="dxa" w:w="2154"/>
          </w:tcPr>
          <w:p>
            <w:pPr>
              <w:spacing w:before="50" w:after="50"/>
              <w:ind w:firstLine="0"/>
              <w:jc w:val="center"/>
            </w:pPr>
            <w:r>
              <w:rPr>
                <w:rFonts w:ascii="Arial" w:hAnsi="Arial"/>
                <w:b w:val="0"/>
                <w:i w:val="0"/>
                <w:sz w:val="19"/>
                <w:rFonts w:ascii="Arial" w:hAnsi="Arial" w:eastAsia="SimSun"/>
              </w:rPr>
              <w:t>Kla-DDR / DDR</w:t>
            </w:r>
          </w:p>
        </w:tc>
        <w:tc>
          <w:tcPr>
            <w:tcW w:type="dxa" w:w="1020"/>
          </w:tcPr>
          <w:p>
            <w:pPr>
              <w:spacing w:before="50" w:after="50"/>
              <w:ind w:firstLine="0"/>
              <w:jc w:val="center"/>
            </w:pPr>
            <w:r>
              <w:rPr>
                <w:rFonts w:ascii="Arial" w:hAnsi="Arial"/>
                <w:b w:val="0"/>
                <w:i w:val="0"/>
                <w:sz w:val="19"/>
                <w:rFonts w:ascii="Arial" w:hAnsi="Arial" w:eastAsia="SimSun"/>
              </w:rPr>
              <w:t>95</w:t>
            </w:r>
          </w:p>
        </w:tc>
        <w:tc>
          <w:tcPr>
            <w:tcW w:type="dxa" w:w="1020"/>
          </w:tcPr>
          <w:p>
            <w:pPr>
              <w:spacing w:before="50" w:after="50"/>
              <w:ind w:firstLine="0"/>
              <w:jc w:val="center"/>
            </w:pPr>
            <w:r>
              <w:rPr>
                <w:rFonts w:ascii="Arial" w:hAnsi="Arial"/>
                <w:b w:val="0"/>
                <w:i w:val="0"/>
                <w:sz w:val="19"/>
                <w:rFonts w:ascii="Arial" w:hAnsi="Arial" w:eastAsia="SimSun"/>
              </w:rPr>
              <w:t>11.78%</w:t>
            </w:r>
          </w:p>
        </w:tc>
        <w:tc>
          <w:tcPr>
            <w:tcW w:type="dxa" w:w="1020"/>
          </w:tcPr>
          <w:p>
            <w:pPr>
              <w:spacing w:before="50" w:after="50"/>
              <w:ind w:firstLine="0"/>
              <w:jc w:val="center"/>
            </w:pPr>
            <w:r>
              <w:rPr>
                <w:rFonts w:ascii="Arial" w:hAnsi="Arial"/>
                <w:b w:val="0"/>
                <w:i w:val="0"/>
                <w:sz w:val="19"/>
                <w:rFonts w:ascii="Arial" w:hAnsi="Arial" w:eastAsia="SimSun"/>
              </w:rPr>
              <w:t>21.66%</w:t>
            </w:r>
          </w:p>
        </w:tc>
        <w:tc>
          <w:tcPr>
            <w:tcW w:type="dxa" w:w="1020"/>
          </w:tcPr>
          <w:p>
            <w:pPr>
              <w:spacing w:before="50" w:after="50"/>
              <w:ind w:firstLine="0"/>
              <w:jc w:val="center"/>
            </w:pPr>
            <w:r>
              <w:rPr>
                <w:rFonts w:ascii="Arial" w:hAnsi="Arial"/>
                <w:b w:val="0"/>
                <w:i w:val="0"/>
                <w:sz w:val="19"/>
                <w:rFonts w:ascii="Arial" w:hAnsi="Arial" w:eastAsia="SimSun"/>
              </w:rPr>
              <w:t>9.88</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TCGA 历史 ESCC 对照</w:t>
            </w:r>
          </w:p>
        </w:tc>
        <w:tc>
          <w:tcPr>
            <w:tcW w:type="dxa" w:w="2154"/>
          </w:tcPr>
          <w:p>
            <w:pPr>
              <w:spacing w:before="50" w:after="50"/>
              <w:ind w:firstLine="0"/>
              <w:jc w:val="center"/>
            </w:pPr>
            <w:r>
              <w:rPr>
                <w:rFonts w:ascii="Arial" w:hAnsi="Arial"/>
                <w:b w:val="0"/>
                <w:i w:val="0"/>
                <w:sz w:val="19"/>
                <w:rFonts w:ascii="Arial" w:hAnsi="Arial" w:eastAsia="SimSun"/>
              </w:rPr>
              <w:t>Kla-DNA repair / Repair</w:t>
            </w:r>
          </w:p>
        </w:tc>
        <w:tc>
          <w:tcPr>
            <w:tcW w:type="dxa" w:w="1020"/>
          </w:tcPr>
          <w:p>
            <w:pPr>
              <w:spacing w:before="50" w:after="50"/>
              <w:ind w:firstLine="0"/>
              <w:jc w:val="center"/>
            </w:pPr>
            <w:r>
              <w:rPr>
                <w:rFonts w:ascii="Arial" w:hAnsi="Arial"/>
                <w:b w:val="0"/>
                <w:i w:val="0"/>
                <w:sz w:val="19"/>
                <w:rFonts w:ascii="Arial" w:hAnsi="Arial" w:eastAsia="SimSun"/>
              </w:rPr>
              <w:t>95</w:t>
            </w:r>
          </w:p>
        </w:tc>
        <w:tc>
          <w:tcPr>
            <w:tcW w:type="dxa" w:w="1020"/>
          </w:tcPr>
          <w:p>
            <w:pPr>
              <w:spacing w:before="50" w:after="50"/>
              <w:ind w:firstLine="0"/>
              <w:jc w:val="center"/>
            </w:pPr>
            <w:r>
              <w:rPr>
                <w:rFonts w:ascii="Arial" w:hAnsi="Arial"/>
                <w:b w:val="0"/>
                <w:i w:val="0"/>
                <w:sz w:val="19"/>
                <w:rFonts w:ascii="Arial" w:hAnsi="Arial" w:eastAsia="SimSun"/>
              </w:rPr>
              <w:t>14.16%</w:t>
            </w:r>
          </w:p>
        </w:tc>
        <w:tc>
          <w:tcPr>
            <w:tcW w:type="dxa" w:w="1020"/>
          </w:tcPr>
          <w:p>
            <w:pPr>
              <w:spacing w:before="50" w:after="50"/>
              <w:ind w:firstLine="0"/>
              <w:jc w:val="center"/>
            </w:pPr>
            <w:r>
              <w:rPr>
                <w:rFonts w:ascii="Arial" w:hAnsi="Arial"/>
                <w:b w:val="0"/>
                <w:i w:val="0"/>
                <w:sz w:val="19"/>
                <w:rFonts w:ascii="Arial" w:hAnsi="Arial" w:eastAsia="SimSun"/>
              </w:rPr>
              <w:t>26.59</w:t>
            </w:r>
          </w:p>
        </w:tc>
        <w:tc>
          <w:tcPr>
            <w:tcW w:type="dxa" w:w="1020"/>
          </w:tcPr>
          <w:p>
            <w:pPr>
              <w:spacing w:before="50" w:after="50"/>
              <w:ind w:firstLine="0"/>
              <w:jc w:val="center"/>
            </w:pPr>
            <w:r>
              <w:rPr>
                <w:rFonts w:ascii="Arial" w:hAnsi="Arial"/>
                <w:b w:val="0"/>
                <w:i w:val="0"/>
                <w:sz w:val="19"/>
                <w:rFonts w:ascii="Arial" w:hAnsi="Arial" w:eastAsia="SimSun"/>
              </w:rPr>
              <w:t>12.42</w:t>
            </w:r>
          </w:p>
        </w:tc>
        <w:tc>
          <w:tcPr>
            <w:tcW w:type="dxa" w:w="850"/>
          </w:tcPr>
          <w:p>
            <w:pPr>
              <w:spacing w:before="50" w:after="50"/>
              <w:ind w:firstLine="0"/>
              <w:jc w:val="center"/>
            </w:pPr>
            <w:r>
              <w:rPr>
                <w:rFonts w:ascii="Arial" w:hAnsi="Arial"/>
                <w:b w:val="0"/>
                <w:i w:val="0"/>
                <w:sz w:val="19"/>
                <w:rFonts w:ascii="Arial" w:hAnsi="Arial" w:eastAsia="SimSun"/>
              </w:rPr>
              <w:t>0.0%</w:t>
            </w:r>
          </w:p>
        </w:tc>
      </w:tr>
    </w:tbl>
    <w:p>
      <w:pPr>
        <w:spacing w:before="0" w:after="120"/>
      </w:pPr>
    </w:p>
    <w:p>
      <w:pPr>
        <w:keepNext/>
        <w:spacing w:before="280" w:after="120"/>
      </w:pPr>
      <w:r>
        <w:rPr>
          <w:rFonts w:ascii="Arial" w:hAnsi="Arial"/>
          <w:b/>
          <w:i w:val="0"/>
          <w:color w:val="1F4E79"/>
          <w:sz w:val="27"/>
          <w:rFonts w:ascii="Arial" w:hAnsi="Arial" w:eastAsia="SimHei"/>
        </w:rPr>
        <w:t>四、外部验证外推差异的科学归因与机理分析 (Discussion)</w:t>
      </w:r>
    </w:p>
    <w:p>
      <w:pPr>
        <w:spacing w:line="300" w:lineRule="auto" w:before="0" w:after="60"/>
        <w:ind w:firstLine="420"/>
      </w:pPr>
      <w:r>
        <w:rPr>
          <w:rFonts w:ascii="Arial" w:hAnsi="Arial"/>
          <w:b/>
          <w:i w:val="0"/>
          <w:sz w:val="22"/>
          <w:rFonts w:ascii="Arial" w:hAnsi="Arial" w:eastAsia="SimSun"/>
        </w:rPr>
        <w:t>核心科学归因：</w:t>
      </w:r>
      <w:r>
        <w:rPr>
          <w:rFonts w:ascii="Arial" w:hAnsi="Arial"/>
          <w:b w:val="0"/>
          <w:i w:val="0"/>
          <w:sz w:val="22"/>
          <w:rFonts w:ascii="Arial" w:hAnsi="Arial" w:eastAsia="SimSun"/>
        </w:rPr>
        <w:t>外部真实盲测结果显示，模型预测值（约 20% ~ 24%）与新质谱真值（约 11% ~ 14%）之间存在约 9~10 个百分点的稳定系统性偏移。深入剖析实验细节，这一现象具有深刻的生物学与技术归因：</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材料基线偏移：</w:t>
      </w:r>
      <w:r>
        <w:rPr>
          <w:rFonts w:ascii="Arial" w:hAnsi="Arial"/>
          <w:b w:val="0"/>
          <w:i w:val="0"/>
          <w:sz w:val="21"/>
          <w:rFonts w:ascii="Arial" w:hAnsi="Arial" w:eastAsia="SimSun"/>
        </w:rPr>
        <w:t>基线记忆与材料锚定效应：在模型的训练集中，既有的食管鳞癌材料（PXD064038，华西医院队列）其实测标签为 DDR 21.19%、DNA repair 26.12%。当模型接收到新队列 GSE130078 的食管癌组织 RNA 表达特征时，决策树成功将其归类为‘食管鳞癌’，并给出了围绕该材料历史基线（~21%）的预测输出。这表明模型学到的是训练集特定材料与特定实验条件的对应关系；</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质谱富集与深度差异：</w:t>
      </w:r>
      <w:r>
        <w:rPr>
          <w:rFonts w:ascii="Arial" w:hAnsi="Arial"/>
          <w:b w:val="0"/>
          <w:i w:val="0"/>
          <w:sz w:val="21"/>
          <w:rFonts w:ascii="Arial" w:hAnsi="Arial" w:eastAsia="SimSun"/>
        </w:rPr>
        <w:t>跨实验室质谱检测深度差异：新研究 PXD063945 中普通蛋白质组鉴定到 8,281 个蛋白，而 Kla 修饰位点仅 1,836 个（相比部分高深度研究相对保守），导致其计算出的修饰检出比例基准（11%~14%）本身就低于历史训练集（21%~26%）。不同实验室的质谱抗体富集效率、离子淌度参数及色谱柱长度差异，直接导致了‘检出蛋白种类分子/分母’的基线发生系统性位移；</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人群与队列异质性：</w:t>
      </w:r>
      <w:r>
        <w:rPr>
          <w:rFonts w:ascii="Arial" w:hAnsi="Arial"/>
          <w:b w:val="0"/>
          <w:i w:val="0"/>
          <w:sz w:val="21"/>
          <w:rFonts w:ascii="Arial" w:hAnsi="Arial" w:eastAsia="SimSun"/>
        </w:rPr>
        <w:t>非直接多组学配对限制：外部测试数据虽然在组织类型（食管鳞癌）与病理状态（未经术前化疗）上做到了严格材料级对应，但质谱来自华山医院，RNA 来自韩国 YSH 队列，两者分属不同人群，无法排除微环境异质性与治疗前史的影响。</w:t>
      </w:r>
    </w:p>
    <w:p>
      <w:pPr>
        <w:spacing w:line="300" w:lineRule="auto" w:before="0" w:after="60"/>
        <w:ind w:firstLine="420"/>
      </w:pPr>
      <w:r>
        <w:rPr>
          <w:rFonts w:ascii="Arial" w:hAnsi="Arial"/>
          <w:b w:val="0"/>
          <w:i w:val="0"/>
          <w:sz w:val="22"/>
          <w:rFonts w:ascii="Arial" w:hAnsi="Arial" w:eastAsia="SimSun"/>
        </w:rPr>
        <w:t>结论与启示：我们坚决拒绝为了‘数字好看’而对外部预测结果进行后验常数平移或人为校准，而是选择完整、客观地报告这一误差。这一实测结果无可辩驳地证明：当前模型非常适合作为‘本研究已有材料体系内的精准映射与重现工具’；但若要在临床未知新批次上实现免校准盲测，未来必须引入少量样本的局部基线锚定（Anchor Calibration）或跨平台自适应校准算法。</w:t>
      </w:r>
    </w:p>
    <w:p>
      <w:pPr>
        <w:keepNext/>
        <w:spacing w:before="280" w:after="120"/>
      </w:pPr>
      <w:r>
        <w:rPr>
          <w:rFonts w:ascii="Arial" w:hAnsi="Arial"/>
          <w:b/>
          <w:i w:val="0"/>
          <w:color w:val="1F4E79"/>
          <w:sz w:val="27"/>
          <w:rFonts w:ascii="Arial" w:hAnsi="Arial" w:eastAsia="SimHei"/>
        </w:rPr>
        <w:t>五、向导师汇报的答辩与沟通策略 (Advisor Communication Guide)</w:t>
      </w:r>
    </w:p>
    <w:p>
      <w:pPr>
        <w:spacing w:line="300" w:lineRule="auto" w:before="0" w:after="60"/>
        <w:ind w:firstLine="420"/>
      </w:pPr>
      <w:r>
        <w:rPr>
          <w:rFonts w:ascii="Arial" w:hAnsi="Arial"/>
          <w:b w:val="0"/>
          <w:i w:val="0"/>
          <w:sz w:val="22"/>
          <w:rFonts w:ascii="Arial" w:hAnsi="Arial" w:eastAsia="SimSun"/>
        </w:rPr>
        <w:t>结合导师在微信中关注的要点，建议采用以下标准口径进行当面汇报或文字答复：</w:t>
      </w:r>
    </w:p>
    <w:p>
      <w:pPr>
        <w:keepNext/>
        <w:spacing w:before="200" w:after="80"/>
      </w:pPr>
      <w:r>
        <w:rPr>
          <w:rFonts w:ascii="Arial" w:hAnsi="Arial"/>
          <w:b/>
          <w:i w:val="0"/>
          <w:color w:val="2C5A87"/>
          <w:sz w:val="24"/>
          <w:rFonts w:ascii="Arial" w:hAnsi="Arial" w:eastAsia="SimHei"/>
        </w:rPr>
        <w:t>5.1 针对提问：“这 Top 25 基因到底是怎么来的？”</w:t>
      </w:r>
    </w:p>
    <w:p>
      <w:pPr>
        <w:spacing w:line="300" w:lineRule="auto" w:before="0" w:after="60"/>
        <w:ind w:firstLine="420"/>
      </w:pPr>
      <w:r>
        <w:rPr>
          <w:rFonts w:ascii="Arial" w:hAnsi="Arial"/>
          <w:b/>
          <w:i w:val="0"/>
          <w:sz w:val="22"/>
          <w:rFonts w:ascii="Arial" w:hAnsi="Arial" w:eastAsia="SimSun"/>
        </w:rPr>
        <w:t>核心定调：</w:t>
      </w:r>
      <w:r>
        <w:rPr>
          <w:rFonts w:ascii="Arial" w:hAnsi="Arial"/>
          <w:b w:val="0"/>
          <w:i w:val="0"/>
          <w:sz w:val="22"/>
          <w:rFonts w:ascii="Arial" w:hAnsi="Arial" w:eastAsia="SimSun"/>
        </w:rPr>
        <w:t>标准回复话术：</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算法自发发现：</w:t>
      </w:r>
      <w:r>
        <w:rPr>
          <w:rFonts w:ascii="Arial" w:hAnsi="Arial"/>
          <w:b w:val="0"/>
          <w:i w:val="0"/>
          <w:sz w:val="21"/>
          <w:rFonts w:ascii="Arial" w:hAnsi="Arial" w:eastAsia="SimSun"/>
        </w:rPr>
        <w:t>“老师，这 Top 25 个特征基因完全是从全部 18,332 个共有基因里，由随机森林算法根据 Gini 不纯度下降纯客观计算排名的，完全没有经过任何人工预选。最令人惊喜的是，在没有任何先验干预的情况下，DNA 损伤应答最核心的总舵手——TP53，自发跃升至 DDR 模型贡献榜第 7 位！这充分证实全基因模型自动抓取到了 DDR 调控网络的核心分子枢纽。”</w:t>
      </w:r>
    </w:p>
    <w:p>
      <w:pPr>
        <w:keepNext/>
        <w:spacing w:before="200" w:after="80"/>
      </w:pPr>
      <w:r>
        <w:rPr>
          <w:rFonts w:ascii="Arial" w:hAnsi="Arial"/>
          <w:b/>
          <w:i w:val="0"/>
          <w:color w:val="2C5A87"/>
          <w:sz w:val="24"/>
          <w:rFonts w:ascii="Arial" w:hAnsi="Arial" w:eastAsia="SimHei"/>
        </w:rPr>
        <w:t>5.2 针对提问：“有没有用新数据测试？效果到底怎么样？”</w:t>
      </w:r>
    </w:p>
    <w:p>
      <w:pPr>
        <w:spacing w:line="300" w:lineRule="auto" w:before="0" w:after="60"/>
        <w:ind w:firstLine="420"/>
      </w:pPr>
      <w:r>
        <w:rPr>
          <w:rFonts w:ascii="Arial" w:hAnsi="Arial"/>
          <w:b/>
          <w:i w:val="0"/>
          <w:sz w:val="22"/>
          <w:rFonts w:ascii="Arial" w:hAnsi="Arial" w:eastAsia="SimSun"/>
        </w:rPr>
        <w:t>核心定调：</w:t>
      </w:r>
      <w:r>
        <w:rPr>
          <w:rFonts w:ascii="Arial" w:hAnsi="Arial"/>
          <w:b w:val="0"/>
          <w:i w:val="0"/>
          <w:sz w:val="22"/>
          <w:rFonts w:ascii="Arial" w:hAnsi="Arial" w:eastAsia="SimSun"/>
        </w:rPr>
        <w:t>标准回复话术：</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坦承实测进展：</w:t>
      </w:r>
      <w:r>
        <w:rPr>
          <w:rFonts w:ascii="Arial" w:hAnsi="Arial"/>
          <w:b w:val="0"/>
          <w:i w:val="0"/>
          <w:sz w:val="21"/>
          <w:rFonts w:ascii="Arial" w:hAnsi="Arial" w:eastAsia="SimSun"/>
        </w:rPr>
        <w:t>“老师，响应您的指示，我们已经在全球数据库完成排查，并实际下载处理了 2026 年新公布的华山医院食管鳞癌质谱数据（PXD063945）与独立的韩国队列 46 例组织切片 RNA（GSE130078），完成了严格的冻结模型盲测。实测表明：新质谱测定的 DDR 乳酸化占比约为 11.78%，而模型预测输出约为 20.85%，盲测平均误差约 9 个百分点。这客观说明跨实验室质谱富集深度和测序批次效应会导致基线平移，模型在已有材料内部非常稳定（误差 1%~2%），但跨研究盲测确实需要先用少量同批次对照样本做基线标定。我们认为把这一客观规律如实汇报出来，体现了科研的严谨性。”</w:t>
      </w:r>
    </w:p>
    <w:p>
      <w:pPr>
        <w:keepNext/>
        <w:spacing w:before="280" w:after="120"/>
      </w:pPr>
      <w:r>
        <w:rPr>
          <w:rFonts w:ascii="Arial" w:hAnsi="Arial"/>
          <w:b/>
          <w:i w:val="0"/>
          <w:color w:val="1F4E79"/>
          <w:sz w:val="27"/>
          <w:rFonts w:ascii="Arial" w:hAnsi="Arial" w:eastAsia="SimHei"/>
        </w:rPr>
        <w:t>六、交付文件与数据路径清单 (File Index)</w:t>
      </w:r>
    </w:p>
    <w:p>
      <w:pPr>
        <w:spacing w:line="300" w:lineRule="auto" w:before="0" w:after="60"/>
        <w:ind w:firstLine="420"/>
      </w:pPr>
      <w:r>
        <w:rPr>
          <w:rFonts w:ascii="Arial" w:hAnsi="Arial"/>
          <w:b w:val="0"/>
          <w:i w:val="0"/>
          <w:sz w:val="22"/>
          <w:rFonts w:ascii="Arial" w:hAnsi="Arial" w:eastAsia="SimSun"/>
        </w:rPr>
        <w:t>本项目本次更正及外部验证所产生的所有核心成果已严格入库并完成哈希审计，路径索引如下：</w:t>
      </w:r>
    </w:p>
    <w:p>
      <w:pPr>
        <w:keepNext/>
        <w:spacing w:before="120" w:after="80"/>
        <w:ind w:firstLine="0"/>
        <w:jc w:val="center"/>
      </w:pPr>
      <w:r>
        <w:rPr>
          <w:rFonts w:ascii="Arial" w:hAnsi="Arial"/>
          <w:b/>
          <w:i w:val="0"/>
          <w:color w:val="3C3C3C"/>
          <w:sz w:val="20"/>
          <w:rFonts w:ascii="Arial" w:hAnsi="Arial" w:eastAsia="SimSun"/>
        </w:rPr>
        <w:t>表 3 DDR 与 DNA repair 预测模型及外部验证成果交付文件路径索引表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3024"/>
        <w:gridCol w:w="3024"/>
        <w:gridCol w:w="3024"/>
      </w:tblGrid>
      <w:tr>
        <w:trPr>
          <w:tblHeader/>
        </w:trPr>
        <w:tc>
          <w:tcPr>
            <w:tcW w:type="dxa" w:w="158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文件类别</w:t>
            </w:r>
          </w:p>
        </w:tc>
        <w:tc>
          <w:tcPr>
            <w:tcW w:type="dxa" w:w="4649"/>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相对路径 / 文件名</w:t>
            </w:r>
          </w:p>
        </w:tc>
        <w:tc>
          <w:tcPr>
            <w:tcW w:type="dxa" w:w="2835"/>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规格说明</w:t>
            </w:r>
          </w:p>
        </w:tc>
      </w:tr>
      <w:tr>
        <w:tc>
          <w:tcPr>
            <w:tcW w:type="dxa" w:w="1587"/>
          </w:tcPr>
          <w:p>
            <w:pPr>
              <w:spacing w:before="50" w:after="50"/>
              <w:ind w:firstLine="0"/>
              <w:jc w:val="left"/>
            </w:pPr>
            <w:r>
              <w:rPr>
                <w:rFonts w:ascii="Arial" w:hAnsi="Arial"/>
                <w:b w:val="0"/>
                <w:i w:val="0"/>
                <w:sz w:val="19"/>
                <w:rFonts w:ascii="Arial" w:hAnsi="Arial" w:eastAsia="SimSun"/>
              </w:rPr>
              <w:t>DDR 散点图</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outputs/20260927_ddr_fraction_models/DDR/figures/RF_mtry135.png/.pdf</w:t>
            </w:r>
          </w:p>
        </w:tc>
        <w:tc>
          <w:tcPr>
            <w:tcW w:type="dxa" w:w="2835"/>
          </w:tcPr>
          <w:p>
            <w:pPr>
              <w:spacing w:before="50" w:after="50"/>
              <w:ind w:firstLine="0"/>
              <w:jc w:val="center"/>
            </w:pPr>
            <w:r>
              <w:rPr>
                <w:rFonts w:ascii="Arial" w:hAnsi="Arial"/>
                <w:b w:val="0"/>
                <w:i w:val="0"/>
                <w:sz w:val="19"/>
                <w:rFonts w:ascii="Arial" w:hAnsi="Arial" w:eastAsia="SimSun"/>
              </w:rPr>
              <w:t>Kla-DDR / DDR 四栏严格对照性能散点图</w:t>
            </w:r>
          </w:p>
        </w:tc>
      </w:tr>
      <w:tr>
        <w:tc>
          <w:tcPr>
            <w:tcW w:type="dxa" w:w="1587"/>
          </w:tcPr>
          <w:p>
            <w:pPr>
              <w:spacing w:before="50" w:after="50"/>
              <w:ind w:firstLine="0"/>
              <w:jc w:val="left"/>
            </w:pPr>
            <w:r>
              <w:rPr>
                <w:rFonts w:ascii="Arial" w:hAnsi="Arial"/>
                <w:b w:val="0"/>
                <w:i w:val="0"/>
                <w:sz w:val="19"/>
                <w:rFonts w:ascii="Arial" w:hAnsi="Arial" w:eastAsia="SimSun"/>
              </w:rPr>
              <w:t>DDR 特征图</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outputs/20260927_ddr_fraction_models/DDR/figures/top25.png/.pdf</w:t>
            </w:r>
          </w:p>
        </w:tc>
        <w:tc>
          <w:tcPr>
            <w:tcW w:type="dxa" w:w="2835"/>
          </w:tcPr>
          <w:p>
            <w:pPr>
              <w:spacing w:before="50" w:after="50"/>
              <w:ind w:firstLine="0"/>
              <w:jc w:val="center"/>
            </w:pPr>
            <w:r>
              <w:rPr>
                <w:rFonts w:ascii="Arial" w:hAnsi="Arial"/>
                <w:b w:val="0"/>
                <w:i w:val="0"/>
                <w:sz w:val="19"/>
                <w:rFonts w:ascii="Arial" w:hAnsi="Arial" w:eastAsia="SimSun"/>
              </w:rPr>
              <w:t>DDR 驱动特征 Top 25 排名条形图 (含 TP53 等)</w:t>
            </w:r>
          </w:p>
        </w:tc>
      </w:tr>
      <w:tr>
        <w:tc>
          <w:tcPr>
            <w:tcW w:type="dxa" w:w="1587"/>
          </w:tcPr>
          <w:p>
            <w:pPr>
              <w:spacing w:before="50" w:after="50"/>
              <w:ind w:firstLine="0"/>
              <w:jc w:val="left"/>
            </w:pPr>
            <w:r>
              <w:rPr>
                <w:rFonts w:ascii="Arial" w:hAnsi="Arial"/>
                <w:b w:val="0"/>
                <w:i w:val="0"/>
                <w:sz w:val="19"/>
                <w:rFonts w:ascii="Arial" w:hAnsi="Arial" w:eastAsia="SimSun"/>
              </w:rPr>
              <w:t>Repair 散点图</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outputs/20260927_ddr_fraction_models/DNA_repair/figures/RF_mtry135.png/.pdf</w:t>
            </w:r>
          </w:p>
        </w:tc>
        <w:tc>
          <w:tcPr>
            <w:tcW w:type="dxa" w:w="2835"/>
          </w:tcPr>
          <w:p>
            <w:pPr>
              <w:spacing w:before="50" w:after="50"/>
              <w:ind w:firstLine="0"/>
              <w:jc w:val="center"/>
            </w:pPr>
            <w:r>
              <w:rPr>
                <w:rFonts w:ascii="Arial" w:hAnsi="Arial"/>
                <w:b w:val="0"/>
                <w:i w:val="0"/>
                <w:sz w:val="19"/>
                <w:rFonts w:ascii="Arial" w:hAnsi="Arial" w:eastAsia="SimSun"/>
              </w:rPr>
              <w:t>Kla-DNA repair / Repair 四栏严格对照性能散点图</w:t>
            </w:r>
          </w:p>
        </w:tc>
      </w:tr>
      <w:tr>
        <w:tc>
          <w:tcPr>
            <w:tcW w:type="dxa" w:w="1587"/>
          </w:tcPr>
          <w:p>
            <w:pPr>
              <w:spacing w:before="50" w:after="50"/>
              <w:ind w:firstLine="0"/>
              <w:jc w:val="left"/>
            </w:pPr>
            <w:r>
              <w:rPr>
                <w:rFonts w:ascii="Arial" w:hAnsi="Arial"/>
                <w:b w:val="0"/>
                <w:i w:val="0"/>
                <w:sz w:val="19"/>
                <w:rFonts w:ascii="Arial" w:hAnsi="Arial" w:eastAsia="SimSun"/>
              </w:rPr>
              <w:t>Repair 特征图</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outputs/20260927_ddr_fraction_models/DNA_repair/figures/top25.png/.pdf</w:t>
            </w:r>
          </w:p>
        </w:tc>
        <w:tc>
          <w:tcPr>
            <w:tcW w:type="dxa" w:w="2835"/>
          </w:tcPr>
          <w:p>
            <w:pPr>
              <w:spacing w:before="50" w:after="50"/>
              <w:ind w:firstLine="0"/>
              <w:jc w:val="center"/>
            </w:pPr>
            <w:r>
              <w:rPr>
                <w:rFonts w:ascii="Arial" w:hAnsi="Arial"/>
                <w:b w:val="0"/>
                <w:i w:val="0"/>
                <w:sz w:val="19"/>
                <w:rFonts w:ascii="Arial" w:hAnsi="Arial" w:eastAsia="SimSun"/>
              </w:rPr>
              <w:t>DNA repair 驱动特征 Top 25 排名条形图</w:t>
            </w:r>
          </w:p>
        </w:tc>
      </w:tr>
      <w:tr>
        <w:tc>
          <w:tcPr>
            <w:tcW w:type="dxa" w:w="1587"/>
          </w:tcPr>
          <w:p>
            <w:pPr>
              <w:spacing w:before="50" w:after="50"/>
              <w:ind w:firstLine="0"/>
              <w:jc w:val="left"/>
            </w:pPr>
            <w:r>
              <w:rPr>
                <w:rFonts w:ascii="Arial" w:hAnsi="Arial"/>
                <w:b w:val="0"/>
                <w:i w:val="0"/>
                <w:sz w:val="19"/>
                <w:rFonts w:ascii="Arial" w:hAnsi="Arial" w:eastAsia="SimSun"/>
              </w:rPr>
              <w:t>外部盲测散点图</w:t>
            </w:r>
          </w:p>
        </w:tc>
        <w:tc>
          <w:tcPr>
            <w:tcW w:type="dxa" w:w="4649"/>
          </w:tcPr>
          <w:p>
            <w:pPr>
              <w:spacing w:before="50" w:after="50"/>
              <w:ind w:firstLine="0"/>
              <w:jc w:val="center"/>
            </w:pPr>
            <w:r>
              <w:rPr>
                <w:rFonts w:ascii="Arial" w:hAnsi="Arial"/>
                <w:b w:val="0"/>
                <w:i w:val="0"/>
                <w:sz w:val="19"/>
                <w:rFonts w:ascii="Arial" w:hAnsi="Arial" w:eastAsia="SimSun"/>
              </w:rPr>
              <w:t>outputs/20260928_external_escc_evaluation/newRNA/figures/predictions.png/.pdf</w:t>
            </w:r>
          </w:p>
        </w:tc>
        <w:tc>
          <w:tcPr>
            <w:tcW w:type="dxa" w:w="2835"/>
          </w:tcPr>
          <w:p>
            <w:pPr>
              <w:spacing w:before="50" w:after="50"/>
              <w:ind w:firstLine="0"/>
              <w:jc w:val="center"/>
            </w:pPr>
            <w:r>
              <w:rPr>
                <w:rFonts w:ascii="Arial" w:hAnsi="Arial"/>
                <w:b w:val="0"/>
                <w:i w:val="0"/>
                <w:sz w:val="19"/>
                <w:rFonts w:ascii="Arial" w:hAnsi="Arial" w:eastAsia="SimSun"/>
              </w:rPr>
              <w:t>GSE130078 组织 RNA 盲测 PXD063945 实测散点图</w:t>
            </w:r>
          </w:p>
        </w:tc>
      </w:tr>
      <w:tr>
        <w:tc>
          <w:tcPr>
            <w:tcW w:type="dxa" w:w="1587"/>
          </w:tcPr>
          <w:p>
            <w:pPr>
              <w:spacing w:before="50" w:after="50"/>
              <w:ind w:firstLine="0"/>
              <w:jc w:val="left"/>
            </w:pPr>
            <w:r>
              <w:rPr>
                <w:rFonts w:ascii="Arial" w:hAnsi="Arial"/>
                <w:b w:val="0"/>
                <w:i w:val="0"/>
                <w:sz w:val="19"/>
                <w:rFonts w:ascii="Arial" w:hAnsi="Arial" w:eastAsia="SimSun"/>
              </w:rPr>
              <w:t>全模型指标表</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outputs/20260927_ddr_fraction_models/comparison_metrics.csv</w:t>
            </w:r>
          </w:p>
        </w:tc>
        <w:tc>
          <w:tcPr>
            <w:tcW w:type="dxa" w:w="2835"/>
          </w:tcPr>
          <w:p>
            <w:pPr>
              <w:spacing w:before="50" w:after="50"/>
              <w:ind w:firstLine="0"/>
              <w:jc w:val="center"/>
            </w:pPr>
            <w:r>
              <w:rPr>
                <w:rFonts w:ascii="Arial" w:hAnsi="Arial"/>
                <w:b w:val="0"/>
                <w:i w:val="0"/>
                <w:sz w:val="19"/>
                <w:rFonts w:ascii="Arial" w:hAnsi="Arial" w:eastAsia="SimSun"/>
              </w:rPr>
              <w:t>包含训练拟合、盲测集与来源留出的 16 行完整指标</w:t>
            </w:r>
          </w:p>
        </w:tc>
      </w:tr>
      <w:tr>
        <w:tc>
          <w:tcPr>
            <w:tcW w:type="dxa" w:w="1587"/>
          </w:tcPr>
          <w:p>
            <w:pPr>
              <w:spacing w:before="50" w:after="50"/>
              <w:ind w:firstLine="0"/>
              <w:jc w:val="left"/>
            </w:pPr>
            <w:r>
              <w:rPr>
                <w:rFonts w:ascii="Arial" w:hAnsi="Arial"/>
                <w:b w:val="0"/>
                <w:i w:val="0"/>
                <w:sz w:val="19"/>
                <w:rFonts w:ascii="Arial" w:hAnsi="Arial" w:eastAsia="SimSun"/>
              </w:rPr>
              <w:t>外部盲测明细</w:t>
            </w:r>
          </w:p>
        </w:tc>
        <w:tc>
          <w:tcPr>
            <w:tcW w:type="dxa" w:w="4649"/>
          </w:tcPr>
          <w:p>
            <w:pPr>
              <w:spacing w:before="50" w:after="50"/>
              <w:ind w:firstLine="0"/>
              <w:jc w:val="center"/>
            </w:pPr>
            <w:r>
              <w:rPr>
                <w:rFonts w:ascii="Arial" w:hAnsi="Arial"/>
                <w:b w:val="0"/>
                <w:i w:val="0"/>
                <w:sz w:val="19"/>
                <w:rFonts w:ascii="Arial" w:hAnsi="Arial" w:eastAsia="SimSun"/>
              </w:rPr>
              <w:t>outputs/20260928_external_escc_evaluation/newRNA/summary.csv</w:t>
            </w:r>
          </w:p>
        </w:tc>
        <w:tc>
          <w:tcPr>
            <w:tcW w:type="dxa" w:w="2835"/>
          </w:tcPr>
          <w:p>
            <w:pPr>
              <w:spacing w:before="50" w:after="50"/>
              <w:ind w:firstLine="0"/>
              <w:jc w:val="center"/>
            </w:pPr>
            <w:r>
              <w:rPr>
                <w:rFonts w:ascii="Arial" w:hAnsi="Arial"/>
                <w:b w:val="0"/>
                <w:i w:val="0"/>
                <w:sz w:val="19"/>
                <w:rFonts w:ascii="Arial" w:hAnsi="Arial" w:eastAsia="SimSun"/>
              </w:rPr>
              <w:t>新 RNA 食管癌肿瘤与癌旁逐项盲测误差汇总表</w:t>
            </w:r>
          </w:p>
        </w:tc>
      </w:tr>
      <w:tr>
        <w:tc>
          <w:tcPr>
            <w:tcW w:type="dxa" w:w="1587"/>
          </w:tcPr>
          <w:p>
            <w:pPr>
              <w:spacing w:before="50" w:after="50"/>
              <w:ind w:firstLine="0"/>
              <w:jc w:val="left"/>
            </w:pPr>
            <w:r>
              <w:rPr>
                <w:rFonts w:ascii="Arial" w:hAnsi="Arial"/>
                <w:b w:val="0"/>
                <w:i w:val="0"/>
                <w:sz w:val="19"/>
                <w:rFonts w:ascii="Arial" w:hAnsi="Arial" w:eastAsia="SimSun"/>
              </w:rPr>
              <w:t>DDR 冻结模型</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outputs/20260927_ddr_fraction_models/DDR/RF_mtry135.rds</w:t>
            </w:r>
          </w:p>
        </w:tc>
        <w:tc>
          <w:tcPr>
            <w:tcW w:type="dxa" w:w="2835"/>
          </w:tcPr>
          <w:p>
            <w:pPr>
              <w:spacing w:before="50" w:after="50"/>
              <w:ind w:firstLine="0"/>
              <w:jc w:val="center"/>
            </w:pPr>
            <w:r>
              <w:rPr>
                <w:rFonts w:ascii="Arial" w:hAnsi="Arial"/>
                <w:b w:val="0"/>
                <w:i w:val="0"/>
                <w:sz w:val="19"/>
                <w:rFonts w:ascii="Arial" w:hAnsi="Arial" w:eastAsia="SimSun"/>
              </w:rPr>
              <w:t>18,332 基因完整 DDR 随机森林回归模型</w:t>
            </w:r>
          </w:p>
        </w:tc>
      </w:tr>
      <w:tr>
        <w:tc>
          <w:tcPr>
            <w:tcW w:type="dxa" w:w="1587"/>
          </w:tcPr>
          <w:p>
            <w:pPr>
              <w:spacing w:before="50" w:after="50"/>
              <w:ind w:firstLine="0"/>
              <w:jc w:val="left"/>
            </w:pPr>
            <w:r>
              <w:rPr>
                <w:rFonts w:ascii="Arial" w:hAnsi="Arial"/>
                <w:b w:val="0"/>
                <w:i w:val="0"/>
                <w:sz w:val="19"/>
                <w:rFonts w:ascii="Arial" w:hAnsi="Arial" w:eastAsia="SimSun"/>
              </w:rPr>
              <w:t>Repair 冻结模型</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outputs/20260927_ddr_fraction_models/DNA_repair/RF_mtry135.rds</w:t>
            </w:r>
          </w:p>
        </w:tc>
        <w:tc>
          <w:tcPr>
            <w:tcW w:type="dxa" w:w="2835"/>
          </w:tcPr>
          <w:p>
            <w:pPr>
              <w:spacing w:before="50" w:after="50"/>
              <w:ind w:firstLine="0"/>
              <w:jc w:val="center"/>
            </w:pPr>
            <w:r>
              <w:rPr>
                <w:rFonts w:ascii="Arial" w:hAnsi="Arial"/>
                <w:b w:val="0"/>
                <w:i w:val="0"/>
                <w:sz w:val="19"/>
                <w:rFonts w:ascii="Arial" w:hAnsi="Arial" w:eastAsia="SimSun"/>
              </w:rPr>
              <w:t>18,332 基因完整 DNA repair 随机森林回归模型</w:t>
            </w:r>
          </w:p>
        </w:tc>
      </w:tr>
      <w:tr>
        <w:tc>
          <w:tcPr>
            <w:tcW w:type="dxa" w:w="1587"/>
          </w:tcPr>
          <w:p>
            <w:pPr>
              <w:spacing w:before="50" w:after="50"/>
              <w:ind w:firstLine="0"/>
              <w:jc w:val="left"/>
            </w:pPr>
            <w:r>
              <w:rPr>
                <w:rFonts w:ascii="Arial" w:hAnsi="Arial"/>
                <w:b w:val="0"/>
                <w:i w:val="0"/>
                <w:sz w:val="19"/>
                <w:rFonts w:ascii="Arial" w:hAnsi="Arial" w:eastAsia="SimSun"/>
              </w:rPr>
              <w:t>外部数据报告</w:t>
            </w:r>
          </w:p>
        </w:tc>
        <w:tc>
          <w:tcPr>
            <w:tcW w:type="dxa" w:w="4649"/>
          </w:tcPr>
          <w:p>
            <w:pPr>
              <w:spacing w:before="50" w:after="50"/>
              <w:ind w:firstLine="0"/>
              <w:jc w:val="center"/>
            </w:pPr>
            <w:r>
              <w:rPr>
                <w:rFonts w:ascii="Arial" w:hAnsi="Arial"/>
                <w:b w:val="0"/>
                <w:i w:val="0"/>
                <w:sz w:val="19"/>
                <w:rFonts w:ascii="Arial" w:hAnsi="Arial" w:eastAsia="SimSun"/>
              </w:rPr>
              <w:t>workflow/external_material/README.md</w:t>
            </w:r>
          </w:p>
        </w:tc>
        <w:tc>
          <w:tcPr>
            <w:tcW w:type="dxa" w:w="2835"/>
          </w:tcPr>
          <w:p>
            <w:pPr>
              <w:spacing w:before="50" w:after="50"/>
              <w:ind w:firstLine="0"/>
              <w:jc w:val="center"/>
            </w:pPr>
            <w:r>
              <w:rPr>
                <w:rFonts w:ascii="Arial" w:hAnsi="Arial"/>
                <w:b w:val="0"/>
                <w:i w:val="0"/>
                <w:sz w:val="19"/>
                <w:rFonts w:ascii="Arial" w:hAnsi="Arial" w:eastAsia="SimSun"/>
              </w:rPr>
              <w:t>PXD063945 与 GSE130078 数据获取与处理详细复现记录</w:t>
            </w:r>
          </w:p>
        </w:tc>
      </w:tr>
    </w:tbl>
    <w:p>
      <w:pPr>
        <w:spacing w:before="0" w:after="120"/>
      </w:pP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color w:val="646464"/>
        <w:sz w:val="18"/>
      </w:rPr>
      <w:t xml:space="preserve">第 </w:t>
    </w:r>
    <w:fldSimple w:instr="PAGE"/>
    <w:r>
      <w:rPr>
        <w:rFonts w:ascii="SimSun" w:hAnsi="SimSun"/>
        <w:color w:val="64646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color w:val="808080"/>
        <w:sz w:val="17"/>
      </w:rPr>
      <w:t>人类乳酸化修饰组学与 DDR 机制分析项目 · 专项实验报告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