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F4E78"/>
          <w:sz w:val="44"/>
        </w:rPr>
        <w:t>Methods</w:t>
      </w:r>
    </w:p>
    <w:p>
      <w:pPr>
        <w:spacing w:before="0" w:after="240"/>
      </w:pPr>
      <w:r>
        <w:rPr>
          <w:rFonts w:ascii="Arial" w:hAnsi="Arial"/>
          <w:b/>
          <w:color w:val="2E75B6"/>
          <w:sz w:val="26"/>
        </w:rPr>
        <w:t>Multi-Tissue Murine Spaceflight Transcriptomic Atlas and DNA Damage Repair Pathway Profiling</w:t>
      </w:r>
    </w:p>
    <w:tbl>
      <w:tblPr>
        <w:tblW w:type="auto" w:w="0"/>
        <w:jc w:val="center"/>
        <w:tblLayout w:type="fixed"/>
        <w:tblLook w:firstColumn="1" w:firstRow="1" w:lastColumn="0" w:lastRow="0" w:noHBand="0" w:noVBand="1" w:val="04A0"/>
      </w:tblPr>
      <w:tblGrid>
        <w:gridCol w:w="9360"/>
      </w:tblGrid>
      <w:tr>
        <w:tc>
          <w:tcPr>
            <w:tcW w:type="dxa" w:w="9360"/>
            <w:shd w:fill="F2F5F9"/>
            <w:tcMar>
              <w:top w:w="130" w:type="dxa"/>
              <w:bottom w:w="130" w:type="dxa"/>
              <w:left w:w="180" w:type="dxa"/>
              <w:right w:w="180" w:type="dxa"/>
            </w:tcMar>
            <w:tcBorders>
              <w:left w:val="single" w:sz="24" w:space="0" w:color="1F4E78"/>
              <w:top w:val="none"/>
              <w:right w:val="none"/>
              <w:bottom w:val="none"/>
            </w:tcBorders>
          </w:tcPr>
          <w:p>
            <w:pPr>
              <w:spacing w:line="276" w:lineRule="auto" w:after="40"/>
            </w:pPr>
            <w:r>
              <w:rPr>
                <w:rFonts w:ascii="Arial" w:hAnsi="Arial"/>
                <w:b/>
                <w:color w:val="1F4E78"/>
                <w:sz w:val="19"/>
              </w:rPr>
              <w:t>[FIGURE-ALIGNED METHODS SPECIFICATION]</w:t>
              <w:br/>
            </w:r>
            <w:r>
              <w:rPr>
                <w:rFonts w:ascii="Calibri" w:hAnsi="Calibri"/>
                <w:i/>
                <w:color w:val="333333"/>
                <w:sz w:val="19"/>
              </w:rPr>
              <w:t>Organization &amp; Rigor Contract: This Methods section is structured strictly in the sequential order of publication figures (Figure 1b to Figure 6, Supplementary Figures S1 to S6, and statistical audit tables). The text faithfully mirrors the actual computational implementation in the verified repository code, including the formal renumbering of DNA repair linear boxplots into Fig. 4b–d (DSB pathways: NHEJ, HR, A-EJ) and Fig. 5b–e (SSB pathways: BER, NER, MMR, FA), followed by the respective meta-dotplots (Fig. 4e and Fig. 5f). All analyses adhere to immutable Ensembl Gene IDs (GRCm38/GRCm39) as computational primary keys and deterministic pseudo-random seed locking at seed = 25.</w:t>
            </w:r>
          </w:p>
        </w:tc>
      </w:tr>
    </w:tbl>
    <w:p>
      <w:pPr>
        <w:spacing w:before="0" w:after="60"/>
      </w:pPr>
    </w:p>
    <w:p>
      <w:pPr>
        <w:keepNext/>
        <w:spacing w:before="280" w:after="80"/>
      </w:pPr>
      <w:r>
        <w:rPr>
          <w:rFonts w:ascii="Arial" w:hAnsi="Arial"/>
          <w:b/>
          <w:color w:val="1F4E78"/>
          <w:sz w:val="24"/>
        </w:rPr>
        <w:t>1. Experimental Design, Animal Cohort Compilation, and Multidimensional Metadata (Figure 1b, Figure 6)</w:t>
      </w:r>
    </w:p>
    <w:p>
      <w:pPr>
        <w:spacing w:line="293" w:lineRule="auto" w:before="0" w:after="90"/>
      </w:pPr>
      <w:r>
        <w:rPr>
          <w:rFonts w:ascii="Calibri" w:hAnsi="Calibri"/>
          <w:b/>
          <w:color w:val="262626"/>
          <w:sz w:val="20"/>
        </w:rPr>
        <w:t xml:space="preserve">Cohort Scope and Biospecimen Selection: </w:t>
      </w:r>
      <w:r>
        <w:rPr>
          <w:rFonts w:ascii="Calibri" w:hAnsi="Calibri"/>
          <w:color w:val="262626"/>
          <w:sz w:val="20"/>
        </w:rPr>
        <w:t>To establish an organism-wide, multi-tissue atlas of transcriptional adaptations and DNA damage repair alterations under spaceflight environmental stressors, transcriptomic profiles and experimental metadata were curated from the NASA Open Science Data Repository (OSDR, formerly GeneLab; https://osdr.nasa.gov/). The analytical cohort encompasses 48 independent transcriptomic accessions (OSD datasets) across 59 primary analysis units, comprising 761 murine RNA-seq biospecimens spanning 26 distinct anatomical tissues (Figure 1b, Figure 6).</w:t>
      </w:r>
    </w:p>
    <w:p>
      <w:pPr>
        <w:spacing w:line="293" w:lineRule="auto" w:before="0" w:after="90"/>
      </w:pPr>
      <w:r>
        <w:rPr>
          <w:rFonts w:ascii="Calibri" w:hAnsi="Calibri"/>
          <w:b/>
          <w:color w:val="262626"/>
          <w:sz w:val="20"/>
        </w:rPr>
        <w:t xml:space="preserve">Metadata Audit and Conflict Governance: </w:t>
      </w:r>
      <w:r>
        <w:rPr>
          <w:rFonts w:ascii="Calibri" w:hAnsi="Calibri"/>
          <w:color w:val="262626"/>
          <w:sz w:val="20"/>
        </w:rPr>
        <w:t>Biological and study metadata were programmatically extracted directly from the official NASA OSDR RESTful API and ISA-Tab archive ZIP files (R/data/01_refresh_osdr_mouse_metadata.R). The unified cohort includes 360 spaceflight mice (Flight / μG) and 401 ground-control mice (Ground control, Vivarium control, or Ground centrifuge / 1G baseline control). Exact donor animal identities (accession::Source Name), flight mission assignments across 13 mission clusters (SpaceX-4 to SpaceX-21, NG-11), biological sex (female and male), and donor chronological age (15 discrete age brackets, ranging from 8 to 32 weeks) were audited to resolve legacy ISA syntax discrepancies (such as confirming the current API mission assignment SpaceX-8 for OSD-162) without artificial age conversion or continuous imputation. Technical replicates were collapsed to ensure biological independence across all downstream tests.</w:t>
      </w:r>
    </w:p>
    <w:p>
      <w:pPr>
        <w:spacing w:line="293" w:lineRule="auto" w:before="0" w:after="90"/>
      </w:pPr>
      <w:r>
        <w:rPr>
          <w:rFonts w:ascii="Calibri" w:hAnsi="Calibri"/>
          <w:b/>
          <w:color w:val="262626"/>
          <w:sz w:val="20"/>
        </w:rPr>
        <w:t xml:space="preserve">Metadata Bubble Visualization and Complete Audit: </w:t>
      </w:r>
      <w:r>
        <w:rPr>
          <w:rFonts w:ascii="Calibri" w:hAnsi="Calibri"/>
          <w:color w:val="262626"/>
          <w:sz w:val="20"/>
        </w:rPr>
        <w:t>Experimental design and animal allocation across 26 tissues were visualized using a stratified bubble plot (Figure 1b, Figure 6). The horizontal axis follows the canonical cross-tissue DNA damage response (DDR) activation rank. Vertically, each mission cluster is bifurcated into paired female and male tracks, with point area scaling with unique donor mouse counts. Age brackets are mapped to a fixed chronological 15-color palette (yellow -&gt; green -&gt; blue -&gt; purple) without continuous interpolation. The single-sample audit table Fig_6_mouse_sample_metadata_complete_audit.csv contains 761 rows and 54 audited attributes verifying complete sample-to-study traceability.</w:t>
      </w:r>
    </w:p>
    <w:p>
      <w:pPr>
        <w:keepNext/>
        <w:spacing w:before="280" w:after="80"/>
      </w:pPr>
      <w:r>
        <w:rPr>
          <w:rFonts w:ascii="Arial" w:hAnsi="Arial"/>
          <w:b/>
          <w:color w:val="1F4E78"/>
          <w:sz w:val="24"/>
        </w:rPr>
        <w:t>2. Functional Pathway Enrichment and Cross-Tissue Gene Ontology Profiling (Figure 1c, Supplementary Figure S1)</w:t>
      </w:r>
    </w:p>
    <w:p>
      <w:pPr>
        <w:spacing w:line="293" w:lineRule="auto" w:before="0" w:after="90"/>
      </w:pPr>
      <w:r>
        <w:rPr>
          <w:rFonts w:ascii="Calibri" w:hAnsi="Calibri"/>
          <w:b/>
          <w:color w:val="262626"/>
          <w:sz w:val="20"/>
        </w:rPr>
        <w:t xml:space="preserve">Pre-Ranked fgsea Multilevel Modeling: </w:t>
      </w:r>
      <w:r>
        <w:rPr>
          <w:rFonts w:ascii="Calibri" w:hAnsi="Calibri"/>
          <w:color w:val="262626"/>
          <w:sz w:val="20"/>
        </w:rPr>
        <w:t>Functional pathway enrichment was evaluated via pre-ranked Gene Set Enrichment Analysis using fgseaMultilevel (fgsea package; R 4.4.3), with pseudo-random seeds locked at seed = 25. Differential expression was modeled within each accession using negative binomial GLMs in DESeq2, with contrast orientation audited to ensure Spaceflight vs. Ground directionality. Genes within each comparison were ranked by signed differential Wald statistics: S = sign(log2FC) · (-log10 P_nominal).</w:t>
      </w:r>
    </w:p>
    <w:p>
      <w:pPr>
        <w:spacing w:line="293" w:lineRule="auto" w:before="0" w:after="90"/>
      </w:pPr>
      <w:r>
        <w:rPr>
          <w:rFonts w:ascii="Calibri" w:hAnsi="Calibri"/>
          <w:b/>
          <w:color w:val="262626"/>
          <w:sz w:val="20"/>
        </w:rPr>
        <w:t xml:space="preserve">Curated Pathway Repertoire: </w:t>
      </w:r>
      <w:r>
        <w:rPr>
          <w:rFonts w:ascii="Calibri" w:hAnsi="Calibri"/>
          <w:color w:val="262626"/>
          <w:sz w:val="20"/>
        </w:rPr>
        <w:t>Analyses queried the MSigDB Hallmark collection (2026.1.Mm; Supplementary Figure S1) and 15 curated Gene Ontology Biological Process (GO:BP) terms (Figure 1c). The GO panel incorporates the core root term for DNA damage response (GO:0006974), sub-pathway branches (DNA repair GO:0006281; DNA damage signal transduction GO:0042770; Intrinsic apoptotic signaling GO:0008630; DNA damage tolerance GO:0006301; Telomere maintenance in response to DNA damage GO:0043247; Chromosome telomeric region GO:0000781), physiological context terms (Cell cycle GO:0007049; DNA replication GO:0006260; Transcription GO:0006351; Translation GO:0006412; Mitochondrion GO:0005739; Cytoskeleton GO:0005856), and comparative mechanosensory processes (Sensory perception of mechanical stimulus GO:0050954; Cell death GO:0008219).</w:t>
      </w:r>
    </w:p>
    <w:p>
      <w:pPr>
        <w:spacing w:line="293" w:lineRule="auto" w:before="0" w:after="90"/>
      </w:pPr>
      <w:r>
        <w:rPr>
          <w:rFonts w:ascii="Calibri" w:hAnsi="Calibri"/>
          <w:b/>
          <w:color w:val="262626"/>
          <w:sz w:val="20"/>
        </w:rPr>
        <w:t xml:space="preserve">Mission-Equal NES and Exact Permutation Statistics: </w:t>
      </w:r>
      <w:r>
        <w:rPr>
          <w:rFonts w:ascii="Calibri" w:hAnsi="Calibri"/>
          <w:color w:val="262626"/>
          <w:sz w:val="20"/>
        </w:rPr>
        <w:t>To prevent large missions from exerting disproportionate leverage, Normalized Enrichment Scores (NES) were aggregated via unweighted arithmetic averaging across contributing missions within each tissue. Empirical significance was verified via exact sign-flip two-sided permutation testing across all 2^m sign configurations, coupled with Stouffer meta-Z transformation and Benjamini-Hochberg False Discovery Rate (FDR) multiple testing correction. Figure 1c presents the complete 26 × 15 matrix with a fine blue–white–red continuous gradient.</w:t>
      </w:r>
    </w:p>
    <w:p>
      <w:pPr>
        <w:keepNext/>
        <w:spacing w:before="280" w:after="80"/>
      </w:pPr>
      <w:r>
        <w:rPr>
          <w:rFonts w:ascii="Arial" w:hAnsi="Arial"/>
          <w:b/>
          <w:color w:val="1F4E78"/>
          <w:sz w:val="24"/>
        </w:rPr>
        <w:t>3. Sample-Level Pathway Co-Regulation and Cross-Tissue Fisher-z Integration (Figure 2, Supplementary Figure S6)</w:t>
      </w:r>
    </w:p>
    <w:p>
      <w:pPr>
        <w:spacing w:line="293" w:lineRule="auto" w:before="0" w:after="90"/>
      </w:pPr>
      <w:r>
        <w:rPr>
          <w:rFonts w:ascii="Calibri" w:hAnsi="Calibri"/>
          <w:b/>
          <w:color w:val="262626"/>
          <w:sz w:val="20"/>
        </w:rPr>
        <w:t xml:space="preserve">Analytical Rationale: </w:t>
      </w:r>
      <w:r>
        <w:rPr>
          <w:rFonts w:ascii="Calibri" w:hAnsi="Calibri"/>
          <w:color w:val="262626"/>
          <w:sz w:val="20"/>
        </w:rPr>
        <w:t>To capture coordinated biological regulation across the 15 GO processes without suffering from ecological aggregation fallacies, a sample-level correlation framework was executed (python/plot_log2fc_per_tissue_pathway_spearman_20260902.py; Figure 2, Supplementary Figure S6).</w:t>
      </w:r>
    </w:p>
    <w:p>
      <w:pPr>
        <w:spacing w:line="293" w:lineRule="auto" w:before="0" w:after="90"/>
      </w:pPr>
      <w:r>
        <w:rPr>
          <w:rFonts w:ascii="Calibri" w:hAnsi="Calibri"/>
          <w:b/>
          <w:color w:val="262626"/>
          <w:sz w:val="20"/>
        </w:rPr>
        <w:t xml:space="preserve">Mathematical Formulation and Pooling Criteria: </w:t>
      </w:r>
      <w:r>
        <w:rPr>
          <w:rFonts w:ascii="Calibri" w:hAnsi="Calibri"/>
          <w:color w:val="262626"/>
          <w:sz w:val="20"/>
        </w:rPr>
        <w:t>1. Ground-Referenced Sample-Level log2FC: For each flight animal k within a given accession and tissue, sample-level expression was referenced against matched ground controls:</w:t>
        <w:br/>
        <w:t xml:space="preserve">        Sample_log2FC_k = log2(Expr_flight_k + 1) - &lt;log2(Expr_ground + 1)&gt;_accession, tissue</w:t>
        <w:br/>
        <w:t>The sample-level pathway activation score was defined as the mean log2FC of constituent member genes.</w:t>
        <w:br/>
        <w:t>2. Intra-Tissue Spearman Correlation: Within each of the 26 tissues, taking individual flight mice (n = 360) as independent observation units, pairwise non-parametric Spearman rank correlation coefficients (ρ_ij) were computed across the 15 GO terms, generating 26 distinct 15 × 15 correlation matrices (Supplementary Figure S6).</w:t>
        <w:br/>
        <w:t>3. Fisher-z Meta-Aggregation: Intra-tissue correlation coefficients were transformed into normally distributed z-scores:</w:t>
        <w:br/>
        <w:t xml:space="preserve">        z = arctanh(ρ) = 0.5 · ln[(1 + ρ) / (1 - ρ)]</w:t>
        <w:br/>
        <w:t>Correlations were bounded within [-1 + 10^(-12), 1 - 10^(-12)], and z-scores were capped at |z| ≤ 5.0.</w:t>
        <w:br/>
        <w:t>4. Cross-Tissue Pooling Criteria: An unweighted arithmetic mean z̄ was calculated across the 23 eligible tissues satisfying the sample-size threshold (n_flight ≥ 5; Colon [n = 4], Heart [n = 3], and Femoral skin [n = 2] were retained in individual panels but excluded from cross-tissue pooling). The pooled z̄ was back-transformed to derive the overall meta-analytic Spearman rank correlation:</w:t>
        <w:br/>
        <w:t xml:space="preserve">        ρ̄ = tanh(z̄) = [exp(2z̄) - 1] / [exp(2z̄) + 1]</w:t>
        <w:br/>
        <w:t>The resulting 15 × 15 consensus matrix is presented in Figure 2.</w:t>
      </w:r>
    </w:p>
    <w:p>
      <w:pPr>
        <w:keepNext/>
        <w:spacing w:before="280" w:after="80"/>
      </w:pPr>
      <w:r>
        <w:rPr>
          <w:rFonts w:ascii="Arial" w:hAnsi="Arial"/>
          <w:b/>
          <w:color w:val="1F4E78"/>
          <w:sz w:val="24"/>
        </w:rPr>
        <w:t>4. Organ-Specific Repertoires, UpSet Intersections, and Common-Direction DEG Prioritization (Figure 3a, 3b, Supplementary Figures S2–S4)</w:t>
      </w:r>
    </w:p>
    <w:p>
      <w:pPr>
        <w:spacing w:line="293" w:lineRule="auto" w:before="0" w:after="90"/>
      </w:pPr>
      <w:r>
        <w:rPr>
          <w:rFonts w:ascii="Calibri" w:hAnsi="Calibri"/>
          <w:b/>
          <w:color w:val="262626"/>
          <w:sz w:val="20"/>
        </w:rPr>
        <w:t xml:space="preserve">Repertoire Overlap and UpSet Topology: </w:t>
      </w:r>
      <w:r>
        <w:rPr>
          <w:rFonts w:ascii="Calibri" w:hAnsi="Calibri"/>
          <w:color w:val="262626"/>
          <w:sz w:val="20"/>
        </w:rPr>
        <w:t>To examine shared and tissue-specific responsive elements within the core DDR machinery (GO:0006974), overlapping DEG repertoires were evaluated across multi-dataset organs, specifically Thymus (4 flight comparisons, Figure 3a) and Kidney (5 independent OSDR datasets, Supplementary Figure S2a) using ggVennDiagram. Organ-wide intersection topology across NES &gt; 1 tissues (excluding Kidney, Supplementary Figure S3a) and NES &lt; -1 tissues (excluding Lung and Thymus, Supplementary Figure S4a) was resolved using UpSet intersection geometry (R/figures/06_go_upsets.R).</w:t>
      </w:r>
    </w:p>
    <w:p>
      <w:pPr>
        <w:spacing w:line="293" w:lineRule="auto" w:before="0" w:after="90"/>
      </w:pPr>
      <w:r>
        <w:rPr>
          <w:rFonts w:ascii="Calibri" w:hAnsi="Calibri"/>
          <w:b/>
          <w:color w:val="262626"/>
          <w:sz w:val="20"/>
        </w:rPr>
        <w:t xml:space="preserve">Common-Direction Screening Formulation: </w:t>
      </w:r>
      <w:r>
        <w:rPr>
          <w:rFonts w:ascii="Calibri" w:hAnsi="Calibri"/>
          <w:color w:val="262626"/>
          <w:sz w:val="20"/>
        </w:rPr>
        <w:t>To prioritize core genes demonstrating conserved responsiveness independent of mission idiosyncrasies, common-direction filtering was executed (python/plot_common_direction_heatmaps.py; Figure 3b, Supplementary Figure S2b, S3b, S4b). Candidate DEGs were required to demonstrate uniform directional concordance (all log2FC &gt; 0 or all log2FC &lt; 0) across all parallel dataset comparisons at nominal P &lt; 0.05 (or P &lt; 0.10 for global NES-stratified cohorts). Qualifying genes were ranked by their minimum absolute fold change across comparisons:</w:t>
        <w:br/>
        <w:t xml:space="preserve">        Score_g = min_c |log2FC_{g, c}|</w:t>
        <w:br/>
        <w:t>The top 30 ranked common-direction genes were displayed as heatmaps with standardized blue–white–red color gradients and exact log2FC text overlays.</w:t>
      </w:r>
    </w:p>
    <w:p>
      <w:pPr>
        <w:keepNext/>
        <w:spacing w:before="280" w:after="80"/>
      </w:pPr>
      <w:r>
        <w:rPr>
          <w:rFonts w:ascii="Arial" w:hAnsi="Arial"/>
          <w:b/>
          <w:color w:val="1F4E78"/>
          <w:sz w:val="24"/>
        </w:rPr>
        <w:t>5. Double-Strand Break (DSB) Repair Architecture: Baseline Clustering, Individual Linear Boxplots, and Spaceflight Meta-Analysis (Figure 4a–e)</w:t>
      </w:r>
    </w:p>
    <w:p>
      <w:pPr>
        <w:keepNext/>
        <w:spacing w:before="180" w:after="60"/>
      </w:pPr>
      <w:r>
        <w:rPr>
          <w:rFonts w:ascii="Arial" w:hAnsi="Arial"/>
          <w:b/>
          <w:color w:val="2E75B6"/>
          <w:sz w:val="22"/>
        </w:rPr>
        <w:t>5.1 Baseline Quantile Smoothing (YARN / qsmooth) and Hierarchical Clustering (Figure 4a)</w:t>
      </w:r>
    </w:p>
    <w:p>
      <w:pPr>
        <w:spacing w:line="293" w:lineRule="auto" w:before="0" w:after="90"/>
      </w:pPr>
      <w:r>
        <w:rPr>
          <w:rFonts w:ascii="Calibri" w:hAnsi="Calibri"/>
          <w:b/>
          <w:color w:val="262626"/>
          <w:sz w:val="20"/>
        </w:rPr>
        <w:t xml:space="preserve">Normalization and Dendrogram Clustering: </w:t>
      </w:r>
      <w:r>
        <w:rPr>
          <w:rFonts w:ascii="Calibri" w:hAnsi="Calibri"/>
          <w:color w:val="262626"/>
          <w:sz w:val="20"/>
        </w:rPr>
        <w:t>To mitigate technical batch artifacts while preserving bona fide tissue-specific transcriptional baselines, cross-tissue expression normalization was performed using the YARN framework implementing tissue-aware quantile smoothing (qsmooth). For the DSB repair module, 29 curated components spanning NHEJ (7 components), HR (14 components), HR–A-EJ shared factors (3 components), and A-EJ (5 components) were assembled. Pairwise topological dissimilarity between tissues Ta and Tb was computed on baseline normalized expression (YARNNormalizedLog2) via Spearman rank distance: D(Ta, Tb) = 1 - ρ_Spearman(Ta, Tb). Hierarchical agglomerative clustering was executed using average linkage (hclust(as.dist(D), method = 'average')), defining the stable dendrogram order for Figure 4a.</w:t>
      </w:r>
    </w:p>
    <w:p>
      <w:pPr>
        <w:keepNext/>
        <w:spacing w:before="180" w:after="60"/>
      </w:pPr>
      <w:r>
        <w:rPr>
          <w:rFonts w:ascii="Arial" w:hAnsi="Arial"/>
          <w:b/>
          <w:color w:val="2E75B6"/>
          <w:sz w:val="22"/>
        </w:rPr>
        <w:t>5.2 Tissue-Stratified Individual Linear Abundance Modeling and One-Way ANOVA (Figure 4b–d)</w:t>
      </w:r>
    </w:p>
    <w:p>
      <w:pPr>
        <w:spacing w:line="293" w:lineRule="auto" w:before="0" w:after="90"/>
      </w:pPr>
      <w:r>
        <w:rPr>
          <w:rFonts w:ascii="Calibri" w:hAnsi="Calibri"/>
          <w:b/>
          <w:color w:val="262626"/>
          <w:sz w:val="20"/>
        </w:rPr>
        <w:t xml:space="preserve">Linear Scale Formulation, Boxplot Geometry, and ANOVA Testing: </w:t>
      </w:r>
      <w:r>
        <w:rPr>
          <w:rFonts w:ascii="Calibri" w:hAnsi="Calibri"/>
          <w:color w:val="262626"/>
          <w:sz w:val="20"/>
        </w:rPr>
        <w:t>To assess physiological baseline expression and organ-level heterogeneity across the mammalian DSB repair machinery, key biological marker genes were selected and displayed on a linear expression scale (Expression_linear = 2^(YARNNormalizedLog2) - 1) across the 26 canonical tissues:</w:t>
        <w:br/>
        <w:t>• Figure 4b (NHEJ, 4 genes): Nhej1 / XLF (ENSMUSG00000026162), Paxx (ENSMUSG00000047617), Xrcc6 / Ku70 (ENSMUSG00000022471), Xrcc5 / Ku80 (ENSMUSG00000026187).</w:t>
        <w:br/>
        <w:t>• Figure 4c (HR, 4 genes): Brca1 (ENSMUSG00000017146), Bard1 (ENSMUSG00000026196), Blm (ENSMUSG00000030528), Rad51 (ENSMUSG00000027323).</w:t>
        <w:br/>
        <w:t>• Figure 4d (A-EJ, 4 genes): Parp1 (ENSMUSG00000026496), Polq (ENSMUSG00000034206), Lig1 (ENSMUSG00000056394), Lig3 (ENSMUSG00000020697).</w:t>
        <w:br/>
        <w:t>Boxplot Construction: The lower hinge represents Q1 (25%); the center solid line represents the sample mean (μ); the upper hinge represents Q3 (75%). Whiskers extend to the furthest observations within 1.5 × IQR. Individual flight mice biospecimens (n = 360) are overlaid as jittered points (dodge.width = 0.80, jitter.width = 0.11, seed = 25). Dashed lines connect tissue-level mean values for each gene.</w:t>
        <w:br/>
        <w:t>One-Way ANOVA: Tissue heterogeneity was evaluated via ordinary One-way ANOVA. Both gene-level tests (df_group = 25, df_residual = 334) and pathway-level tests (modeled on per-mouse mean pathway abundance) were conducted, with exact F-statistics and scientific P-values printed in figure subtitles: NHEJ (Pathway F = 47.99, P = 6.82 × 10^(-95)), HR (Pathway F = 39.53, P = 2.37 × 10^(-84)), and A-EJ (Pathway F = 42.60, P = 2.37 × 10^(-88)).</w:t>
      </w:r>
    </w:p>
    <w:p>
      <w:pPr>
        <w:keepNext/>
        <w:spacing w:before="180" w:after="60"/>
      </w:pPr>
      <w:r>
        <w:rPr>
          <w:rFonts w:ascii="Arial" w:hAnsi="Arial"/>
          <w:b/>
          <w:color w:val="2E75B6"/>
          <w:sz w:val="22"/>
        </w:rPr>
        <w:t>5.3 Spaceflight-Induced Meta-Differential Expression Analysis (Figure 4e)</w:t>
      </w:r>
    </w:p>
    <w:p>
      <w:pPr>
        <w:spacing w:line="293" w:lineRule="auto" w:before="0" w:after="90"/>
      </w:pPr>
      <w:r>
        <w:rPr>
          <w:rFonts w:ascii="Calibri" w:hAnsi="Calibri"/>
          <w:b/>
          <w:color w:val="262626"/>
          <w:sz w:val="20"/>
        </w:rPr>
        <w:t xml:space="preserve">Meta-Dotplot Construction: </w:t>
      </w:r>
      <w:r>
        <w:rPr>
          <w:rFonts w:ascii="Calibri" w:hAnsi="Calibri"/>
          <w:color w:val="262626"/>
          <w:sz w:val="20"/>
        </w:rPr>
        <w:t>To characterize spaceflight-induced perturbations across all 29 DSB components, multi-mission meta-analysis was performed (Figure 4e). Effect sizes are presented as the median of mission-level median log2FC values. Meta-significance across missions was integrated via signed Stouffer's Z-trend test: Z_meta = [∑ sign(log2FC_i) · Φ^(-1)(1 - P_i / 2)] / √m. Dot color reflects median log2FC and dot diameter scales with -log10(P_meta).</w:t>
      </w:r>
    </w:p>
    <w:p>
      <w:pPr>
        <w:keepNext/>
        <w:spacing w:before="280" w:after="80"/>
      </w:pPr>
      <w:r>
        <w:rPr>
          <w:rFonts w:ascii="Arial" w:hAnsi="Arial"/>
          <w:b/>
          <w:color w:val="1F4E78"/>
          <w:sz w:val="24"/>
        </w:rPr>
        <w:t>6. Single-Strand Break (SSB) Repair Architecture: Baseline Clustering, Individual Linear Boxplots, and Spaceflight Meta-Analysis (Figure 5a–f)</w:t>
      </w:r>
    </w:p>
    <w:p>
      <w:pPr>
        <w:keepNext/>
        <w:spacing w:before="180" w:after="60"/>
      </w:pPr>
      <w:r>
        <w:rPr>
          <w:rFonts w:ascii="Arial" w:hAnsi="Arial"/>
          <w:b/>
          <w:color w:val="2E75B6"/>
          <w:sz w:val="22"/>
        </w:rPr>
        <w:t>6.1 Baseline Quantile Smoothing, Neil2 Exclusion Audit, and Hierarchical Clustering (Figure 5a)</w:t>
      </w:r>
    </w:p>
    <w:p>
      <w:pPr>
        <w:spacing w:line="293" w:lineRule="auto" w:before="0" w:after="90"/>
      </w:pPr>
      <w:r>
        <w:rPr>
          <w:rFonts w:ascii="Calibri" w:hAnsi="Calibri"/>
          <w:b/>
          <w:color w:val="262626"/>
          <w:sz w:val="20"/>
        </w:rPr>
        <w:t xml:space="preserve">Quality Exclusion Audit and Dendrogram Topology: </w:t>
      </w:r>
      <w:r>
        <w:rPr>
          <w:rFonts w:ascii="Calibri" w:hAnsi="Calibri"/>
          <w:color w:val="262626"/>
          <w:sz w:val="20"/>
        </w:rPr>
        <w:t>Cross-tissue baseline normalization for the single-strand break and base excision machinery encompassed 45 curated components spanning BER (6 components), NER (18 components), MMR (5 components), and FA (16 components). Data completeness audits across all flight biospecimens identified recurrent sequencing dropout and high zero-count sparsity for Neil2 (ENSMUSG00000035121); Neil2 was therefore systematically excluded from the 45-component SSB matrix and audited in 02_SSB_component_stable_id_mapping_without_Neil2.csv. Pairwise topological distance was computed on baseline YARNNormalizedLog2 via Spearman rank distance (D = 1 - ρ), followed by average-linkage hierarchical clustering to generate Figure 5a.</w:t>
      </w:r>
    </w:p>
    <w:p>
      <w:pPr>
        <w:keepNext/>
        <w:spacing w:before="180" w:after="60"/>
      </w:pPr>
      <w:r>
        <w:rPr>
          <w:rFonts w:ascii="Arial" w:hAnsi="Arial"/>
          <w:b/>
          <w:color w:val="2E75B6"/>
          <w:sz w:val="22"/>
        </w:rPr>
        <w:t>6.2 Tissue-Stratified Individual Linear Abundance Modeling and One-Way ANOVA (Figure 5b–e)</w:t>
      </w:r>
    </w:p>
    <w:p>
      <w:pPr>
        <w:spacing w:line="293" w:lineRule="auto" w:before="0" w:after="90"/>
      </w:pPr>
      <w:r>
        <w:rPr>
          <w:rFonts w:ascii="Calibri" w:hAnsi="Calibri"/>
          <w:b/>
          <w:color w:val="262626"/>
          <w:sz w:val="20"/>
        </w:rPr>
        <w:t xml:space="preserve">Marker Gene Selection, Glyphic Coding, and ANOVA Testing: </w:t>
      </w:r>
      <w:r>
        <w:rPr>
          <w:rFonts w:ascii="Calibri" w:hAnsi="Calibri"/>
          <w:color w:val="262626"/>
          <w:sz w:val="20"/>
        </w:rPr>
        <w:t>Key marker genes across the four SSB pathways were evaluated on the linear expression scale (2^(log2) - 1) across 360 flight mice in 26 tissues:</w:t>
        <w:br/>
        <w:t>• Figure 5b (BER, 3 genes): Ung (ENSMUSG00000029591), Ogg1 (ENSMUSG00000030271), Neil1 (ENSMUSG00000032298).</w:t>
        <w:br/>
        <w:t>• Figure 5c (NER, 7 genes): Xpc (ENSMUSG00000030094), Rad23b (ENSMUSG00000028426), Cetn2 (ENSMUSG00000031347), Ddb1 (ENSMUSG00000024740), Ddb2 (ENSMUSG00000002109), Ercc6 (ENSMUSG00000054051), Ercc8 (ENSMUSG00000021694).</w:t>
        <w:br/>
        <w:t xml:space="preserve">  NER Glyphic Disambiguation: Recognition complexes are encoded by paired color-and-shape glyphs: XPC/RAD23B/CETN2 (amber; cross ✕, triangle ▲, circle ●); DDB1/DDB2 (teal; cross ✕, triangle ▲); ERCC6/ERCC8 (blue; cross ✕, triangle ▲).</w:t>
        <w:br/>
        <w:t>• Figure 5d (MMR, 2 genes): Msh2 (ENSMUSG00000024151), Msh3 (ENSMUSG00000014850).</w:t>
        <w:br/>
        <w:t>• Figure 5e (FA, 2 genes): Fancd2 (ENSMUSG00000034023), Fanci (ENSMUSG00000039187). (df_group = 25, df_residual = 330 due to 4 missing observations).</w:t>
        <w:br/>
        <w:t>One-Way ANOVA: Cross-tissue expression heterogeneity was highly significant across all pathways: BER (Pathway F = 32.44, P = 3.49 × 10^(-74)), NER (Pathway F = 89.47, P = 7.98 × 10^(-132)), MMR (Pathway F = 56.20, P = 7.71 × 10^(-104)), and FA (Pathway F = 31.47, P = 2.86 × 10^(-72)).</w:t>
      </w:r>
    </w:p>
    <w:p>
      <w:pPr>
        <w:keepNext/>
        <w:spacing w:before="180" w:after="60"/>
      </w:pPr>
      <w:r>
        <w:rPr>
          <w:rFonts w:ascii="Arial" w:hAnsi="Arial"/>
          <w:b/>
          <w:color w:val="2E75B6"/>
          <w:sz w:val="22"/>
        </w:rPr>
        <w:t>6.3 Spaceflight-Induced Meta-Differential Expression Analysis (Figure 5f)</w:t>
      </w:r>
    </w:p>
    <w:p>
      <w:pPr>
        <w:spacing w:line="293" w:lineRule="auto" w:before="0" w:after="90"/>
      </w:pPr>
      <w:r>
        <w:rPr>
          <w:rFonts w:ascii="Calibri" w:hAnsi="Calibri"/>
          <w:b/>
          <w:color w:val="262626"/>
          <w:sz w:val="20"/>
        </w:rPr>
        <w:t xml:space="preserve">Meta-Dotplot Construction: </w:t>
      </w:r>
      <w:r>
        <w:rPr>
          <w:rFonts w:ascii="Calibri" w:hAnsi="Calibri"/>
          <w:color w:val="262626"/>
          <w:sz w:val="20"/>
        </w:rPr>
        <w:t>To assess spaceflight transcriptional shifts across all 45 SSB components, multi-mission meta-analysis was performed (Figure 5f). Effect sizes represent the median of mission-level median log2FC values, and statistical significance was pooled using signed Stouffer's Z-trend integration, scaled by nominal P-value significance.</w:t>
      </w:r>
    </w:p>
    <w:p>
      <w:pPr>
        <w:keepNext/>
        <w:spacing w:before="280" w:after="80"/>
      </w:pPr>
      <w:r>
        <w:rPr>
          <w:rFonts w:ascii="Arial" w:hAnsi="Arial"/>
          <w:b/>
          <w:color w:val="1F4E78"/>
          <w:sz w:val="24"/>
        </w:rPr>
        <w:t>7. Seven-Pathway Repertoire Library Representation and Gene Coverage Auditing (Supplementary Figure S5)</w:t>
      </w:r>
    </w:p>
    <w:p>
      <w:pPr>
        <w:spacing w:line="293" w:lineRule="auto" w:before="0" w:after="90"/>
      </w:pPr>
      <w:r>
        <w:rPr>
          <w:rFonts w:ascii="Calibri" w:hAnsi="Calibri"/>
          <w:b/>
          <w:color w:val="262626"/>
          <w:sz w:val="20"/>
        </w:rPr>
        <w:t xml:space="preserve">Catalog Completeness and Library Representation: </w:t>
      </w:r>
      <w:r>
        <w:rPr>
          <w:rFonts w:ascii="Calibri" w:hAnsi="Calibri"/>
          <w:color w:val="262626"/>
          <w:sz w:val="20"/>
        </w:rPr>
        <w:t>To verify that pathway-level transcriptomic analyses were not compromised by library dropouts or incomplete capture across sequencing accessions, per-sample gene detection was audited against a master catalog of 335 DNA repair genes: BER (n = 54), NER (n = 53), MMR (n = 27), FA (n = 39), HR (n = 135), A-EJ (n = 9), and NHEJ (n = 18). Supplementary Figure S5 tracks the count of detected member genes across all 761 source samples (stratified by Ground and Flight), confirming comprehensive transcript coverage across all 26 anatomical tissues.</w:t>
      </w:r>
    </w:p>
    <w:p>
      <w:pPr>
        <w:keepNext/>
        <w:spacing w:before="280" w:after="80"/>
      </w:pPr>
      <w:r>
        <w:rPr>
          <w:rFonts w:ascii="Arial" w:hAnsi="Arial"/>
          <w:b/>
          <w:color w:val="1F4E78"/>
          <w:sz w:val="24"/>
        </w:rPr>
        <w:t>8. Computational Environment, Code Governance, and Reproducibility Standards</w:t>
      </w:r>
    </w:p>
    <w:p>
      <w:pPr>
        <w:spacing w:line="293" w:lineRule="auto" w:before="0" w:after="90"/>
      </w:pPr>
      <w:r>
        <w:rPr>
          <w:rFonts w:ascii="Calibri" w:hAnsi="Calibri"/>
          <w:b/>
          <w:color w:val="262626"/>
          <w:sz w:val="20"/>
        </w:rPr>
        <w:t xml:space="preserve">Software Architecture: </w:t>
      </w:r>
      <w:r>
        <w:rPr>
          <w:rFonts w:ascii="Calibri" w:hAnsi="Calibri"/>
          <w:color w:val="262626"/>
          <w:sz w:val="20"/>
        </w:rPr>
        <w:t>All statistical modeling, data transformations, and figure generation were executed in R (version 4.4.3) and Python (version 3.13). Core R dependencies included data.table (v1.16.4), ggplot2 (v3.5.1), patchwork (v1.3.0), scales (v1.3.0), and ggVennDiagram (v1.5.2), managed via renv.lock. Python workflows utilized matplotlib (v3.10.0), pandas (v2.2.3), and numpy (v2.2.3).</w:t>
      </w:r>
    </w:p>
    <w:p>
      <w:pPr>
        <w:spacing w:line="293" w:lineRule="auto" w:before="0" w:after="90"/>
      </w:pPr>
      <w:r>
        <w:rPr>
          <w:rFonts w:ascii="Calibri" w:hAnsi="Calibri"/>
          <w:b/>
          <w:color w:val="262626"/>
          <w:sz w:val="20"/>
        </w:rPr>
        <w:t xml:space="preserve">Seed Locking and Version Control: </w:t>
      </w:r>
      <w:r>
        <w:rPr>
          <w:rFonts w:ascii="Calibri" w:hAnsi="Calibri"/>
          <w:color w:val="262626"/>
          <w:sz w:val="20"/>
        </w:rPr>
        <w:t>All stochastic operations, point jittering, and permutation tests were locked to random seed 25. Complete analytical workflows, scripts, and data matrices are version-controlled via GitHub (git). All released figure panels, data tables, and input manifests were independently audited and locked with cryptographic SHA-256 checksums (provenance/reference_sha256.csv), ensuring 100% deterministic reproducibility.</w:t>
      </w:r>
    </w:p>
    <w:p>
      <w:pPr>
        <w:keepNext/>
        <w:spacing w:before="280" w:after="80"/>
      </w:pPr>
      <w:r>
        <w:rPr>
          <w:rFonts w:ascii="Arial" w:hAnsi="Arial"/>
          <w:b/>
          <w:color w:val="1F4E78"/>
          <w:sz w:val="24"/>
        </w:rPr>
        <w:t>9. Production Figure and Analytical Workflow Cross-Reference Matrix</w:t>
      </w:r>
    </w:p>
    <w:p>
      <w:pPr>
        <w:spacing w:line="293" w:lineRule="auto" w:before="0" w:after="90"/>
      </w:pPr>
      <w:r>
        <w:rPr>
          <w:rFonts w:ascii="Calibri" w:hAnsi="Calibri"/>
          <w:b/>
          <w:color w:val="262626"/>
          <w:sz w:val="20"/>
        </w:rPr>
        <w:t xml:space="preserve">Provenance Cross-Reference: </w:t>
      </w:r>
      <w:r>
        <w:rPr>
          <w:rFonts w:ascii="Calibri" w:hAnsi="Calibri"/>
          <w:color w:val="262626"/>
          <w:sz w:val="20"/>
        </w:rPr>
        <w:t>The following audited reference matrix connects every publication figure and statistical table in sequential order to its underlying mathematical model, sample scope, and analytical script:</w:t>
      </w:r>
    </w:p>
    <w:tbl>
      <w:tblPr>
        <w:tblW w:type="auto" w:w="0"/>
        <w:jc w:val="center"/>
        <w:tblLayout w:type="fixed"/>
        <w:tblLook w:firstColumn="1" w:firstRow="1" w:lastColumn="0" w:lastRow="0" w:noHBand="0" w:noVBand="1" w:val="04A0"/>
        <w:tblBorders>
          <w:top w:val="single" w:sz="12" w:space="0" w:color="1F4E78"/>
          <w:bottom w:val="single" w:sz="12" w:space="0" w:color="1F4E78"/>
          <w:insideH w:val="none"/>
          <w:insideV w:val="none"/>
          <w:left w:val="none"/>
          <w:right w:val="none"/>
        </w:tblBorders>
      </w:tblPr>
      <w:tblGrid>
        <w:gridCol w:w="1728"/>
        <w:gridCol w:w="1872"/>
        <w:gridCol w:w="1872"/>
        <w:gridCol w:w="2160"/>
        <w:gridCol w:w="1728"/>
      </w:tblGrid>
      <w:tr>
        <w:trPr>
          <w:tblHeader/>
        </w:trPr>
        <w:tc>
          <w:tcPr>
            <w:tcW w:type="dxa" w:w="1728"/>
            <w:tcBorders>
              <w:bottom w:val="single" w:sz="6" w:space="0" w:color="2E75B6"/>
            </w:tcBorders>
            <w:vAlign w:val="center"/>
            <w:shd w:fill="EBF1F5"/>
            <w:tcMar>
              <w:top w:w="100" w:type="dxa"/>
              <w:bottom w:w="100" w:type="dxa"/>
              <w:left w:w="70" w:type="dxa"/>
              <w:right w:w="70" w:type="dxa"/>
            </w:tcMar>
          </w:tcPr>
          <w:p>
            <w:pPr>
              <w:spacing w:line="276" w:lineRule="auto" w:before="0" w:after="0"/>
            </w:pPr>
            <w:r>
              <w:rPr>
                <w:rFonts w:ascii="Calibri" w:hAnsi="Calibri"/>
                <w:b/>
                <w:color w:val="1F4E78"/>
                <w:sz w:val="17"/>
              </w:rPr>
              <w:t>Figure / Table</w:t>
            </w:r>
          </w:p>
        </w:tc>
        <w:tc>
          <w:tcPr>
            <w:tcW w:type="dxa" w:w="1872"/>
            <w:tcBorders>
              <w:bottom w:val="single" w:sz="6" w:space="0" w:color="2E75B6"/>
            </w:tcBorders>
            <w:vAlign w:val="center"/>
            <w:shd w:fill="EBF1F5"/>
            <w:tcMar>
              <w:top w:w="100" w:type="dxa"/>
              <w:bottom w:w="100" w:type="dxa"/>
              <w:left w:w="70" w:type="dxa"/>
              <w:right w:w="70" w:type="dxa"/>
            </w:tcMar>
          </w:tcPr>
          <w:p>
            <w:pPr>
              <w:spacing w:line="276" w:lineRule="auto" w:before="0" w:after="0"/>
            </w:pPr>
            <w:r>
              <w:rPr>
                <w:rFonts w:ascii="Calibri" w:hAnsi="Calibri"/>
                <w:b/>
                <w:color w:val="1F4E78"/>
                <w:sz w:val="17"/>
              </w:rPr>
              <w:t>Analytical Scope</w:t>
            </w:r>
          </w:p>
        </w:tc>
        <w:tc>
          <w:tcPr>
            <w:tcW w:type="dxa" w:w="1872"/>
            <w:tcBorders>
              <w:bottom w:val="single" w:sz="6" w:space="0" w:color="2E75B6"/>
            </w:tcBorders>
            <w:vAlign w:val="center"/>
            <w:shd w:fill="EBF1F5"/>
            <w:tcMar>
              <w:top w:w="100" w:type="dxa"/>
              <w:bottom w:w="100" w:type="dxa"/>
              <w:left w:w="70" w:type="dxa"/>
              <w:right w:w="70" w:type="dxa"/>
            </w:tcMar>
          </w:tcPr>
          <w:p>
            <w:pPr>
              <w:spacing w:line="276" w:lineRule="auto" w:before="0" w:after="0"/>
            </w:pPr>
            <w:r>
              <w:rPr>
                <w:rFonts w:ascii="Calibri" w:hAnsi="Calibri"/>
                <w:b/>
                <w:color w:val="1F4E78"/>
                <w:sz w:val="17"/>
              </w:rPr>
              <w:t>Input Cohort / Sample Size</w:t>
            </w:r>
          </w:p>
        </w:tc>
        <w:tc>
          <w:tcPr>
            <w:tcW w:type="dxa" w:w="2160"/>
            <w:tcBorders>
              <w:bottom w:val="single" w:sz="6" w:space="0" w:color="2E75B6"/>
            </w:tcBorders>
            <w:vAlign w:val="center"/>
            <w:shd w:fill="EBF1F5"/>
            <w:tcMar>
              <w:top w:w="100" w:type="dxa"/>
              <w:bottom w:w="100" w:type="dxa"/>
              <w:left w:w="70" w:type="dxa"/>
              <w:right w:w="70" w:type="dxa"/>
            </w:tcMar>
          </w:tcPr>
          <w:p>
            <w:pPr>
              <w:spacing w:line="276" w:lineRule="auto" w:before="0" w:after="0"/>
            </w:pPr>
            <w:r>
              <w:rPr>
                <w:rFonts w:ascii="Calibri" w:hAnsi="Calibri"/>
                <w:b/>
                <w:color w:val="1F4E78"/>
                <w:sz w:val="17"/>
              </w:rPr>
              <w:t>Statistical Model / Algorithm</w:t>
            </w:r>
          </w:p>
        </w:tc>
        <w:tc>
          <w:tcPr>
            <w:tcW w:type="dxa" w:w="1728"/>
            <w:tcBorders>
              <w:bottom w:val="single" w:sz="6" w:space="0" w:color="2E75B6"/>
            </w:tcBorders>
            <w:vAlign w:val="center"/>
            <w:shd w:fill="EBF1F5"/>
            <w:tcMar>
              <w:top w:w="100" w:type="dxa"/>
              <w:bottom w:w="100" w:type="dxa"/>
              <w:left w:w="70" w:type="dxa"/>
              <w:right w:w="70" w:type="dxa"/>
            </w:tcMar>
          </w:tcPr>
          <w:p>
            <w:pPr>
              <w:spacing w:line="276" w:lineRule="auto" w:before="0" w:after="0"/>
            </w:pPr>
            <w:r>
              <w:rPr>
                <w:rFonts w:ascii="Calibri" w:hAnsi="Calibri"/>
                <w:b/>
                <w:color w:val="1F4E78"/>
                <w:sz w:val="17"/>
              </w:rPr>
              <w:t>Source Script</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1b / Fig. 6</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Experimental Design Atlas</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761 samples, 48 accessions, 26 tissues</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Stratified categorical bubble matrix (15 discrete age colors)</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R/figures/08_mouse_metadata_bubble.R</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1c</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Cross-Tissue GO Profiling</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26 tissues × 15 GO biological terms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Mission-equal unweighted mean NES, exact sign-flip P</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R/figures/01_go_overview.R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2</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Cross-Tissue Co-Regulation</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23 eligible tissues (n_flight ≥ 5)</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Sample-level log2FC, intra-tissue Spearman ρ, Fisher-z pooling</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python/plot_log2fc_per_tissue_pathway_spearman_20260902.py</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3a</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Thymus Repertoire Overlap</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Thymus (4 flight comparisons)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Set intersection membership, ggVennDiagram</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R/figures/03_kidney_thymus_venn.R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3b</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Thymus Common-Direction DEGs</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Thymus (4 flight comparisons)</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Concordant directionality, ranked by min |log2FC|</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python/plot_common_direction_heatmaps.py</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4a</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DSB Baseline Clustering</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26 tissues, 29 DSB components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YARN qsmooth baseline, 1 - Spearman ρ, average linkage</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R/figures/04_qsmooth_tree_heatmaps.R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4b</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NHEJ Linear Boxplot</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360 flight mice × 4 genes (26 tissues)</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Linear scale 2^log2 - 1, Mean hinge, Gene &amp; Pathway ANOVA</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R/figures/10_pathway_gene_tissue_boxplots_linear.R</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4c</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HR Linear Boxplot</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360 flight mice × 4 genes (26 tissues)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Linear scale 2^log2 - 1, Mean hinge, Gene &amp; Pathway ANOVA</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R/figures/10_pathway_gene_tissue_boxplots_linear.R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4d</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A-EJ Linear Boxplot</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360 flight mice × 4 genes (26 tissues)</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Linear scale 2^log2 - 1, Mean hinge, Gene &amp; Pathway ANOVA</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R/figures/10_pathway_gene_tissue_boxplots_linear.R</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4e</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DSB Spaceflight Meta-Analysis</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26 tissues × 29 DSB components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Median of mission medians log2FC, signed Stouffer meta-Z</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R/figures/05_meta_log2fc_heatmaps.R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5a</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SSB Baseline Clustering</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26 tissues, 45 SSB components</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YARN qsmooth baseline (Neil2 excluded), 1 - ρ, average linkage</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R/figures/04_qsmooth_tree_heatmaps.R</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5b</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BER Linear Boxplot</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360 flight mice × 3 genes (26 tissues)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Linear scale 2^log2 - 1, Mean hinge, Gene &amp; Pathway ANOVA</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R/figures/10_pathway_gene_tissue_boxplots_linear.R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5c</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NER Linear Boxplot</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360 flight mice × 7 genes (26 tissues)</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Linear scale 2^log2 - 1, Glyphic coding, Gene &amp; Pathway ANOVA</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R/figures/10_pathway_gene_tissue_boxplots_linear.R</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5d</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MMR Linear Boxplot</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360 flight mice × 2 genes (26 tissues)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Linear scale 2^log2 - 1, Mean hinge, Gene &amp; Pathway ANOVA</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R/figures/10_pathway_gene_tissue_boxplots_linear.R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5e</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FA Linear Boxplot</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360 flight mice × 2 genes (26 tissues)</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Linear scale 2^log2 - 1, Mean hinge, Gene &amp; Pathway ANOVA</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R/figures/10_pathway_gene_tissue_boxplots_linear.R</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5f</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SSB Spaceflight Meta-Analysis</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26 tissues × 45 SSB components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Median of mission medians log2FC, signed Stouffer meta-Z</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R/figures/05_meta_log2fc_heatmaps.R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S1</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Hallmark GSEA Overview</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13 missions with complete coverage</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Top 12 global Hallmark terms (6 positive, 6 negative NES)</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R/figures/02_hallmark_gsea.R</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S2a / S2b</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Kidney Overlap &amp; Common-Dir</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Kidney (5 OSDR accessions)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Venn intersection &amp; common-direction top 30 DEGs</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R/figures/03_kidney_thymus_venn.R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S3a / S3b</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NES &gt; 1 UpSet &amp; Common-Dir</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NES &gt; 1 tissues (excl. Kidney)</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UpSet binary membership &amp; common-direction top 30</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R/figures/06_go_upsets.R</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S4a / S4b</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NES &lt; -1 UpSet &amp; Common-Dir</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NES &lt; -1 tissues (excl. Lung/Thymus)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UpSet binary membership &amp; common-direction top 30</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R/figures/06_go_upsets.R</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Fig. S5</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Pathway Gene Coverage</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761 samples × 7 pathways (335 genes)</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Per-sample member gene library detection tracking</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R/figures/07_seven_pathway_counts.R</w:t>
            </w:r>
          </w:p>
        </w:tc>
      </w:tr>
      <w:tr>
        <w:trPr/>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Fig. S6</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Per-Tissue Co-Regulation</w:t>
            </w:r>
          </w:p>
        </w:tc>
        <w:tc>
          <w:tcPr>
            <w:tcW w:type="dxa" w:w="1872"/>
            <w:vAlign w:val="center"/>
            <w:tcMar>
              <w:top w:w="55" w:type="dxa"/>
              <w:bottom w:w="55" w:type="dxa"/>
              <w:left w:w="70" w:type="dxa"/>
              <w:right w:w="70" w:type="dxa"/>
            </w:tcMar>
          </w:tcPr>
          <w:p>
            <w:pPr>
              <w:spacing w:line="276" w:lineRule="auto" w:before="0" w:after="0"/>
            </w:pPr>
            <w:r>
              <w:rPr>
                <w:rFonts w:ascii="Calibri" w:hAnsi="Calibri"/>
                <w:color w:val="262626"/>
                <w:sz w:val="16"/>
              </w:rPr>
              <w:t>26 individual tissue matrices</w:t>
            </w:r>
          </w:p>
        </w:tc>
        <w:tc>
          <w:tcPr>
            <w:tcW w:type="dxa" w:w="2160"/>
            <w:vAlign w:val="center"/>
            <w:tcMar>
              <w:top w:w="55" w:type="dxa"/>
              <w:bottom w:w="55" w:type="dxa"/>
              <w:left w:w="70" w:type="dxa"/>
              <w:right w:w="70" w:type="dxa"/>
            </w:tcMar>
          </w:tcPr>
          <w:p>
            <w:pPr>
              <w:spacing w:line="276" w:lineRule="auto" w:before="0" w:after="0"/>
            </w:pPr>
            <w:r>
              <w:rPr>
                <w:rFonts w:ascii="Calibri" w:hAnsi="Calibri"/>
                <w:color w:val="262626"/>
                <w:sz w:val="16"/>
              </w:rPr>
              <w:t>Sample-level 15 × 15 Spearman rank correlation matrices</w:t>
            </w:r>
          </w:p>
        </w:tc>
        <w:tc>
          <w:tcPr>
            <w:tcW w:type="dxa" w:w="1728"/>
            <w:vAlign w:val="center"/>
            <w:tcMar>
              <w:top w:w="55" w:type="dxa"/>
              <w:bottom w:w="55" w:type="dxa"/>
              <w:left w:w="70" w:type="dxa"/>
              <w:right w:w="70" w:type="dxa"/>
            </w:tcMar>
          </w:tcPr>
          <w:p>
            <w:pPr>
              <w:spacing w:line="276" w:lineRule="auto" w:before="0" w:after="0"/>
            </w:pPr>
            <w:r>
              <w:rPr>
                <w:rFonts w:ascii="Calibri" w:hAnsi="Calibri"/>
                <w:color w:val="262626"/>
                <w:sz w:val="16"/>
              </w:rPr>
              <w:t>python/plot_log2fc_per_tissue_pathway_spearman_20260902.py</w:t>
            </w:r>
          </w:p>
        </w:tc>
      </w:tr>
      <w:tr>
        <w:trPr/>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Tables 01–04</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Statistical Audit Tables</w:t>
            </w:r>
          </w:p>
        </w:tc>
        <w:tc>
          <w:tcPr>
            <w:tcW w:type="dxa" w:w="1872"/>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9,360 sample observations, 26 tissues</w:t>
            </w:r>
          </w:p>
        </w:tc>
        <w:tc>
          <w:tcPr>
            <w:tcW w:type="dxa" w:w="2160"/>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Pathway ANOVA, Gene ANOVA, Tissue Means, Sample Linear Values</w:t>
            </w:r>
          </w:p>
        </w:tc>
        <w:tc>
          <w:tcPr>
            <w:tcW w:type="dxa" w:w="1728"/>
            <w:vAlign w:val="center"/>
            <w:shd w:fill="FAFCFD"/>
            <w:tcMar>
              <w:top w:w="55" w:type="dxa"/>
              <w:bottom w:w="55" w:type="dxa"/>
              <w:left w:w="70" w:type="dxa"/>
              <w:right w:w="70" w:type="dxa"/>
            </w:tcMar>
          </w:tcPr>
          <w:p>
            <w:pPr>
              <w:spacing w:line="276" w:lineRule="auto" w:before="0" w:after="0"/>
            </w:pPr>
            <w:r>
              <w:rPr>
                <w:rFonts w:ascii="Calibri" w:hAnsi="Calibri"/>
                <w:color w:val="262626"/>
                <w:sz w:val="16"/>
              </w:rPr>
              <w:t>results/pathway_gene_tissue_boxplots_linear/tables/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7"/>
      </w:rPr>
      <w:t>Methods Section — NASA OSDR Multi-Tissue Spaceflight Dataset (Figure-Aligned)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88888"/>
        <w:sz w:val="17"/>
      </w:rPr>
      <w:t>Methods: Murine Spaceflight Transcriptomic Atlas &amp; DNA Damage Repair Profiling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