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  <w:jc w:val="center"/>
      </w:pPr>
      <w:r>
        <w:rPr>
          <w:rFonts w:ascii="Times New Roman" w:hAnsi="Times New Roman" w:eastAsia="黑体"/>
          <w:b/>
          <w:sz w:val="32"/>
        </w:rPr>
        <w:t>图3-3与图3-6-更新版</w:t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 w:val="0"/>
          <w:sz w:val="20"/>
        </w:rPr>
        <w:t>图3-3 核心交易模块数据库表关系图（更新版）</w:t>
      </w:r>
    </w:p>
    <w:p>
      <w:r>
        <w:drawing>
          <wp:inline xmlns:a="http://schemas.openxmlformats.org/drawingml/2006/main" xmlns:pic="http://schemas.openxmlformats.org/drawingml/2006/picture">
            <wp:extent cx="6217920" cy="4320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核心交易模块数据库表关系图-更新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2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 w:val="0"/>
          <w:sz w:val="20"/>
        </w:rPr>
        <w:t>图3-3 核心交易模块数据库表关系图（更新版）</w:t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 w:val="0"/>
          <w:sz w:val="20"/>
        </w:rPr>
        <w:t>图3-6 算法推荐模块数据库表关系图（更新版）</w:t>
      </w:r>
    </w:p>
    <w:p>
      <w:r>
        <w:drawing>
          <wp:inline xmlns:a="http://schemas.openxmlformats.org/drawingml/2006/main" xmlns:pic="http://schemas.openxmlformats.org/drawingml/2006/picture">
            <wp:extent cx="6217920" cy="3165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算法推荐模块数据库表关系图-更新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65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 w:val="0"/>
          <w:sz w:val="20"/>
        </w:rPr>
        <w:t>图3-6 算法推荐模块数据库表关系图（更新版）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