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Abstract</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p>
    <w:p>
      <w:pPr>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Contents</w:t>
      </w:r>
    </w:p>
    <w:p>
      <w:pPr>
        <w:jc w:val="left"/>
        <w:rPr>
          <w:rFonts w:hint="default" w:ascii="Times New Roman Regular" w:hAnsi="Times New Roman Regular" w:cs="Times New Roman Regular"/>
          <w:sz w:val="24"/>
          <w:szCs w:val="24"/>
        </w:rPr>
      </w:pPr>
    </w:p>
    <w:p>
      <w:pPr>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Acknowledgements</w:t>
      </w:r>
    </w:p>
    <w:p>
      <w:pPr>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Abstract</w:t>
      </w:r>
    </w:p>
    <w:p>
      <w:pPr>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List of Figures</w:t>
      </w:r>
    </w:p>
    <w:p>
      <w:pPr>
        <w:jc w:val="left"/>
        <w:rPr>
          <w:rFonts w:hint="default" w:ascii="Times New Roman Regular" w:hAnsi="Times New Roman Regular" w:cs="Times New Roman Regular"/>
          <w:sz w:val="24"/>
          <w:szCs w:val="24"/>
        </w:rPr>
      </w:pPr>
    </w:p>
    <w:p>
      <w:pPr>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List of Tables          ?</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Chapter 1. Introduction</w:t>
      </w:r>
    </w:p>
    <w:p>
      <w:pPr>
        <w:pStyle w:val="37"/>
        <w:numPr>
          <w:ilvl w:val="1"/>
          <w:numId w:val="1"/>
        </w:num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Emission changes due to human activities in China in the past decade </w:t>
      </w:r>
    </w:p>
    <w:p>
      <w:pPr>
        <w:pStyle w:val="37"/>
        <w:numPr>
          <w:ilvl w:val="1"/>
          <w:numId w:val="1"/>
        </w:num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PM2.5 concentration and composition shift due to emission change</w:t>
      </w:r>
    </w:p>
    <w:p>
      <w:pPr>
        <w:pStyle w:val="37"/>
        <w:numPr>
          <w:ilvl w:val="1"/>
          <w:numId w:val="1"/>
        </w:num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Meteorological conditions in the PRD region</w:t>
      </w:r>
    </w:p>
    <w:p>
      <w:pPr>
        <w:pStyle w:val="37"/>
        <w:numPr>
          <w:ilvl w:val="1"/>
          <w:numId w:val="1"/>
        </w:num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Atmospheric chemistry relating to reactive nitrogen</w:t>
      </w:r>
    </w:p>
    <w:p>
      <w:pPr>
        <w:pStyle w:val="37"/>
        <w:numPr>
          <w:ilvl w:val="1"/>
          <w:numId w:val="1"/>
        </w:num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Research gaps and objectives</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Chapter 2. Long term trends and composition shifts of emissions in the PRD region</w:t>
      </w: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2.1 Introduction</w:t>
      </w: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2.2 Methodology</w:t>
      </w: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2.2.1 Data sources</w:t>
      </w: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2.2.2 Statistical methods</w:t>
      </w: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2.3 Results and Discussion</w:t>
      </w: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2.3.1 Emission trends in China and PRD</w:t>
      </w: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2.3.2 Spatiotemporal characteristics of anthropogenic emissions in the PRD region</w:t>
      </w: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2.3.3. Source changes of PRD anthropogenic emissions</w:t>
      </w: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2.3.4 Shifts of emitted reactive nitrogen</w:t>
      </w: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2.4 Conclusions and Improvements</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Chapter 3. PM</w:t>
      </w:r>
      <w:r>
        <w:rPr>
          <w:rFonts w:hint="default" w:ascii="Times New Roman Regular" w:hAnsi="Times New Roman Regular" w:cs="Times New Roman Regular"/>
          <w:sz w:val="24"/>
          <w:szCs w:val="24"/>
          <w:vertAlign w:val="subscript"/>
        </w:rPr>
        <w:t>2.</w:t>
      </w:r>
      <w:r>
        <w:rPr>
          <w:rFonts w:hint="default" w:ascii="Times New Roman Regular" w:hAnsi="Times New Roman Regular" w:cs="Times New Roman Regular"/>
          <w:sz w:val="24"/>
          <w:szCs w:val="24"/>
          <w:vertAlign w:val="subscript"/>
        </w:rPr>
        <w:t>5</w:t>
      </w:r>
      <w:r>
        <w:rPr>
          <w:rFonts w:hint="default" w:ascii="Times New Roman Regular" w:hAnsi="Times New Roman Regular" w:cs="Times New Roman Regular"/>
          <w:sz w:val="24"/>
          <w:szCs w:val="24"/>
        </w:rPr>
        <w:t xml:space="preserve"> concentration changes and its causes</w:t>
      </w: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3.1 Introduction</w:t>
      </w: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3.2 Methodology</w:t>
      </w: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3.2.1 Data sources</w:t>
      </w: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3.2.2 Statistical analysis and plotting methods</w:t>
      </w: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3.2.3 Box model of the atmosphere</w:t>
      </w: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3.3 Results and Discussion</w:t>
      </w: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3.3.1 Spatiotemporal changes of PM2.5 concentration in the PRD region</w:t>
      </w: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 xml:space="preserve">3.3.2 Spatiotemporal changes of main PM2.5 compositions in the PRD region </w:t>
      </w: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3.3.3 Spatiotemporal patterns of aerosol depositions in the PRD region</w:t>
      </w: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 xml:space="preserve">3.3.3 Shifts in composition of PM2.5 in the PRD region </w:t>
      </w: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3.3.4 Decrease of SNA in various function zones</w:t>
      </w: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3.3.5 Relation between emissions and concentrations</w:t>
      </w: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3.3.6 Impacts of oxidized and reduced nitrogen</w:t>
      </w: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3.4 Conclusions and Improvements</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Chapter 4. Conclusions</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Appendix</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References</w:t>
      </w: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b/>
      </w:r>
    </w:p>
    <w:p>
      <w:pPr>
        <w:rPr>
          <w:rFonts w:hint="default" w:ascii="Times New Roman Regular" w:hAnsi="Times New Roman Regular" w:cs="Times New Roman Regular"/>
          <w:sz w:val="24"/>
          <w:szCs w:val="24"/>
          <w:vertAlign w:val="subscript"/>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Chapter 1. Introduction</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1.1 Anthropogenic emission changes in China in the past decade</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Overall review of anthropogenic emissions.</w:t>
      </w: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Emission drop after 2012 due to clean air action.</w:t>
      </w: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PRD is one of the emission hotspots.</w:t>
      </w: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Exposure to atmospheric emissions is harmful to public health. (Zhao et al., 2024) </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1.4 Atmospheric chemistry</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Nitrogen (N</w:t>
      </w:r>
      <w:r>
        <w:rPr>
          <w:rFonts w:hint="default" w:ascii="Times New Roman Regular" w:hAnsi="Times New Roman Regular" w:cs="Times New Roman Regular"/>
          <w:sz w:val="24"/>
          <w:szCs w:val="24"/>
          <w:vertAlign w:val="subscript"/>
        </w:rPr>
        <w:t>2</w:t>
      </w:r>
      <w:r>
        <w:rPr>
          <w:rFonts w:hint="default" w:ascii="Times New Roman Regular" w:hAnsi="Times New Roman Regular" w:cs="Times New Roman Regular"/>
          <w:sz w:val="24"/>
          <w:szCs w:val="24"/>
        </w:rPr>
        <w:t>) took up over 70% of the total atmosphere, and involved in numerous chemical reactions. Fixing nitrogen gas to biologically available nitrogen is difficult, it heavily relied on the reduction processes by certain bacteria (Jocab, 1999). The reduced ammonia (NH</w:t>
      </w:r>
      <w:r>
        <w:rPr>
          <w:rFonts w:hint="default" w:ascii="Times New Roman Regular" w:hAnsi="Times New Roman Regular" w:cs="Times New Roman Regular"/>
          <w:sz w:val="24"/>
          <w:szCs w:val="24"/>
          <w:vertAlign w:val="subscript"/>
        </w:rPr>
        <w:t>3</w:t>
      </w:r>
      <w:r>
        <w:rPr>
          <w:rFonts w:hint="default" w:ascii="Times New Roman Regular" w:hAnsi="Times New Roman Regular" w:cs="Times New Roman Regular"/>
          <w:sz w:val="24"/>
          <w:szCs w:val="24"/>
        </w:rPr>
        <w:t>) is then consumed by plants and animals to produce ammonium (NH</w:t>
      </w:r>
      <w:r>
        <w:rPr>
          <w:rFonts w:hint="default" w:ascii="Times New Roman Regular" w:hAnsi="Times New Roman Regular" w:cs="Times New Roman Regular"/>
          <w:sz w:val="24"/>
          <w:szCs w:val="24"/>
          <w:vertAlign w:val="subscript"/>
        </w:rPr>
        <w:t>4</w:t>
      </w:r>
      <w:r>
        <w:rPr>
          <w:rFonts w:hint="default" w:ascii="Times New Roman Regular" w:hAnsi="Times New Roman Regular" w:cs="Times New Roman Regular"/>
          <w:sz w:val="24"/>
          <w:szCs w:val="24"/>
          <w:vertAlign w:val="superscript"/>
        </w:rPr>
        <w:t>+</w:t>
      </w:r>
      <w:r>
        <w:rPr>
          <w:rFonts w:hint="default" w:ascii="Times New Roman Regular" w:hAnsi="Times New Roman Regular" w:cs="Times New Roman Regular"/>
          <w:sz w:val="24"/>
          <w:szCs w:val="24"/>
        </w:rPr>
        <w:t>). With the presence of oxygen, ammonium can be oxidized to nitrite (NO</w:t>
      </w:r>
      <w:r>
        <w:rPr>
          <w:rFonts w:hint="default" w:ascii="Times New Roman Regular" w:hAnsi="Times New Roman Regular" w:cs="Times New Roman Regular"/>
          <w:sz w:val="24"/>
          <w:szCs w:val="24"/>
          <w:vertAlign w:val="subscript"/>
        </w:rPr>
        <w:t>2</w:t>
      </w:r>
      <w:r>
        <w:rPr>
          <w:rFonts w:hint="default" w:ascii="Times New Roman Regular" w:hAnsi="Times New Roman Regular" w:cs="Times New Roman Regular"/>
          <w:sz w:val="24"/>
          <w:szCs w:val="24"/>
          <w:vertAlign w:val="superscript"/>
        </w:rPr>
        <w:t>-</w:t>
      </w:r>
      <w:r>
        <w:rPr>
          <w:rFonts w:hint="default" w:ascii="Times New Roman Regular" w:hAnsi="Times New Roman Regular" w:cs="Times New Roman Regular"/>
          <w:sz w:val="24"/>
          <w:szCs w:val="24"/>
        </w:rPr>
        <w:t>) and nitrate (NO</w:t>
      </w:r>
      <w:r>
        <w:rPr>
          <w:rFonts w:hint="default" w:ascii="Times New Roman Regular" w:hAnsi="Times New Roman Regular" w:cs="Times New Roman Regular"/>
          <w:sz w:val="24"/>
          <w:szCs w:val="24"/>
          <w:vertAlign w:val="subscript"/>
        </w:rPr>
        <w:t>3</w:t>
      </w:r>
      <w:r>
        <w:rPr>
          <w:rFonts w:hint="default" w:ascii="Times New Roman Regular" w:hAnsi="Times New Roman Regular" w:cs="Times New Roman Regular"/>
          <w:sz w:val="24"/>
          <w:szCs w:val="24"/>
          <w:vertAlign w:val="superscript"/>
        </w:rPr>
        <w:t>-</w:t>
      </w:r>
      <w:r>
        <w:rPr>
          <w:rFonts w:hint="default" w:ascii="Times New Roman Regular" w:hAnsi="Times New Roman Regular" w:cs="Times New Roman Regular"/>
          <w:sz w:val="24"/>
          <w:szCs w:val="24"/>
        </w:rPr>
        <w:t>), which is also called the nitrification process. When there’s combustion or lightning present, nitrogen gas can also be oxidized to NO under high temperature conditions (Jacob, 1999). This fixation process is found to be more frequent in industrial aeras than others.</w:t>
      </w: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Temperature and wind speed can affect the volatilization of ammonia, which can further impact the ammonia emissions.</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Chapter 2. Long term trends and composition shifts of emissions in the PRD region</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2.1 Introduction</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PRD region, 21.5°–24°N, 112°–115.5°E. subtropical monsoon climate, annual precipitation 1600-2000 mm</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Newly published Ambient Air Quality Standards by MEE</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2.2 Methodology</w:t>
      </w: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2.2.1 Data sources</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Emission data from the Multi-resolution Emission Inventory for China (MEIC), from 1990 to 2023.</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2.3 Results and discussion</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p>
    <w:p>
      <w:pPr>
        <w:pStyle w:val="2"/>
        <w:rPr>
          <w:rFonts w:hint="default" w:ascii="Times New Roman Regular" w:hAnsi="Times New Roman Regular" w:cs="Times New Roman Regular"/>
          <w:b/>
          <w:bCs/>
          <w:color w:val="000000" w:themeColor="text1"/>
          <w:sz w:val="24"/>
          <w:szCs w:val="24"/>
          <w14:textFill>
            <w14:solidFill>
              <w14:schemeClr w14:val="tx1"/>
            </w14:solidFill>
          </w14:textFill>
        </w:rPr>
      </w:pPr>
      <w:r>
        <w:rPr>
          <w:rFonts w:hint="default" w:ascii="Times New Roman Regular" w:hAnsi="Times New Roman Regular" w:cs="Times New Roman Regular"/>
          <w:b/>
          <w:bCs/>
          <w:color w:val="000000" w:themeColor="text1"/>
          <w:sz w:val="24"/>
          <w:szCs w:val="24"/>
          <w14:textFill>
            <w14:solidFill>
              <w14:schemeClr w14:val="tx1"/>
            </w14:solidFill>
          </w14:textFill>
        </w:rPr>
        <w:t>Chapter 3. Spatiotemporal characteristics of PM2.5 and its constituents in the PRD region in the past decade</w:t>
      </w:r>
    </w:p>
    <w:p>
      <w:pPr>
        <w:rPr>
          <w:rFonts w:hint="default" w:ascii="Times New Roman Regular" w:hAnsi="Times New Roman Regular" w:cs="Times New Roman Regular"/>
          <w:sz w:val="24"/>
          <w:szCs w:val="24"/>
        </w:rPr>
      </w:pPr>
    </w:p>
    <w:p>
      <w:pPr>
        <w:pStyle w:val="3"/>
        <w:rPr>
          <w:rFonts w:hint="default" w:ascii="Times New Roman Regular" w:hAnsi="Times New Roman Regular" w:cs="Times New Roman Regular"/>
          <w:b/>
          <w:bCs/>
          <w:color w:val="000000" w:themeColor="text1"/>
          <w:sz w:val="24"/>
          <w:szCs w:val="24"/>
          <w14:textFill>
            <w14:solidFill>
              <w14:schemeClr w14:val="tx1"/>
            </w14:solidFill>
          </w14:textFill>
        </w:rPr>
      </w:pPr>
      <w:r>
        <w:rPr>
          <w:rFonts w:hint="default" w:ascii="Times New Roman Regular" w:hAnsi="Times New Roman Regular" w:cs="Times New Roman Regular"/>
          <w:b/>
          <w:bCs/>
          <w:color w:val="000000" w:themeColor="text1"/>
          <w:sz w:val="24"/>
          <w:szCs w:val="24"/>
          <w14:textFill>
            <w14:solidFill>
              <w14:schemeClr w14:val="tx1"/>
            </w14:solidFill>
          </w14:textFill>
        </w:rPr>
        <w:t>3.1 Introduction</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As a dominant part of air pollution, PM2.5 had been in great attention for a long time. After the Clean Air Action conducted in the 2010s, PM2.5 concentration underwent a significant decrease both nationwide and regionwide, which indicated the success in pollution control. As one of the highly populated regions, PRD can act as a sign for emission control results. </w:t>
      </w: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Studies had found a shift from primary pollutants to secondary pollutants in PM2.5 composition, where the shift from sulfate-dominated to secondary inorganic aerosol is the most representative. Reduced nitrogen played an increasingly important role as well.</w:t>
      </w: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Shift in emission patterns resulted in shift in PM2.5, both by reducing the incoming sources, and changing the chemical processes. </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Total nitrogen deposition in the PRD region is rising, with reduced nitrogen accounting for over 60% (Yan et al., 2020).</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3.3 Results and discussion</w:t>
      </w:r>
    </w:p>
    <w:p>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3.3.1 Spatiotemporal changesof PM2.5</w:t>
      </w:r>
    </w:p>
    <w:p>
      <w:pPr>
        <w:rPr>
          <w:rFonts w:hint="default" w:ascii="Times New Roman Regular" w:hAnsi="Times New Roman Regular" w:cs="Times New Roman Regular"/>
          <w:sz w:val="24"/>
          <w:szCs w:val="24"/>
          <w:lang w:val="en-US"/>
        </w:rPr>
      </w:pPr>
    </w:p>
    <w:p>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3.3.2 Spatiotemporal changes of PM2.5 composition</w:t>
      </w:r>
    </w:p>
    <w:p>
      <w:pPr>
        <w:rPr>
          <w:rFonts w:hint="default" w:ascii="Times New Roman Regular" w:hAnsi="Times New Roman Regular" w:cs="Times New Roman Regular"/>
          <w:sz w:val="24"/>
          <w:szCs w:val="24"/>
          <w:lang w:val="en-US"/>
        </w:rPr>
      </w:pPr>
    </w:p>
    <w:p>
      <w:pPr>
        <w:rPr>
          <w:rFonts w:ascii="Times New Roman" w:hAnsi="Times New Roman"/>
          <w:sz w:val="24"/>
          <w:szCs w:val="24"/>
        </w:rPr>
      </w:pPr>
      <w:r>
        <w:rPr>
          <w:rFonts w:ascii="Times New Roman" w:hAnsi="Times New Roman"/>
          <w:sz w:val="24"/>
          <w:szCs w:val="24"/>
        </w:rPr>
        <w:t>Given the relatively short atmospheric lifetime of NH₃ and NH₄⁺, this also implies substantial local or regional NH₃ sources in and around the GBA.</w:t>
      </w:r>
      <w:r>
        <w:rPr>
          <w:rFonts w:hint="eastAsia" w:ascii="Times New Roman" w:hAnsi="Times New Roman"/>
          <w:sz w:val="24"/>
          <w:szCs w:val="24"/>
        </w:rPr>
        <w:t xml:space="preserve"> </w:t>
      </w:r>
      <w:r>
        <w:rPr>
          <w:rFonts w:ascii="Times New Roman" w:hAnsi="Times New Roman"/>
          <w:sz w:val="24"/>
          <w:szCs w:val="24"/>
        </w:rPr>
        <w:t>We find tight correlations between annual mean atmospheric concentrations and dry deposition fluxes for individual species, highlighting that deposition at this site is largely concentration</w:t>
      </w:r>
      <w:r>
        <w:rPr>
          <w:rFonts w:ascii="Times New Roman" w:hAnsi="Times New Roman"/>
          <w:sz w:val="24"/>
          <w:szCs w:val="24"/>
        </w:rPr>
        <w:noBreakHyphen/>
      </w:r>
      <w:r>
        <w:rPr>
          <w:rFonts w:ascii="Times New Roman" w:hAnsi="Times New Roman"/>
          <w:sz w:val="24"/>
          <w:szCs w:val="24"/>
        </w:rPr>
        <w:t>driven. Coupled with the emission–deposition sensitivities reported by Zhu et al. (2022), this suggests that future changes in NH₃ and SO₂ emissions will continue to significantly modulate the magnitude and speciation of nitrogen deposition in the region.</w:t>
      </w:r>
    </w:p>
    <w:p>
      <w:pPr>
        <w:rPr>
          <w:rFonts w:ascii="Times New Roman" w:hAnsi="Times New Roman"/>
          <w:sz w:val="24"/>
          <w:szCs w:val="24"/>
        </w:rPr>
      </w:pPr>
    </w:p>
    <w:p>
      <w:pPr>
        <w:rPr>
          <w:rFonts w:ascii="Times New Roman" w:hAnsi="Times New Roman"/>
          <w:sz w:val="24"/>
          <w:szCs w:val="24"/>
        </w:rPr>
      </w:pPr>
      <w:r>
        <w:rPr>
          <w:rFonts w:ascii="Times New Roman" w:hAnsi="Times New Roman"/>
          <w:sz w:val="24"/>
          <w:szCs w:val="24"/>
        </w:rPr>
        <w:t>Though observed PM2.5 concentration showed obvious seasonal variations (Fig. 3), with peaks in the winter and troughs in the summer. No doubt the concentration is decreasing, however, it’s hard to say if there’s any linear trend over the observed 10 years, especially in the summer. Organic matter is calculated using 1.4 times measured organic carbon, the figure showed organic matter took a major part in PM composition, other major components include sulfate, nitrite, and ammonium. The black line in the figure indicates the total measured PM2.5 concentration, sum of PM components showed nice consistency with measured total PM concentrations, with range error with 10%.</w:t>
      </w:r>
    </w:p>
    <w:p>
      <w:pPr>
        <w:rPr>
          <w:rFonts w:hint="default" w:ascii="Times New Roman Regular" w:hAnsi="Times New Roman Regular" w:cs="Times New Roman Regular"/>
          <w:sz w:val="24"/>
          <w:szCs w:val="24"/>
          <w:lang w:val="en-US"/>
        </w:rPr>
      </w:pPr>
    </w:p>
    <w:p>
      <w:pPr>
        <w:rPr>
          <w:rFonts w:hint="default" w:ascii="Times New Roman Regular" w:hAnsi="Times New Roman Regular" w:cs="Times New Roman Regular"/>
          <w:sz w:val="24"/>
          <w:szCs w:val="24"/>
          <w:lang w:val="en-US"/>
        </w:rPr>
      </w:pPr>
    </w:p>
    <w:p>
      <w:pPr>
        <w:rPr>
          <w:rFonts w:hint="default" w:ascii="Times New Roman Regular" w:hAnsi="Times New Roman Regular" w:cs="Times New Roman Regular"/>
          <w:sz w:val="24"/>
          <w:szCs w:val="24"/>
          <w:lang w:val="en-US"/>
        </w:rPr>
      </w:pPr>
    </w:p>
    <w:p>
      <w:pPr>
        <w:rPr>
          <w:rFonts w:hint="default" w:ascii="Times New Roman Regular" w:hAnsi="Times New Roman Regular" w:cs="Times New Roman Regular"/>
          <w:sz w:val="24"/>
          <w:szCs w:val="24"/>
          <w:lang w:val="en-US"/>
        </w:rPr>
      </w:pPr>
    </w:p>
    <w:p>
      <w:pPr>
        <w:ind w:firstLine="480" w:firstLineChars="200"/>
        <w:rPr>
          <w:rFonts w:ascii="Times New Roman" w:hAnsi="Times New Roman"/>
          <w:sz w:val="24"/>
          <w:szCs w:val="24"/>
        </w:rPr>
      </w:pPr>
      <w:r>
        <w:rPr>
          <w:rFonts w:ascii="Times New Roman" w:hAnsi="Times New Roman"/>
          <w:sz w:val="24"/>
          <w:szCs w:val="24"/>
        </w:rPr>
        <w:t>Given the relatively short atmospheric lifetime of NH₃ and NH₄⁺, this also implies substantial local or regional NH₃ sources in and around the GBA.</w:t>
      </w:r>
      <w:r>
        <w:rPr>
          <w:rFonts w:hint="eastAsia" w:ascii="Times New Roman" w:hAnsi="Times New Roman"/>
          <w:sz w:val="24"/>
          <w:szCs w:val="24"/>
        </w:rPr>
        <w:t xml:space="preserve"> </w:t>
      </w:r>
      <w:r>
        <w:rPr>
          <w:rFonts w:ascii="Times New Roman" w:hAnsi="Times New Roman"/>
          <w:sz w:val="24"/>
          <w:szCs w:val="24"/>
        </w:rPr>
        <w:t>We find tight correlations between annual mean atmospheric concentrations and dry deposition fluxes for individual species, highlighting that deposition at this site is largely concentration</w:t>
      </w:r>
      <w:r>
        <w:rPr>
          <w:rFonts w:ascii="Times New Roman" w:hAnsi="Times New Roman"/>
          <w:sz w:val="24"/>
          <w:szCs w:val="24"/>
        </w:rPr>
        <w:noBreakHyphen/>
      </w:r>
      <w:r>
        <w:rPr>
          <w:rFonts w:ascii="Times New Roman" w:hAnsi="Times New Roman"/>
          <w:sz w:val="24"/>
          <w:szCs w:val="24"/>
        </w:rPr>
        <w:t>driven. Coupled with the emission–deposition sensitivities reported by Zhu et al. (2022), this suggests that future changes in NH₃ and SO₂ emissions will continue to significantly modulate the magnitude and speciation of nitrogen deposition in the region.</w:t>
      </w:r>
    </w:p>
    <w:p>
      <w:pPr>
        <w:rPr>
          <w:rFonts w:hint="default" w:ascii="Times New Roman Regular" w:hAnsi="Times New Roman Regular" w:cs="Times New Roman Regular"/>
          <w:sz w:val="24"/>
          <w:szCs w:val="24"/>
          <w:lang w:val="en-US"/>
        </w:rPr>
      </w:pPr>
    </w:p>
    <w:p>
      <w:pPr>
        <w:rPr>
          <w:rFonts w:hint="default" w:ascii="Times New Roman Regular" w:hAnsi="Times New Roman Regular" w:cs="Times New Roman Regular"/>
          <w:sz w:val="24"/>
          <w:szCs w:val="24"/>
          <w:lang w:val="en-US"/>
        </w:rPr>
      </w:pPr>
    </w:p>
    <w:p>
      <w:pPr>
        <w:rPr>
          <w:rFonts w:hint="default" w:ascii="Times New Roman Regular" w:hAnsi="Times New Roman Regular" w:cs="Times New Roman Regular"/>
          <w:sz w:val="24"/>
          <w:szCs w:val="24"/>
          <w:lang w:val="en-US"/>
        </w:rPr>
      </w:pPr>
    </w:p>
    <w:p>
      <w:pPr>
        <w:rPr>
          <w:rFonts w:hint="default" w:ascii="Times New Roman Regular" w:hAnsi="Times New Roman Regular" w:cs="Times New Roman Regular"/>
          <w:sz w:val="24"/>
          <w:szCs w:val="24"/>
          <w:lang w:val="en-US"/>
        </w:rPr>
      </w:pPr>
      <w:bookmarkStart w:id="0" w:name="_GoBack"/>
      <w:bookmarkEnd w:id="0"/>
    </w:p>
    <w:p>
      <w:pPr>
        <w:rPr>
          <w:rFonts w:hint="default" w:ascii="Times New Roman Regular" w:hAnsi="Times New Roman Regular" w:cs="Times New Roman Regular"/>
          <w:sz w:val="24"/>
          <w:szCs w:val="24"/>
          <w:lang w:val="en-US"/>
        </w:rPr>
      </w:pPr>
    </w:p>
    <w:p>
      <w:pPr>
        <w:rPr>
          <w:rFonts w:hint="default" w:ascii="Times New Roman Regular" w:hAnsi="Times New Roman Regular" w:cs="Times New Roman Regular"/>
          <w:sz w:val="24"/>
          <w:szCs w:val="24"/>
          <w:lang w:val="en-US"/>
        </w:rPr>
      </w:pPr>
    </w:p>
    <w:p>
      <w:pPr>
        <w:rPr>
          <w:rFonts w:hint="default" w:ascii="Times New Roman Regular" w:hAnsi="Times New Roman Regular" w:cs="Times New Roman Regular"/>
          <w:sz w:val="24"/>
          <w:szCs w:val="24"/>
          <w:lang w:val="en-US"/>
        </w:rPr>
      </w:pPr>
    </w:p>
    <w:p>
      <w:pPr>
        <w:rPr>
          <w:rFonts w:hint="default" w:ascii="Times New Roman Regular" w:hAnsi="Times New Roman Regular" w:cs="Times New Roman Regular"/>
          <w:sz w:val="24"/>
          <w:szCs w:val="24"/>
          <w:lang w:val="en-US"/>
        </w:rPr>
      </w:pPr>
    </w:p>
    <w:p>
      <w:pPr>
        <w:rPr>
          <w:rFonts w:hint="default" w:ascii="Times New Roman Regular" w:hAnsi="Times New Roman Regular" w:cs="Times New Roman Regular"/>
          <w:sz w:val="24"/>
          <w:szCs w:val="24"/>
          <w:lang w:val="en-US"/>
        </w:rPr>
      </w:pPr>
    </w:p>
    <w:p>
      <w:pPr>
        <w:rPr>
          <w:rFonts w:hint="default" w:ascii="Times New Roman Regular" w:hAnsi="Times New Roman Regular" w:cs="Times New Roman Regular"/>
          <w:sz w:val="24"/>
          <w:szCs w:val="24"/>
          <w:lang w:val="en-US"/>
        </w:rPr>
      </w:pPr>
    </w:p>
    <w:p>
      <w:pPr>
        <w:rPr>
          <w:rFonts w:hint="default" w:ascii="Times New Roman Regular" w:hAnsi="Times New Roman Regular" w:cs="Times New Roman Regular"/>
          <w:sz w:val="24"/>
          <w:szCs w:val="24"/>
          <w:lang w:val="en-US"/>
        </w:rPr>
      </w:pPr>
    </w:p>
    <w:p>
      <w:pPr>
        <w:rPr>
          <w:rFonts w:hint="default" w:ascii="Times New Roman Regular" w:hAnsi="Times New Roman Regular" w:cs="Times New Roman Regular"/>
          <w:sz w:val="24"/>
          <w:szCs w:val="24"/>
          <w:lang w:val="en-US"/>
        </w:rPr>
      </w:pPr>
    </w:p>
    <w:p>
      <w:pPr>
        <w:rPr>
          <w:rFonts w:hint="default" w:ascii="Times New Roman Regular" w:hAnsi="Times New Roman Regular" w:cs="Times New Roman Regular"/>
          <w:sz w:val="24"/>
          <w:szCs w:val="24"/>
          <w:lang w:val="en-US"/>
        </w:rPr>
      </w:pPr>
    </w:p>
    <w:p>
      <w:pPr>
        <w:rPr>
          <w:rFonts w:hint="default" w:ascii="Times New Roman Regular" w:hAnsi="Times New Roman Regular" w:cs="Times New Roman Regular"/>
          <w:sz w:val="24"/>
          <w:szCs w:val="24"/>
          <w:lang w:val="en-US"/>
        </w:rPr>
      </w:pPr>
    </w:p>
    <w:p>
      <w:pPr>
        <w:rPr>
          <w:rFonts w:hint="default" w:ascii="Times New Roman Regular" w:hAnsi="Times New Roman Regular" w:cs="Times New Roman Regular"/>
          <w:sz w:val="24"/>
          <w:szCs w:val="24"/>
          <w:lang w:val="en-US"/>
        </w:rPr>
      </w:pPr>
    </w:p>
    <w:p>
      <w:pPr>
        <w:rPr>
          <w:rFonts w:hint="default" w:ascii="Times New Roman Regular" w:hAnsi="Times New Roman Regular" w:cs="Times New Roman Regular"/>
          <w:sz w:val="24"/>
          <w:szCs w:val="24"/>
          <w:lang w:val="en-US"/>
        </w:rPr>
      </w:pPr>
    </w:p>
    <w:p>
      <w:pPr>
        <w:rPr>
          <w:rFonts w:hint="default" w:ascii="Times New Roman Regular" w:hAnsi="Times New Roman Regular" w:cs="Times New Roman Regular"/>
          <w:sz w:val="24"/>
          <w:szCs w:val="24"/>
          <w:lang w:val="en-US"/>
        </w:rPr>
      </w:pPr>
    </w:p>
    <w:p>
      <w:pPr>
        <w:rPr>
          <w:rFonts w:hint="default" w:ascii="Times New Roman Regular" w:hAnsi="Times New Roman Regular" w:cs="Times New Roman Regular"/>
          <w:sz w:val="24"/>
          <w:szCs w:val="24"/>
          <w:lang w:val="en-US"/>
        </w:rPr>
      </w:pPr>
    </w:p>
    <w:p>
      <w:pPr>
        <w:rPr>
          <w:rFonts w:hint="default" w:ascii="Times New Roman Regular" w:hAnsi="Times New Roman Regular" w:cs="Times New Roman Regular"/>
          <w:sz w:val="24"/>
          <w:szCs w:val="24"/>
          <w:lang w:val="en-US"/>
        </w:rPr>
      </w:pPr>
    </w:p>
    <w:p>
      <w:pPr>
        <w:rPr>
          <w:rFonts w:hint="default" w:ascii="Times New Roman Regular" w:hAnsi="Times New Roman Regular" w:cs="Times New Roman Regular"/>
          <w:sz w:val="24"/>
          <w:szCs w:val="24"/>
          <w:lang w:val="en-US"/>
        </w:rPr>
      </w:pP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 </w:t>
      </w:r>
    </w:p>
    <w:p>
      <w:pPr>
        <w:rPr>
          <w:rFonts w:hint="default" w:ascii="Times New Roman Regular" w:hAnsi="Times New Roman Regular" w:cs="Times New Roman Regular"/>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汉仪中简黑简">
    <w:panose1 w:val="00020600040101010101"/>
    <w:charset w:val="86"/>
    <w:family w:val="auto"/>
    <w:pitch w:val="default"/>
    <w:sig w:usb0="A00002BF" w:usb1="18EF7CFA" w:usb2="00000016" w:usb3="00000000" w:csb0="00040000" w:csb1="00000000"/>
  </w:font>
  <w:font w:name="Andale Mono">
    <w:panose1 w:val="020B0509000000000004"/>
    <w:charset w:val="00"/>
    <w:family w:val="auto"/>
    <w:pitch w:val="default"/>
    <w:sig w:usb0="00000287" w:usb1="00000000" w:usb2="00000000" w:usb3="00000000" w:csb0="6000009F" w:csb1="DFD70000"/>
  </w:font>
  <w:font w:name="Big Caslon">
    <w:panose1 w:val="02000603090000020003"/>
    <w:charset w:val="00"/>
    <w:family w:val="auto"/>
    <w:pitch w:val="default"/>
    <w:sig w:usb0="80000063" w:usb1="00000000" w:usb2="00000000" w:usb3="00000000" w:csb0="200001FB" w:csb1="CDFC0000"/>
  </w:font>
  <w:font w:name="Rockwell Regular">
    <w:panose1 w:val="02060503020205020403"/>
    <w:charset w:val="00"/>
    <w:family w:val="auto"/>
    <w:pitch w:val="default"/>
    <w:sig w:usb0="810002EF" w:usb1="0000000A" w:usb2="00000000" w:usb3="00000000" w:csb0="0000019F" w:csb1="00000000"/>
  </w:font>
  <w:font w:name="Sinhala MN Regular">
    <w:panose1 w:val="00000500000000000000"/>
    <w:charset w:val="00"/>
    <w:family w:val="auto"/>
    <w:pitch w:val="default"/>
    <w:sig w:usb0="00000001" w:usb1="0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Trattatello">
    <w:panose1 w:val="020F0403020200020303"/>
    <w:charset w:val="00"/>
    <w:family w:val="auto"/>
    <w:pitch w:val="default"/>
    <w:sig w:usb0="00000001" w:usb1="00002000" w:usb2="00000000" w:usb3="00000000" w:csb0="2000019F" w:csb1="4F010000"/>
  </w:font>
  <w:font w:name="Times New Roman Regular">
    <w:panose1 w:val="02020603050405020304"/>
    <w:charset w:val="00"/>
    <w:family w:val="auto"/>
    <w:pitch w:val="default"/>
    <w:sig w:usb0="E0002AEF" w:usb1="C0007841" w:usb2="00000009" w:usb3="00000000" w:csb0="400001FF" w:csb1="FFFF0000"/>
  </w:font>
  <w:font w:name="DengXian">
    <w:altName w:val="汉仪中等线KW"/>
    <w:panose1 w:val="02010600030101010101"/>
    <w:charset w:val="86"/>
    <w:family w:val="auto"/>
    <w:pitch w:val="default"/>
    <w:sig w:usb0="00000000" w:usb1="00000000" w:usb2="00000016" w:usb3="00000000" w:csb0="0004000F" w:csb1="00000000"/>
  </w:font>
  <w:font w:name="Arial Unicode MS">
    <w:panose1 w:val="020B0604020202020204"/>
    <w:charset w:val="86"/>
    <w:family w:val="auto"/>
    <w:pitch w:val="default"/>
    <w:sig w:usb0="FFFFFFFF" w:usb1="E9FFFFFF" w:usb2="0000003F" w:usb3="00000000" w:csb0="603F01FF" w:csb1="FFFF0000"/>
  </w:font>
  <w:font w:name="冬青黑体简体中文">
    <w:panose1 w:val="020B0300000000000000"/>
    <w:charset w:val="86"/>
    <w:family w:val="auto"/>
    <w:pitch w:val="default"/>
    <w:sig w:usb0="A00002BF" w:usb1="1ACF7CFA" w:usb2="00000016" w:usb3="00000000" w:csb0="0006000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335648"/>
    <w:multiLevelType w:val="multilevel"/>
    <w:tmpl w:val="00335648"/>
    <w:lvl w:ilvl="0" w:tentative="0">
      <w:start w:val="1"/>
      <w:numFmt w:val="decimal"/>
      <w:lvlText w:val="%1"/>
      <w:lvlJc w:val="left"/>
      <w:pPr>
        <w:ind w:left="600" w:hanging="600"/>
      </w:pPr>
      <w:rPr>
        <w:rFonts w:hint="default"/>
      </w:rPr>
    </w:lvl>
    <w:lvl w:ilvl="1" w:tentative="0">
      <w:start w:val="1"/>
      <w:numFmt w:val="decimal"/>
      <w:lvlText w:val="%1.%2"/>
      <w:lvlJc w:val="left"/>
      <w:pPr>
        <w:ind w:left="1140" w:hanging="720"/>
      </w:pPr>
      <w:rPr>
        <w:rFonts w:hint="default"/>
      </w:rPr>
    </w:lvl>
    <w:lvl w:ilvl="2" w:tentative="0">
      <w:start w:val="1"/>
      <w:numFmt w:val="decimal"/>
      <w:lvlText w:val="%1.%2.%3"/>
      <w:lvlJc w:val="left"/>
      <w:pPr>
        <w:ind w:left="1920" w:hanging="1080"/>
      </w:pPr>
      <w:rPr>
        <w:rFonts w:hint="default"/>
      </w:rPr>
    </w:lvl>
    <w:lvl w:ilvl="3" w:tentative="0">
      <w:start w:val="1"/>
      <w:numFmt w:val="decimal"/>
      <w:lvlText w:val="%1.%2.%3.%4"/>
      <w:lvlJc w:val="left"/>
      <w:pPr>
        <w:ind w:left="2700" w:hanging="1440"/>
      </w:pPr>
      <w:rPr>
        <w:rFonts w:hint="default"/>
      </w:rPr>
    </w:lvl>
    <w:lvl w:ilvl="4" w:tentative="0">
      <w:start w:val="1"/>
      <w:numFmt w:val="decimal"/>
      <w:lvlText w:val="%1.%2.%3.%4.%5"/>
      <w:lvlJc w:val="left"/>
      <w:pPr>
        <w:ind w:left="3120" w:hanging="1440"/>
      </w:pPr>
      <w:rPr>
        <w:rFonts w:hint="default"/>
      </w:rPr>
    </w:lvl>
    <w:lvl w:ilvl="5" w:tentative="0">
      <w:start w:val="1"/>
      <w:numFmt w:val="decimal"/>
      <w:lvlText w:val="%1.%2.%3.%4.%5.%6"/>
      <w:lvlJc w:val="left"/>
      <w:pPr>
        <w:ind w:left="3900" w:hanging="1800"/>
      </w:pPr>
      <w:rPr>
        <w:rFonts w:hint="default"/>
      </w:rPr>
    </w:lvl>
    <w:lvl w:ilvl="6" w:tentative="0">
      <w:start w:val="1"/>
      <w:numFmt w:val="decimal"/>
      <w:lvlText w:val="%1.%2.%3.%4.%5.%6.%7"/>
      <w:lvlJc w:val="left"/>
      <w:pPr>
        <w:ind w:left="4680" w:hanging="2160"/>
      </w:pPr>
      <w:rPr>
        <w:rFonts w:hint="default"/>
      </w:rPr>
    </w:lvl>
    <w:lvl w:ilvl="7" w:tentative="0">
      <w:start w:val="1"/>
      <w:numFmt w:val="decimal"/>
      <w:lvlText w:val="%1.%2.%3.%4.%5.%6.%7.%8"/>
      <w:lvlJc w:val="left"/>
      <w:pPr>
        <w:ind w:left="5460" w:hanging="2520"/>
      </w:pPr>
      <w:rPr>
        <w:rFonts w:hint="default"/>
      </w:rPr>
    </w:lvl>
    <w:lvl w:ilvl="8" w:tentative="0">
      <w:start w:val="1"/>
      <w:numFmt w:val="decimal"/>
      <w:lvlText w:val="%1.%2.%3.%4.%5.%6.%7.%8.%9"/>
      <w:lvlJc w:val="left"/>
      <w:pPr>
        <w:ind w:left="6240" w:hanging="288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1F45"/>
    <w:rsid w:val="0003647E"/>
    <w:rsid w:val="00247DBF"/>
    <w:rsid w:val="0038522F"/>
    <w:rsid w:val="00462AB3"/>
    <w:rsid w:val="004C1764"/>
    <w:rsid w:val="0069015B"/>
    <w:rsid w:val="007F6DF1"/>
    <w:rsid w:val="00803CE7"/>
    <w:rsid w:val="008B4C69"/>
    <w:rsid w:val="00921F45"/>
    <w:rsid w:val="00A75359"/>
    <w:rsid w:val="00AC3B42"/>
    <w:rsid w:val="00AE43EC"/>
    <w:rsid w:val="00B90D31"/>
    <w:rsid w:val="00DF7D61"/>
    <w:rsid w:val="00E06F6A"/>
    <w:rsid w:val="00E42444"/>
    <w:rsid w:val="00E516E8"/>
    <w:rsid w:val="00F62A5D"/>
    <w:rsid w:val="2FF513ED"/>
    <w:rsid w:val="EFFBB9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14:ligatures w14:val="standardContextual"/>
    </w:rPr>
  </w:style>
  <w:style w:type="paragraph" w:styleId="2">
    <w:name w:val="heading 1"/>
    <w:basedOn w:val="1"/>
    <w:next w:val="1"/>
    <w:link w:val="24"/>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5"/>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6"/>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7"/>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8"/>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9"/>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0"/>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3">
    <w:name w:val="Default Paragraph Font"/>
    <w:semiHidden/>
    <w:unhideWhenUsed/>
    <w:uiPriority w:val="1"/>
  </w:style>
  <w:style w:type="table" w:default="1" w:styleId="22">
    <w:name w:val="Normal Table"/>
    <w:semiHidden/>
    <w:unhideWhenUsed/>
    <w:uiPriority w:val="99"/>
    <w:tblPr>
      <w:tblCellMar>
        <w:top w:w="0" w:type="dxa"/>
        <w:left w:w="108" w:type="dxa"/>
        <w:bottom w:w="0" w:type="dxa"/>
        <w:right w:w="108" w:type="dxa"/>
      </w:tblCellMar>
    </w:tblPr>
  </w:style>
  <w:style w:type="paragraph" w:styleId="11">
    <w:name w:val="toc 7"/>
    <w:basedOn w:val="1"/>
    <w:next w:val="1"/>
    <w:semiHidden/>
    <w:unhideWhenUsed/>
    <w:uiPriority w:val="39"/>
    <w:pPr>
      <w:ind w:left="1260"/>
      <w:jc w:val="left"/>
    </w:pPr>
    <w:rPr>
      <w:rFonts w:eastAsiaTheme="minorHAnsi"/>
      <w:sz w:val="20"/>
      <w:szCs w:val="20"/>
    </w:rPr>
  </w:style>
  <w:style w:type="paragraph" w:styleId="12">
    <w:name w:val="toc 5"/>
    <w:basedOn w:val="1"/>
    <w:next w:val="1"/>
    <w:semiHidden/>
    <w:unhideWhenUsed/>
    <w:uiPriority w:val="39"/>
    <w:pPr>
      <w:ind w:left="840"/>
      <w:jc w:val="left"/>
    </w:pPr>
    <w:rPr>
      <w:rFonts w:eastAsiaTheme="minorHAnsi"/>
      <w:sz w:val="20"/>
      <w:szCs w:val="20"/>
    </w:rPr>
  </w:style>
  <w:style w:type="paragraph" w:styleId="13">
    <w:name w:val="toc 3"/>
    <w:basedOn w:val="1"/>
    <w:next w:val="1"/>
    <w:semiHidden/>
    <w:unhideWhenUsed/>
    <w:uiPriority w:val="39"/>
    <w:pPr>
      <w:ind w:left="420"/>
      <w:jc w:val="left"/>
    </w:pPr>
    <w:rPr>
      <w:rFonts w:eastAsiaTheme="minorHAnsi"/>
      <w:sz w:val="20"/>
      <w:szCs w:val="20"/>
    </w:rPr>
  </w:style>
  <w:style w:type="paragraph" w:styleId="14">
    <w:name w:val="toc 8"/>
    <w:basedOn w:val="1"/>
    <w:next w:val="1"/>
    <w:semiHidden/>
    <w:unhideWhenUsed/>
    <w:uiPriority w:val="39"/>
    <w:pPr>
      <w:ind w:left="1470"/>
      <w:jc w:val="left"/>
    </w:pPr>
    <w:rPr>
      <w:rFonts w:eastAsiaTheme="minorHAnsi"/>
      <w:sz w:val="20"/>
      <w:szCs w:val="20"/>
    </w:rPr>
  </w:style>
  <w:style w:type="paragraph" w:styleId="15">
    <w:name w:val="toc 1"/>
    <w:basedOn w:val="1"/>
    <w:next w:val="1"/>
    <w:semiHidden/>
    <w:unhideWhenUsed/>
    <w:uiPriority w:val="39"/>
    <w:pPr>
      <w:spacing w:before="120"/>
      <w:jc w:val="left"/>
    </w:pPr>
    <w:rPr>
      <w:rFonts w:eastAsiaTheme="minorHAnsi"/>
      <w:b/>
      <w:bCs/>
      <w:i/>
      <w:iCs/>
      <w:sz w:val="24"/>
    </w:rPr>
  </w:style>
  <w:style w:type="paragraph" w:styleId="16">
    <w:name w:val="toc 4"/>
    <w:basedOn w:val="1"/>
    <w:next w:val="1"/>
    <w:semiHidden/>
    <w:unhideWhenUsed/>
    <w:uiPriority w:val="39"/>
    <w:pPr>
      <w:ind w:left="630"/>
      <w:jc w:val="left"/>
    </w:pPr>
    <w:rPr>
      <w:rFonts w:eastAsiaTheme="minorHAnsi"/>
      <w:sz w:val="20"/>
      <w:szCs w:val="20"/>
    </w:rPr>
  </w:style>
  <w:style w:type="paragraph" w:styleId="17">
    <w:name w:val="Subtitle"/>
    <w:basedOn w:val="1"/>
    <w:next w:val="1"/>
    <w:link w:val="34"/>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oc 6"/>
    <w:basedOn w:val="1"/>
    <w:next w:val="1"/>
    <w:semiHidden/>
    <w:unhideWhenUsed/>
    <w:uiPriority w:val="39"/>
    <w:pPr>
      <w:ind w:left="1050"/>
      <w:jc w:val="left"/>
    </w:pPr>
    <w:rPr>
      <w:rFonts w:eastAsiaTheme="minorHAnsi"/>
      <w:sz w:val="20"/>
      <w:szCs w:val="20"/>
    </w:rPr>
  </w:style>
  <w:style w:type="paragraph" w:styleId="19">
    <w:name w:val="toc 2"/>
    <w:basedOn w:val="1"/>
    <w:next w:val="1"/>
    <w:semiHidden/>
    <w:unhideWhenUsed/>
    <w:uiPriority w:val="39"/>
    <w:pPr>
      <w:spacing w:before="120"/>
      <w:ind w:left="210"/>
      <w:jc w:val="left"/>
    </w:pPr>
    <w:rPr>
      <w:rFonts w:eastAsiaTheme="minorHAnsi"/>
      <w:b/>
      <w:bCs/>
      <w:sz w:val="22"/>
      <w:szCs w:val="22"/>
    </w:rPr>
  </w:style>
  <w:style w:type="paragraph" w:styleId="20">
    <w:name w:val="toc 9"/>
    <w:basedOn w:val="1"/>
    <w:next w:val="1"/>
    <w:semiHidden/>
    <w:unhideWhenUsed/>
    <w:uiPriority w:val="39"/>
    <w:pPr>
      <w:ind w:left="1680"/>
      <w:jc w:val="left"/>
    </w:pPr>
    <w:rPr>
      <w:rFonts w:eastAsiaTheme="minorHAnsi"/>
      <w:sz w:val="20"/>
      <w:szCs w:val="20"/>
    </w:rPr>
  </w:style>
  <w:style w:type="paragraph" w:styleId="21">
    <w:name w:val="Title"/>
    <w:basedOn w:val="1"/>
    <w:next w:val="1"/>
    <w:link w:val="33"/>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24">
    <w:name w:val="标题 1 字符"/>
    <w:basedOn w:val="23"/>
    <w:link w:val="2"/>
    <w:uiPriority w:val="9"/>
    <w:rPr>
      <w:rFonts w:asciiTheme="majorHAnsi" w:hAnsiTheme="majorHAnsi" w:eastAsiaTheme="majorEastAsia" w:cstheme="majorBidi"/>
      <w:color w:val="104862" w:themeColor="accent1" w:themeShade="BF"/>
      <w:sz w:val="48"/>
      <w:szCs w:val="48"/>
    </w:rPr>
  </w:style>
  <w:style w:type="character" w:customStyle="1" w:styleId="25">
    <w:name w:val="标题 2 字符"/>
    <w:basedOn w:val="23"/>
    <w:link w:val="3"/>
    <w:uiPriority w:val="9"/>
    <w:rPr>
      <w:rFonts w:asciiTheme="majorHAnsi" w:hAnsiTheme="majorHAnsi" w:eastAsiaTheme="majorEastAsia" w:cstheme="majorBidi"/>
      <w:color w:val="104862" w:themeColor="accent1" w:themeShade="BF"/>
      <w:sz w:val="40"/>
      <w:szCs w:val="40"/>
    </w:rPr>
  </w:style>
  <w:style w:type="character" w:customStyle="1" w:styleId="26">
    <w:name w:val="标题 3 字符"/>
    <w:basedOn w:val="23"/>
    <w:link w:val="4"/>
    <w:semiHidden/>
    <w:uiPriority w:val="9"/>
    <w:rPr>
      <w:rFonts w:asciiTheme="majorHAnsi" w:hAnsiTheme="majorHAnsi" w:eastAsiaTheme="majorEastAsia" w:cstheme="majorBidi"/>
      <w:color w:val="104862" w:themeColor="accent1" w:themeShade="BF"/>
      <w:sz w:val="32"/>
      <w:szCs w:val="32"/>
    </w:rPr>
  </w:style>
  <w:style w:type="character" w:customStyle="1" w:styleId="27">
    <w:name w:val="标题 4 字符"/>
    <w:basedOn w:val="23"/>
    <w:link w:val="5"/>
    <w:semiHidden/>
    <w:uiPriority w:val="9"/>
    <w:rPr>
      <w:rFonts w:cstheme="majorBidi"/>
      <w:color w:val="104862" w:themeColor="accent1" w:themeShade="BF"/>
      <w:sz w:val="28"/>
      <w:szCs w:val="28"/>
    </w:rPr>
  </w:style>
  <w:style w:type="character" w:customStyle="1" w:styleId="28">
    <w:name w:val="标题 5 字符"/>
    <w:basedOn w:val="23"/>
    <w:link w:val="6"/>
    <w:semiHidden/>
    <w:uiPriority w:val="9"/>
    <w:rPr>
      <w:rFonts w:cstheme="majorBidi"/>
      <w:color w:val="104862" w:themeColor="accent1" w:themeShade="BF"/>
      <w:sz w:val="24"/>
    </w:rPr>
  </w:style>
  <w:style w:type="character" w:customStyle="1" w:styleId="29">
    <w:name w:val="标题 6 字符"/>
    <w:basedOn w:val="23"/>
    <w:link w:val="7"/>
    <w:semiHidden/>
    <w:uiPriority w:val="9"/>
    <w:rPr>
      <w:rFonts w:cstheme="majorBidi"/>
      <w:b/>
      <w:bCs/>
      <w:color w:val="104862" w:themeColor="accent1" w:themeShade="BF"/>
    </w:rPr>
  </w:style>
  <w:style w:type="character" w:customStyle="1" w:styleId="30">
    <w:name w:val="标题 7 字符"/>
    <w:basedOn w:val="23"/>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23"/>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23"/>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23"/>
    <w:link w:val="21"/>
    <w:uiPriority w:val="10"/>
    <w:rPr>
      <w:rFonts w:asciiTheme="majorHAnsi" w:hAnsiTheme="majorHAnsi" w:eastAsiaTheme="majorEastAsia" w:cstheme="majorBidi"/>
      <w:spacing w:val="-10"/>
      <w:kern w:val="28"/>
      <w:sz w:val="56"/>
      <w:szCs w:val="56"/>
    </w:rPr>
  </w:style>
  <w:style w:type="character" w:customStyle="1" w:styleId="34">
    <w:name w:val="副标题 字符"/>
    <w:basedOn w:val="23"/>
    <w:link w:val="17"/>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23"/>
    <w:link w:val="35"/>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Intense Emphasis"/>
    <w:basedOn w:val="23"/>
    <w:qFormat/>
    <w:uiPriority w:val="21"/>
    <w:rPr>
      <w:i/>
      <w:iCs/>
      <w:color w:val="104862" w:themeColor="accent1" w:themeShade="BF"/>
    </w:rPr>
  </w:style>
  <w:style w:type="paragraph" w:styleId="39">
    <w:name w:val="Intense Quote"/>
    <w:basedOn w:val="1"/>
    <w:next w:val="1"/>
    <w:link w:val="40"/>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0">
    <w:name w:val="明显引用 字符"/>
    <w:basedOn w:val="23"/>
    <w:link w:val="39"/>
    <w:uiPriority w:val="30"/>
    <w:rPr>
      <w:i/>
      <w:iCs/>
      <w:color w:val="104862" w:themeColor="accent1" w:themeShade="BF"/>
    </w:rPr>
  </w:style>
  <w:style w:type="character" w:customStyle="1" w:styleId="41">
    <w:name w:val="Intense Reference"/>
    <w:basedOn w:val="23"/>
    <w:qFormat/>
    <w:uiPriority w:val="32"/>
    <w:rPr>
      <w:b/>
      <w:bCs/>
      <w:smallCaps/>
      <w:color w:val="104862" w:themeColor="accent1" w:themeShade="BF"/>
      <w:spacing w:val="5"/>
    </w:rPr>
  </w:style>
  <w:style w:type="paragraph" w:customStyle="1" w:styleId="42">
    <w:name w:val="TOC Heading"/>
    <w:basedOn w:val="2"/>
    <w:next w:val="1"/>
    <w:unhideWhenUsed/>
    <w:qFormat/>
    <w:uiPriority w:val="39"/>
    <w:pPr>
      <w:widowControl/>
      <w:spacing w:after="0" w:line="276" w:lineRule="auto"/>
      <w:jc w:val="left"/>
      <w:outlineLvl w:val="9"/>
    </w:pPr>
    <w:rPr>
      <w:b/>
      <w:bCs/>
      <w:kern w:val="0"/>
      <w:sz w:val="28"/>
      <w:szCs w:val="28"/>
      <w14:ligatures w14:val="non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620</Words>
  <Characters>3540</Characters>
  <Lines>29</Lines>
  <Paragraphs>8</Paragraphs>
  <TotalTime>0</TotalTime>
  <ScaleCrop>false</ScaleCrop>
  <LinksUpToDate>false</LinksUpToDate>
  <CharactersWithSpaces>4152</CharactersWithSpaces>
  <Application>WPS Office_6.4.0.8550_F1E327BC-269C-435d-A152-05C5408002CA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2026-07-28T10:14:00Z</dcterms:created>
  <dc:creator>DUAN, Hanrui</dc:creator>
  <cp:lastModifiedBy>FOB！ SRAR～</cp:lastModifiedBy>
  <dcterms:modified xsi:type="dcterms:W3CDTF">2026-09-03T15:53:26Z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E6F75ABF8599DA9F5627996AB5B00F9B_42</vt:lpwstr>
  </property>
</Properties>
</file>