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Risk Quantification Framework</w:t>
      </w:r>
    </w:p>
    <w:p>
      <w:pPr>
        <w:spacing w:after="400"/>
        <w:jc w:val="center"/>
      </w:pPr>
      <w:r>
        <w:rPr>
          <w:color w:val="666666"/>
          <w:sz w:val="28"/>
          <w:szCs w:val="28"/>
        </w:rPr>
        <w:t xml:space="preserve">Delta Neutral Funding Rate Strategy</w:t>
      </w:r>
    </w:p>
    <w:p>
      <w:pPr>
        <w:pStyle w:val="Heading1"/>
      </w:pPr>
      <w:r>
        <w:t xml:space="preserve">Executive Summary</w:t>
      </w:r>
    </w:p>
    <w:p>
      <w:pPr>
        <w:spacing w:after="200"/>
      </w:pPr>
      <w:r>
        <w:t xml:space="preserve">This report provides a comprehensive framework for quantifying and managing risks associated with delta neutral funding rate arbitrage strategies. While some risks can be rigorously measured using historical data and statistical methods, others require qualitative assessment and conservative haircuts to capital allocation.</w:t>
      </w:r>
    </w:p>
    <w:p>
      <w:pPr>
        <w:spacing w:after="200"/>
      </w:pPr>
      <w:r>
        <w:t xml:space="preserve">The key finding is that risks fall into two distinct categories: those that are readily quantifiable through historical analysis (funding rate variance, basis risk, liquidation risk, execution risk), and those that require subjective probability estimates due to their tail-risk nature (exchange risk, technical risk, operational risk).</w:t>
      </w:r>
    </w:p>
    <w:p>
      <w:pPr>
        <w:pStyle w:val="Heading1"/>
      </w:pPr>
      <w:r>
        <w:t xml:space="preserve">1. Introduction</w:t>
      </w:r>
    </w:p>
    <w:p>
      <w:pPr>
        <w:spacing w:after="200"/>
      </w:pPr>
      <w:r>
        <w:t xml:space="preserve">Delta neutral funding rate strategies involve holding offsetting positions in spot and perpetual futures markets to capture funding rate payments while maintaining market neutrality. While the strategy appears low-risk on the surface, multiple risk factors can impact profitability and capital preservation.</w:t>
      </w:r>
    </w:p>
    <w:p>
      <w:pPr>
        <w:spacing w:after="200"/>
      </w:pPr>
      <w:r>
        <w:t xml:space="preserve">This analysis categorizes each risk by its quantifiability and provides recommended methodologies for measurement and mitigation.</w:t>
      </w:r>
    </w:p>
    <w:p>
      <w:pPr>
        <w:pStyle w:val="Heading1"/>
      </w:pPr>
      <w:r>
        <w:t xml:space="preserve">2. Risk Classification</w:t>
      </w:r>
    </w:p>
    <w:p>
      <w:pPr>
        <w:pStyle w:val="Heading2"/>
      </w:pPr>
      <w:r>
        <w:t xml:space="preserve">2.1 Risk Quantifiability Matrix</w:t>
      </w:r>
    </w:p>
    <w:p>
      <w:pPr>
        <w:spacing w:after="200"/>
      </w:pPr>
      <w:r>
        <w:t xml:space="preserve">The following table classifies each risk type by its quantifiability and recommended measurement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1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Risk Category</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Quantifiability</w:t>
            </w:r>
          </w:p>
        </w:tc>
        <w:tc>
          <w:tcPr>
            <w:tcW w:type="dxa" w:w="41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Recommended Methodology</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Funding Rate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High</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Historical distribution analysis, regime modeling</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Basis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High</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Standard deviation of basis, max historical divergence</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Liquidation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High</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Monte Carlo simulation with volatility clustering</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Execution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Medium-High</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Empirical slippage measurement, order book analysis</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Exchange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Low</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Subjective probability × exposure (haircut approach)</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Technical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Low</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Historical uptime data, qualitative assessment</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Operational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Low</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Redundancy planning, incident rate tracking</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bCs/>
                <w:sz w:val="22"/>
                <w:szCs w:val="22"/>
              </w:rPr>
              <w:t xml:space="preserve">Counterparty Risk</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Medium</w:t>
            </w:r>
          </w:p>
        </w:tc>
        <w:tc>
          <w:tcPr>
            <w:tcW w:type="dxa" w:w="4160"/>
            <w:tcBorders>
              <w:top w:val="single" w:color="CCCCCC" w:sz="1"/>
              <w:left w:val="single" w:color="CCCCCC" w:sz="1"/>
              <w:bottom w:val="single" w:color="CCCCCC" w:sz="1"/>
              <w:right w:val="single" w:color="CCCCCC" w:sz="1"/>
            </w:tcBorders>
          </w:tcPr>
          <w:p>
            <w:r>
              <w:rPr>
                <w:rFonts w:ascii="Arial" w:cs="Arial" w:eastAsia="Arial" w:hAnsi="Arial"/>
                <w:b w:val="false"/>
                <w:bCs w:val="false"/>
                <w:sz w:val="22"/>
                <w:szCs w:val="22"/>
              </w:rPr>
              <w:t xml:space="preserve">Policy change frequency analysis, margin buffer sizing</w:t>
            </w:r>
          </w:p>
        </w:tc>
      </w:tr>
    </w:tbl>
    <w:p>
      <w:pPr>
        <w:pStyle w:val="Heading1"/>
      </w:pPr>
      <w:r>
        <w:t xml:space="preserve">3. Detailed Risk Analysis</w:t>
      </w:r>
    </w:p>
    <w:p>
      <w:pPr>
        <w:pStyle w:val="Heading2"/>
      </w:pPr>
      <w:r>
        <w:t xml:space="preserve">3.1 Readily Quantifiable Risks</w:t>
      </w:r>
    </w:p>
    <w:p>
      <w:pPr>
        <w:pStyle w:val="Heading3"/>
      </w:pPr>
      <w:r>
        <w:t xml:space="preserve">Funding Rate Risk</w:t>
      </w:r>
    </w:p>
    <w:p>
      <w:pPr>
        <w:spacing w:after="150"/>
      </w:pPr>
      <w:r>
        <w:t xml:space="preserve">Funding rate risk represents the possibility that funding rates turn negative for extended periods, causing shorts to pay longs and eroding strategy profits. This is the most quantifiable risk in the strategy.</w:t>
      </w:r>
    </w:p>
    <w:p>
      <w:pPr>
        <w:spacing w:after="100"/>
      </w:pPr>
      <w:r>
        <w:rPr>
          <w:b/>
          <w:bCs/>
        </w:rPr>
        <w:t xml:space="preserve">Quantification Methods:</w:t>
      </w:r>
    </w:p>
    <w:p>
      <w:pPr>
        <w:pStyle w:val="ListParagraph"/>
        <w:numPr>
          <w:ilvl w:val="0"/>
          <w:numId w:val="2"/>
        </w:numPr>
      </w:pPr>
      <w:r>
        <w:t xml:space="preserve">Analyze historical funding rate distributions across target exchanges</w:t>
      </w:r>
    </w:p>
    <w:p>
      <w:pPr>
        <w:pStyle w:val="ListParagraph"/>
        <w:numPr>
          <w:ilvl w:val="0"/>
          <w:numId w:val="2"/>
        </w:numPr>
      </w:pPr>
      <w:r>
        <w:t xml:space="preserve">Calculate expected value, variance, skewness, and kurtosis of funding payments</w:t>
      </w:r>
    </w:p>
    <w:p>
      <w:pPr>
        <w:pStyle w:val="ListParagraph"/>
        <w:numPr>
          <w:ilvl w:val="0"/>
          <w:numId w:val="2"/>
        </w:numPr>
      </w:pPr>
      <w:r>
        <w:t xml:space="preserve">Model funding rate regimes (bull market vs. bear market vs. sideways)</w:t>
      </w:r>
    </w:p>
    <w:p>
      <w:pPr>
        <w:pStyle w:val="ListParagraph"/>
        <w:numPr>
          <w:ilvl w:val="0"/>
          <w:numId w:val="2"/>
        </w:numPr>
        <w:spacing w:after="200"/>
      </w:pPr>
      <w:r>
        <w:t xml:space="preserve">Stress test against historical worst-case periods (e.g., March 2020, May 2021)</w:t>
      </w:r>
    </w:p>
    <w:p>
      <w:pPr>
        <w:pStyle w:val="Heading3"/>
      </w:pPr>
      <w:r>
        <w:t xml:space="preserve">Basis Risk</w:t>
      </w:r>
    </w:p>
    <w:p>
      <w:pPr>
        <w:spacing w:after="150"/>
      </w:pPr>
      <w:r>
        <w:t xml:space="preserve">Basis risk arises from temporary divergence between spot and perpetual futures prices, causing unrealized P&amp;L volatility even when funding is positive.</w:t>
      </w:r>
    </w:p>
    <w:p>
      <w:pPr>
        <w:spacing w:after="100"/>
      </w:pPr>
      <w:r>
        <w:rPr>
          <w:b/>
          <w:bCs/>
        </w:rPr>
        <w:t xml:space="preserve">Quantification Methods:</w:t>
      </w:r>
    </w:p>
    <w:p>
      <w:pPr>
        <w:pStyle w:val="ListParagraph"/>
        <w:numPr>
          <w:ilvl w:val="0"/>
          <w:numId w:val="2"/>
        </w:numPr>
      </w:pPr>
      <w:r>
        <w:t xml:space="preserve">Calculate standard deviation of basis across multiple timeframes</w:t>
      </w:r>
    </w:p>
    <w:p>
      <w:pPr>
        <w:pStyle w:val="ListParagraph"/>
        <w:numPr>
          <w:ilvl w:val="0"/>
          <w:numId w:val="2"/>
        </w:numPr>
      </w:pPr>
      <w:r>
        <w:t xml:space="preserve">Identify maximum historical basis divergence events</w:t>
      </w:r>
    </w:p>
    <w:p>
      <w:pPr>
        <w:pStyle w:val="ListParagraph"/>
        <w:numPr>
          <w:ilvl w:val="0"/>
          <w:numId w:val="2"/>
        </w:numPr>
      </w:pPr>
      <w:r>
        <w:t xml:space="preserve">Correlate basis movements with market volatility regimes</w:t>
      </w:r>
    </w:p>
    <w:p>
      <w:pPr>
        <w:pStyle w:val="ListParagraph"/>
        <w:numPr>
          <w:ilvl w:val="0"/>
          <w:numId w:val="2"/>
        </w:numPr>
        <w:spacing w:after="200"/>
      </w:pPr>
      <w:r>
        <w:t xml:space="preserve">Model mean-reversion characteristics for position sizing</w:t>
      </w:r>
    </w:p>
    <w:p>
      <w:pPr>
        <w:pStyle w:val="Heading3"/>
      </w:pPr>
      <w:r>
        <w:t xml:space="preserve">Liquidation Risk</w:t>
      </w:r>
    </w:p>
    <w:p>
      <w:pPr>
        <w:spacing w:after="150"/>
      </w:pPr>
      <w:r>
        <w:t xml:space="preserve">Extreme volatility could liquidate the futures position before rebalancing can occur, causing asymmetric losses that break the delta neutral structure.</w:t>
      </w:r>
    </w:p>
    <w:p>
      <w:pPr>
        <w:spacing w:after="100"/>
      </w:pPr>
      <w:r>
        <w:rPr>
          <w:b/>
          <w:bCs/>
        </w:rPr>
        <w:t xml:space="preserve">Quantification Methods:</w:t>
      </w:r>
    </w:p>
    <w:p>
      <w:pPr>
        <w:pStyle w:val="ListParagraph"/>
        <w:numPr>
          <w:ilvl w:val="0"/>
          <w:numId w:val="2"/>
        </w:numPr>
      </w:pPr>
      <w:r>
        <w:t xml:space="preserve">Value-at-Risk (VaR) and Conditional VaR (Expected Shortfall) analysis</w:t>
      </w:r>
    </w:p>
    <w:p>
      <w:pPr>
        <w:pStyle w:val="ListParagraph"/>
        <w:numPr>
          <w:ilvl w:val="0"/>
          <w:numId w:val="2"/>
        </w:numPr>
      </w:pPr>
      <w:r>
        <w:t xml:space="preserve">Monte Carlo simulation incorporating volatility clustering (GARCH models)</w:t>
      </w:r>
    </w:p>
    <w:p>
      <w:pPr>
        <w:pStyle w:val="ListParagraph"/>
        <w:numPr>
          <w:ilvl w:val="0"/>
          <w:numId w:val="2"/>
        </w:numPr>
      </w:pPr>
      <w:r>
        <w:t xml:space="preserve">Calculate probability of hitting liquidation price within rebalancing window</w:t>
      </w:r>
    </w:p>
    <w:p>
      <w:pPr>
        <w:pStyle w:val="ListParagraph"/>
        <w:numPr>
          <w:ilvl w:val="0"/>
          <w:numId w:val="2"/>
        </w:numPr>
        <w:spacing w:after="200"/>
      </w:pPr>
      <w:r>
        <w:t xml:space="preserve">Analyze historical flash crash events and recovery times</w:t>
      </w:r>
    </w:p>
    <w:p>
      <w:pPr>
        <w:pStyle w:val="Heading3"/>
      </w:pPr>
      <w:r>
        <w:t xml:space="preserve">Execution Risk</w:t>
      </w:r>
    </w:p>
    <w:p>
      <w:pPr>
        <w:spacing w:after="150"/>
      </w:pPr>
      <w:r>
        <w:t xml:space="preserve">Slippage during entry/exit, failed orders, and API downtime can all impact position execution and profitability.</w:t>
      </w:r>
    </w:p>
    <w:p>
      <w:pPr>
        <w:spacing w:after="100"/>
      </w:pPr>
      <w:r>
        <w:rPr>
          <w:b/>
          <w:bCs/>
        </w:rPr>
        <w:t xml:space="preserve">Quantification Methods:</w:t>
      </w:r>
    </w:p>
    <w:p>
      <w:pPr>
        <w:pStyle w:val="ListParagraph"/>
        <w:numPr>
          <w:ilvl w:val="0"/>
          <w:numId w:val="2"/>
        </w:numPr>
      </w:pPr>
      <w:r>
        <w:t xml:space="preserve">Track historical slippage across different position sizes and market conditions</w:t>
      </w:r>
    </w:p>
    <w:p>
      <w:pPr>
        <w:pStyle w:val="ListParagraph"/>
        <w:numPr>
          <w:ilvl w:val="0"/>
          <w:numId w:val="2"/>
        </w:numPr>
      </w:pPr>
      <w:r>
        <w:t xml:space="preserve">Analyze order book depth and liquidity patterns</w:t>
      </w:r>
    </w:p>
    <w:p>
      <w:pPr>
        <w:pStyle w:val="ListParagraph"/>
        <w:numPr>
          <w:ilvl w:val="0"/>
          <w:numId w:val="2"/>
        </w:numPr>
      </w:pPr>
      <w:r>
        <w:t xml:space="preserve">Calculate fill rate statistics and average execution delay</w:t>
      </w:r>
    </w:p>
    <w:p>
      <w:pPr>
        <w:pStyle w:val="ListParagraph"/>
        <w:numPr>
          <w:ilvl w:val="0"/>
          <w:numId w:val="2"/>
        </w:numPr>
        <w:spacing w:after="200"/>
      </w:pPr>
      <w:r>
        <w:t xml:space="preserve">Model impact of position size on execution quality</w:t>
      </w:r>
    </w:p>
    <w:p>
      <w:pPr>
        <w:pStyle w:val="Heading2"/>
      </w:pPr>
      <w:r>
        <w:t xml:space="preserve">3.2 Difficult to Quantify Risks</w:t>
      </w:r>
    </w:p>
    <w:p>
      <w:pPr>
        <w:pStyle w:val="Heading3"/>
      </w:pPr>
      <w:r>
        <w:t xml:space="preserve">Exchange Risk</w:t>
      </w:r>
    </w:p>
    <w:p>
      <w:pPr>
        <w:spacing w:after="150"/>
      </w:pPr>
      <w:r>
        <w:t xml:space="preserve">Funds held on centralized exchanges face the risk of exchange failure, hacking, or withdrawal freezes. This is essentially credit/counterparty risk with fat tails.</w:t>
      </w:r>
    </w:p>
    <w:p>
      <w:pPr>
        <w:spacing w:after="100"/>
      </w:pPr>
      <w:r>
        <w:rPr>
          <w:b/>
          <w:bCs/>
        </w:rPr>
        <w:t xml:space="preserve">Assessment Approach:</w:t>
      </w:r>
    </w:p>
    <w:p>
      <w:pPr>
        <w:pStyle w:val="ListParagraph"/>
        <w:numPr>
          <w:ilvl w:val="0"/>
          <w:numId w:val="2"/>
        </w:numPr>
      </w:pPr>
      <w:r>
        <w:t xml:space="preserve">Evaluate exchange track record, insurance fund size, and proof-of-reserves</w:t>
      </w:r>
    </w:p>
    <w:p>
      <w:pPr>
        <w:pStyle w:val="ListParagraph"/>
        <w:numPr>
          <w:ilvl w:val="0"/>
          <w:numId w:val="2"/>
        </w:numPr>
      </w:pPr>
      <w:r>
        <w:t xml:space="preserve">Assess regulatory status and jurisdictional risk</w:t>
      </w:r>
    </w:p>
    <w:p>
      <w:pPr>
        <w:pStyle w:val="ListParagraph"/>
        <w:numPr>
          <w:ilvl w:val="0"/>
          <w:numId w:val="2"/>
        </w:numPr>
      </w:pPr>
      <w:r>
        <w:t xml:space="preserve">Apply haircut approach: treat X% of capital as at-risk based on subjective probability</w:t>
      </w:r>
    </w:p>
    <w:p>
      <w:pPr>
        <w:pStyle w:val="ListParagraph"/>
        <w:numPr>
          <w:ilvl w:val="0"/>
          <w:numId w:val="2"/>
        </w:numPr>
        <w:spacing w:after="200"/>
      </w:pPr>
      <w:r>
        <w:t xml:space="preserve">Diversify across multiple exchanges to reduce concentration risk</w:t>
      </w:r>
    </w:p>
    <w:p>
      <w:pPr>
        <w:pStyle w:val="Heading3"/>
      </w:pPr>
      <w:r>
        <w:t xml:space="preserve">Technical Risk</w:t>
      </w:r>
    </w:p>
    <w:p>
      <w:pPr>
        <w:spacing w:after="150"/>
      </w:pPr>
      <w:r>
        <w:t xml:space="preserve">Bugs in bot logic, rate limiting issues, synchronization failures, and unexpected API changes can cause problems that are difficult to predict.</w:t>
      </w:r>
    </w:p>
    <w:p>
      <w:pPr>
        <w:spacing w:after="100"/>
      </w:pPr>
      <w:r>
        <w:rPr>
          <w:b/>
          <w:bCs/>
        </w:rPr>
        <w:t xml:space="preserve">Assessment Approach:</w:t>
      </w:r>
    </w:p>
    <w:p>
      <w:pPr>
        <w:pStyle w:val="ListParagraph"/>
        <w:numPr>
          <w:ilvl w:val="0"/>
          <w:numId w:val="2"/>
        </w:numPr>
      </w:pPr>
      <w:r>
        <w:t xml:space="preserve">Track historical API uptime and system reliability metrics</w:t>
      </w:r>
    </w:p>
    <w:p>
      <w:pPr>
        <w:pStyle w:val="ListParagraph"/>
        <w:numPr>
          <w:ilvl w:val="0"/>
          <w:numId w:val="2"/>
        </w:numPr>
      </w:pPr>
      <w:r>
        <w:t xml:space="preserve">Implement comprehensive testing and monitoring</w:t>
      </w:r>
    </w:p>
    <w:p>
      <w:pPr>
        <w:pStyle w:val="ListParagraph"/>
        <w:numPr>
          <w:ilvl w:val="0"/>
          <w:numId w:val="2"/>
        </w:numPr>
      </w:pPr>
      <w:r>
        <w:t xml:space="preserve">Maintain incident logs and calculate mean-time-between-failures</w:t>
      </w:r>
    </w:p>
    <w:p>
      <w:pPr>
        <w:pStyle w:val="ListParagraph"/>
        <w:numPr>
          <w:ilvl w:val="0"/>
          <w:numId w:val="2"/>
        </w:numPr>
        <w:spacing w:after="200"/>
      </w:pPr>
      <w:r>
        <w:t xml:space="preserve">Build redundancy and failsafe mechanisms</w:t>
      </w:r>
    </w:p>
    <w:p>
      <w:pPr>
        <w:pStyle w:val="Heading3"/>
      </w:pPr>
      <w:r>
        <w:t xml:space="preserve">Operational Risk</w:t>
      </w:r>
    </w:p>
    <w:p>
      <w:pPr>
        <w:spacing w:after="150"/>
      </w:pPr>
      <w:r>
        <w:t xml:space="preserve">Server downtime, network issues, and situations requiring manual intervention can impact the strategy's performance in ways that are hard to predict.</w:t>
      </w:r>
    </w:p>
    <w:p>
      <w:pPr>
        <w:spacing w:after="100"/>
      </w:pPr>
      <w:r>
        <w:rPr>
          <w:b/>
          <w:bCs/>
        </w:rPr>
        <w:t xml:space="preserve">Assessment Approach:</w:t>
      </w:r>
    </w:p>
    <w:p>
      <w:pPr>
        <w:pStyle w:val="ListParagraph"/>
        <w:numPr>
          <w:ilvl w:val="0"/>
          <w:numId w:val="2"/>
        </w:numPr>
      </w:pPr>
      <w:r>
        <w:t xml:space="preserve">Document and analyze historical operational incidents</w:t>
      </w:r>
    </w:p>
    <w:p>
      <w:pPr>
        <w:pStyle w:val="ListParagraph"/>
        <w:numPr>
          <w:ilvl w:val="0"/>
          <w:numId w:val="2"/>
        </w:numPr>
      </w:pPr>
      <w:r>
        <w:t xml:space="preserve">Implement alerting and notification systems</w:t>
      </w:r>
    </w:p>
    <w:p>
      <w:pPr>
        <w:pStyle w:val="ListParagraph"/>
        <w:numPr>
          <w:ilvl w:val="0"/>
          <w:numId w:val="2"/>
        </w:numPr>
      </w:pPr>
      <w:r>
        <w:t xml:space="preserve">Maintain runbooks for common failure scenarios</w:t>
      </w:r>
    </w:p>
    <w:p>
      <w:pPr>
        <w:pStyle w:val="ListParagraph"/>
        <w:numPr>
          <w:ilvl w:val="0"/>
          <w:numId w:val="2"/>
        </w:numPr>
        <w:spacing w:after="200"/>
      </w:pPr>
      <w:r>
        <w:t xml:space="preserve">Build geographic and provider redundancy</w:t>
      </w:r>
    </w:p>
    <w:p>
      <w:pPr>
        <w:pStyle w:val="Heading1"/>
      </w:pPr>
      <w:r>
        <w:t xml:space="preserve">4. Risk-Adjusted Return Framework</w:t>
      </w:r>
    </w:p>
    <w:p>
      <w:pPr>
        <w:pStyle w:val="Heading2"/>
      </w:pPr>
      <w:r>
        <w:t xml:space="preserve">4.1 Expected Return Calculation</w:t>
      </w:r>
    </w:p>
    <w:p>
      <w:pPr>
        <w:spacing w:after="150"/>
      </w:pPr>
      <w:r>
        <w:t xml:space="preserve">The expected return for a delta neutral funding rate strategy can be modeled as:</w:t>
      </w:r>
    </w:p>
    <w:p>
      <w:pPr>
        <w:shd w:fill="f5f5f5" w:val="clear"/>
        <w:spacing w:before="200" w:after="200"/>
        <w:jc w:val="center"/>
      </w:pPr>
      <w:r>
        <w:rPr>
          <w:b/>
          <w:bCs/>
          <w:sz w:val="24"/>
          <w:szCs w:val="24"/>
        </w:rPr>
        <w:t xml:space="preserve">E[R] = E[Funding Rate] - E[Slippage Costs] - E[Fees] - E[Basis Drag]</w:t>
      </w:r>
    </w:p>
    <w:p>
      <w:pPr>
        <w:pStyle w:val="Heading2"/>
      </w:pPr>
      <w:r>
        <w:t xml:space="preserve">4.2 Key Risk Metrics</w:t>
      </w:r>
    </w:p>
    <w:p>
      <w:pPr>
        <w:spacing w:after="150"/>
      </w:pPr>
      <w:r>
        <w:t xml:space="preserve">The following metrics should be calculated to assess strategy risk:</w:t>
      </w:r>
    </w:p>
    <w:p>
      <w:pPr>
        <w:pStyle w:val="ListParagraph"/>
        <w:numPr>
          <w:ilvl w:val="0"/>
          <w:numId w:val="3"/>
        </w:numPr>
      </w:pPr>
      <w:r>
        <w:rPr>
          <w:b/>
          <w:bCs/>
        </w:rPr>
        <w:t xml:space="preserve">Standard Deviation of Returns: </w:t>
      </w:r>
      <w:r>
        <w:t xml:space="preserve">Derived from funding variance combined with basis volatility</w:t>
      </w:r>
    </w:p>
    <w:p>
      <w:pPr>
        <w:pStyle w:val="ListParagraph"/>
        <w:numPr>
          <w:ilvl w:val="0"/>
          <w:numId w:val="3"/>
        </w:numPr>
      </w:pPr>
      <w:r>
        <w:rPr>
          <w:b/>
          <w:bCs/>
        </w:rPr>
        <w:t xml:space="preserve">Maximum Drawdown Scenarios: </w:t>
      </w:r>
      <w:r>
        <w:t xml:space="preserve">Model worst-case paths using historical stress periods</w:t>
      </w:r>
    </w:p>
    <w:p>
      <w:pPr>
        <w:pStyle w:val="ListParagraph"/>
        <w:numPr>
          <w:ilvl w:val="0"/>
          <w:numId w:val="3"/>
        </w:numPr>
      </w:pPr>
      <w:r>
        <w:rPr>
          <w:b/>
          <w:bCs/>
        </w:rPr>
        <w:t xml:space="preserve">Value-at-Risk (VaR): </w:t>
      </w:r>
      <w:r>
        <w:t xml:space="preserve">Calculate at 95% and 99% confidence levels</w:t>
      </w:r>
    </w:p>
    <w:p>
      <w:pPr>
        <w:pStyle w:val="ListParagraph"/>
        <w:numPr>
          <w:ilvl w:val="0"/>
          <w:numId w:val="3"/>
        </w:numPr>
      </w:pPr>
      <w:r>
        <w:rPr>
          <w:b/>
          <w:bCs/>
        </w:rPr>
        <w:t xml:space="preserve">Conditional VaR (Expected Shortfall): </w:t>
      </w:r>
      <w:r>
        <w:t xml:space="preserve">Average loss beyond VaR threshold</w:t>
      </w:r>
    </w:p>
    <w:p>
      <w:pPr>
        <w:pStyle w:val="ListParagraph"/>
        <w:numPr>
          <w:ilvl w:val="0"/>
          <w:numId w:val="3"/>
        </w:numPr>
        <w:spacing w:after="200"/>
      </w:pPr>
      <w:r>
        <w:rPr>
          <w:b/>
          <w:bCs/>
        </w:rPr>
        <w:t xml:space="preserve">Time-to-Liquidation: </w:t>
      </w:r>
      <w:r>
        <w:t xml:space="preserve">Probability distribution under stress scenarios</w:t>
      </w:r>
    </w:p>
    <w:p>
      <w:pPr>
        <w:pStyle w:val="Heading2"/>
      </w:pPr>
      <w:r>
        <w:t xml:space="preserve">4.3 Exchange Risk Haircut Approach</w:t>
      </w:r>
    </w:p>
    <w:p>
      <w:pPr>
        <w:spacing w:after="200"/>
      </w:pPr>
      <w:r>
        <w:t xml:space="preserve">For exchange/counterparty risk, a haircut approach is recommended. Treat a percentage of capital as at-risk and require returns to compensate for expected loss. For example, if there is an estimated 2% annual probability of total loss on a given exchange, returns must exceed this hurdle rate to justify the exposure.</w:t>
      </w:r>
    </w:p>
    <w:p>
      <w:pPr>
        <w:pStyle w:val="Heading1"/>
      </w:pPr>
      <w:r>
        <w:t xml:space="preserve">5. Practical Benchmarks</w:t>
      </w:r>
    </w:p>
    <w:p>
      <w:pPr>
        <w:pStyle w:val="Heading2"/>
      </w:pPr>
      <w:r>
        <w:t xml:space="preserve">5.1 Target Returns</w:t>
      </w:r>
    </w:p>
    <w:p>
      <w:pPr>
        <w:spacing w:after="200"/>
      </w:pPr>
      <w:r>
        <w:t xml:space="preserve">Given all identified risks, practitioners typically target returns that are 2-3x the risk-free rate at minimum. Many experienced traders require 15-30% APY to justify the operational complexity and tail risks inherent in funding rate arbitrage.</w:t>
      </w:r>
    </w:p>
    <w:p>
      <w:pPr>
        <w:pStyle w:val="Heading2"/>
      </w:pPr>
      <w:r>
        <w:t xml:space="preserve">5.2 Historical Performance Metrics</w:t>
      </w:r>
    </w:p>
    <w:p>
      <w:pPr>
        <w:spacing w:after="200"/>
      </w:pPr>
      <w:r>
        <w:t xml:space="preserve">The Sharpe ratio on pure funding rate strategies has historically ranged from 1.5 to 3.0 during favorable market conditions (elevated funding in bull markets). However, Sharpe ratios can go deeply negative during funding regime shifts, particularly during extended bear markets or periods of negative funding.</w:t>
      </w:r>
    </w:p>
    <w:p>
      <w:pPr>
        <w:pStyle w:val="Heading1"/>
      </w:pPr>
      <w:r>
        <w:t xml:space="preserve">6. Conclusions and Recommendations</w:t>
      </w:r>
    </w:p>
    <w:p>
      <w:pPr>
        <w:spacing w:after="200"/>
      </w:pPr>
      <w:r>
        <w:t xml:space="preserve">While delta neutral funding rate strategies offer attractive risk-adjusted returns during favorable market conditions, proper risk quantification requires a hybrid approach combining statistical analysis for quantifiable risks with conservative haircuts for tail risks.</w:t>
      </w:r>
    </w:p>
    <w:p>
      <w:pPr>
        <w:spacing w:after="100"/>
      </w:pPr>
      <w:r>
        <w:rPr>
          <w:b/>
          <w:bCs/>
        </w:rPr>
        <w:t xml:space="preserve">Key Recommendations:</w:t>
      </w:r>
    </w:p>
    <w:p>
      <w:pPr>
        <w:pStyle w:val="ListParagraph"/>
        <w:numPr>
          <w:ilvl w:val="0"/>
          <w:numId w:val="2"/>
        </w:numPr>
      </w:pPr>
      <w:r>
        <w:t xml:space="preserve">Implement robust data collection for all quantifiable risk metrics</w:t>
      </w:r>
    </w:p>
    <w:p>
      <w:pPr>
        <w:pStyle w:val="ListParagraph"/>
        <w:numPr>
          <w:ilvl w:val="0"/>
          <w:numId w:val="2"/>
        </w:numPr>
      </w:pPr>
      <w:r>
        <w:t xml:space="preserve">Apply conservative haircuts (2-5% annually) for exchange and counterparty risk</w:t>
      </w:r>
    </w:p>
    <w:p>
      <w:pPr>
        <w:pStyle w:val="ListParagraph"/>
        <w:numPr>
          <w:ilvl w:val="0"/>
          <w:numId w:val="2"/>
        </w:numPr>
      </w:pPr>
      <w:r>
        <w:t xml:space="preserve">Diversify across multiple exchanges and assets to reduce concentration risk</w:t>
      </w:r>
    </w:p>
    <w:p>
      <w:pPr>
        <w:pStyle w:val="ListParagraph"/>
        <w:numPr>
          <w:ilvl w:val="0"/>
          <w:numId w:val="2"/>
        </w:numPr>
      </w:pPr>
      <w:r>
        <w:t xml:space="preserve">Maintain sufficient margin buffers to survive 3-sigma volatility events</w:t>
      </w:r>
    </w:p>
    <w:p>
      <w:pPr>
        <w:pStyle w:val="ListParagraph"/>
        <w:numPr>
          <w:ilvl w:val="0"/>
          <w:numId w:val="2"/>
        </w:numPr>
      </w:pPr>
      <w:r>
        <w:t xml:space="preserve">Regularly backtest and stress test the strategy against historical extreme events</w:t>
      </w:r>
    </w:p>
    <w:p>
      <w:pPr>
        <w:pStyle w:val="ListParagraph"/>
        <w:numPr>
          <w:ilvl w:val="0"/>
          <w:numId w:val="2"/>
        </w:numPr>
      </w:pPr>
      <w:r>
        <w:t xml:space="preserve">Only deploy capital when expected returns adequately compensate for all identified risks</w:t>
      </w:r>
    </w:p>
    <w:p>
      <w:pPr>
        <w:spacing w:before="600"/>
      </w:pPr>
    </w:p>
    <w:p>
      <w:pPr>
        <w:shd w:fill="f5f5f5" w:val="clear"/>
        <w:spacing w:before="200" w:after="200"/>
      </w:pPr>
      <w:r>
        <w:rPr>
          <w:b/>
          <w:bCs/>
          <w:i/>
          <w:iCs/>
          <w:sz w:val="20"/>
          <w:szCs w:val="20"/>
        </w:rPr>
        <w:t xml:space="preserve">Disclaimer: </w:t>
      </w:r>
      <w:r>
        <w:rPr>
          <w:i/>
          <w:iCs/>
          <w:sz w:val="20"/>
          <w:szCs w:val="20"/>
        </w:rPr>
        <w:t xml:space="preserve">This report is for informational purposes only and does not constitute financial advice. Trading cryptocurrency derivatives involves substantial risk of loss. Past performance is not indicative of future results.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Risk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2025-12-28T05:27:19.356Z</dcterms:created>
  <dcterms:modified xsi:type="dcterms:W3CDTF">2025-12-28T05:27:19.357Z</dcterms:modified>
</cp:coreProperties>
</file>

<file path=docProps/custom.xml><?xml version="1.0" encoding="utf-8"?>
<Properties xmlns="http://schemas.openxmlformats.org/officeDocument/2006/custom-properties" xmlns:vt="http://schemas.openxmlformats.org/officeDocument/2006/docPropsVTypes"/>
</file>