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hd w:val="clear" w:color="auto" w:fill="123a52"/>
        <w:pBdr>
          <w:top w:val="single" w:sz="2" w:space="10" w:color="123a52"/>
          <w:bottom w:val="single" w:sz="2" w:space="10" w:color="123a52"/>
          <w:left w:val="single" w:sz="2" w:space="10" w:color="123a52"/>
          <w:right w:val="single" w:sz="2" w:space="10" w:color="123a52"/>
        </w:pBdr>
        <w:bidi w:val="1"/>
        <w:spacing w:line="312" w:lineRule="auto" w:before="0" w:after="0"/>
        <w:jc w:val="center"/>
      </w:pPr>
      <w:r>
        <w:rPr>
          <w:rFonts w:ascii="Times New Roman" w:hAnsi="Times New Roman" w:cs="B Nazanin"/>
          <w:sz w:val="26"/>
          <w:szCs w:val="42"/>
          <w:rtl w:val="1"/>
          <w:b/>
          <w:bCs/>
          <w:color w:val="ffffff"/>
        </w:rPr>
        <w:t>گزارشِ تحلیلِ خلأها و ظرفیت‌های داده‌ایِ پژوهش</w:t>
      </w:r>
    </w:p>
    <w:p>
      <w:pPr>
        <w:shd w:val="clear" w:color="auto" w:fill="1c4a63"/>
        <w:pBdr>
          <w:top w:val="single" w:sz="2" w:space="10" w:color="1c4a63"/>
          <w:bottom w:val="single" w:sz="2" w:space="10" w:color="1c4a63"/>
          <w:left w:val="single" w:sz="2" w:space="10" w:color="1c4a63"/>
          <w:right w:val="single" w:sz="2" w:space="10" w:color="1c4a63"/>
        </w:pBdr>
        <w:bidi w:val="1"/>
        <w:spacing w:line="312" w:lineRule="auto" w:before="0" w:after="0"/>
        <w:jc w:val="center"/>
      </w:pPr>
      <w:r>
        <w:rPr>
          <w:rFonts w:ascii="Times New Roman" w:hAnsi="Times New Roman" w:cs="B Nazanin"/>
          <w:sz w:val="26"/>
          <w:szCs w:val="28"/>
          <w:rtl w:val="1"/>
          <w:b/>
          <w:bCs/>
          <w:color w:val="ffffff"/>
        </w:rPr>
        <w:t>داده‌های در دسترس، بهره‌برداریِ کم‌استفاده، و مسیرِ غنی‌سازیِ رساله</w:t>
      </w:r>
    </w:p>
    <w:p>
      <w:pPr>
        <w:shd w:val="clear" w:color="auto" w:fill="b08d3f"/>
        <w:pBdr>
          <w:top w:val="single" w:sz="2" w:space="10" w:color="b08d3f"/>
          <w:bottom w:val="single" w:sz="2" w:space="10" w:color="b08d3f"/>
          <w:left w:val="single" w:sz="2" w:space="10" w:color="b08d3f"/>
          <w:right w:val="single" w:sz="2" w:space="10" w:color="b08d3f"/>
        </w:pBdr>
        <w:bidi w:val="1"/>
        <w:spacing w:line="312" w:lineRule="auto" w:before="0" w:after="120"/>
        <w:jc w:val="center"/>
      </w:pPr>
      <w:r>
        <w:rPr>
          <w:rFonts w:ascii="Times New Roman" w:hAnsi="Times New Roman" w:cs="B Nazanin"/>
          <w:sz w:val="26"/>
          <w:szCs w:val="24"/>
          <w:rtl w:val="1"/>
          <w:b/>
          <w:bCs/>
          <w:color w:val="1a1205"/>
        </w:rPr>
        <w:t>شکل‌گیریِ پیمانِ جهانیِ محیط زیست و تأثیرات آن بر موافقت‌نامه‌های چندجانبهٔ محیط‌زیستی</w:t>
      </w:r>
    </w:p>
    <w:p/>
    <w:p/>
    <w:p/>
    <w:p/>
    <w:p/>
    <w:p>
      <w:pPr>
        <w:pBdr>
          <w:bottom w:val="single" w:sz="6" w:space="1" w:color="b08d3f"/>
        </w:pBdr>
        <w:bidi w:val="1"/>
        <w:spacing w:line="312" w:lineRule="auto" w:before="0" w:after="40"/>
        <w:jc w:val="right"/>
      </w:pPr>
    </w:p>
    <w:p>
      <w:pPr>
        <w:bidi w:val="1"/>
        <w:spacing w:line="312" w:lineRule="auto" w:before="0" w:after="80"/>
        <w:jc w:val="center"/>
      </w:pPr>
      <w:r>
        <w:rPr>
          <w:rFonts w:ascii="Times New Roman" w:hAnsi="Times New Roman" w:cs="B Nazanin"/>
          <w:sz w:val="24"/>
          <w:szCs w:val="24"/>
          <w:rtl w:val="1"/>
        </w:rPr>
        <w:t>تهیه‌شده توسطِ سامانهٔ هوشمندِ پژوهش (Project Brain)</w:t>
      </w:r>
    </w:p>
    <w:p>
      <w:pPr>
        <w:bidi w:val="1"/>
        <w:spacing w:line="312" w:lineRule="auto" w:before="0" w:after="80"/>
        <w:jc w:val="center"/>
      </w:pPr>
      <w:r>
        <w:rPr>
          <w:rFonts w:ascii="Times New Roman" w:hAnsi="Times New Roman" w:cs="B Nazanin"/>
          <w:sz w:val="24"/>
          <w:szCs w:val="22"/>
          <w:rtl w:val="1"/>
        </w:rPr>
        <w:t>HJR's Agentic Architecture @2026 — Dedicated for Dr. Masoud Ahsannejad</w:t>
      </w:r>
    </w:p>
    <w:p>
      <w:r>
        <w:br w:type="page"/>
      </w:r>
    </w:p>
    <w:p>
      <w:pPr>
        <w:shd w:val="clear" w:color="auto" w:fill="123a52"/>
        <w:pBdr>
          <w:top w:val="single" w:sz="2" w:space="6" w:color="123a52"/>
          <w:bottom w:val="single" w:sz="2" w:space="6" w:color="123a52"/>
          <w:left w:val="single" w:sz="2" w:space="6" w:color="123a52"/>
          <w:right w:val="single" w:sz="2" w:space="6" w:color="123a52"/>
        </w:pBdr>
        <w:bidi w:val="1"/>
        <w:spacing w:line="312" w:lineRule="auto" w:before="0" w:after="160"/>
        <w:ind w:right="57" w:left="57"/>
        <w:jc w:val="right"/>
      </w:pPr>
      <w:r>
        <w:rPr>
          <w:rFonts w:ascii="Times New Roman" w:hAnsi="Times New Roman" w:cs="B Nazanin"/>
          <w:sz w:val="24"/>
          <w:szCs w:val="32"/>
          <w:rtl w:val="1"/>
          <w:b/>
          <w:bCs/>
          <w:color w:val="ffffff"/>
        </w:rPr>
        <w:t>۱) چرا این گزارش؟ منطقِ تحلیلِ خلأها</w:t>
      </w:r>
    </w:p>
    <w:p>
      <w:pPr>
        <w:bidi w:val="1"/>
        <w:spacing w:line="312" w:lineRule="auto" w:before="0" w:after="120"/>
        <w:ind w:firstLine="340"/>
        <w:jc w:val="both"/>
      </w:pPr>
      <w:r>
        <w:rPr>
          <w:rFonts w:ascii="Times New Roman" w:hAnsi="Times New Roman" w:cs="B Nazanin"/>
          <w:sz w:val="22"/>
          <w:szCs w:val="28"/>
          <w:rtl w:val="1"/>
        </w:rPr>
        <w:t>سامانهٔ هوشمندِ پژوهش (Project Brain) در جریانِ کاوشِ خودکارِ منابع، حجمِ بزرگی از دادهٔ ساخت‌یافته گرد آورد: ۱۹۸ منبعِ علمی، ۵۲۷ خلأِ پژوهشیِ استخراج‌شده، ۴۰۹ محورِ نوآوری، ۳۱۷ مضمونِ موضوعی، ۳۸ مقالهٔ عمیقاً کاویده‌شده و ۶ یافتهٔ کانونی. با این‌همه، پیش‌نویسِ نخستِ رساله تنها بخشِ کوچکی از این سرمایهٔ داده‌ای را به‌کار گرفته بود؛ بسیاری از منابع، خلأها و محورهای نوآوری «در دسترس اما نامُستفاد» مانده بودند.</w:t>
      </w:r>
    </w:p>
    <w:p>
      <w:pPr>
        <w:bidi w:val="1"/>
        <w:spacing w:line="312" w:lineRule="auto" w:before="0" w:after="120"/>
        <w:ind w:firstLine="340"/>
        <w:jc w:val="both"/>
      </w:pPr>
      <w:r>
        <w:rPr>
          <w:rFonts w:ascii="Times New Roman" w:hAnsi="Times New Roman" w:cs="B Nazanin"/>
          <w:sz w:val="22"/>
          <w:szCs w:val="28"/>
          <w:rtl w:val="1"/>
        </w:rPr>
        <w:t>هدفِ این گزارش، شفاف‌سازیِ همین «شکافِ بهره‌برداری» است: نخست نشان می‌دهد چه داده‌ای در اختیار بود، سپس مشخص می‌کند کدام بخش کم‌استفاده مانده بود، و در پایان توضیح می‌دهد که در مرحلهٔ غنی‌سازی، هر دستهٔ داده چگونه و در کدام فصلِ رساله به‌کار گرفته شد تا بدنهٔ استدلال، پشتوانهٔ استنادی و عمقِ تحلیلیِ رساله به سطحِ استانداردِ رسالهٔ دکتری برسد.</w:t>
      </w:r>
    </w:p>
    <w:p>
      <w:pPr>
        <w:bidi w:val="1"/>
        <w:spacing w:line="312" w:lineRule="auto" w:before="0" w:after="120"/>
        <w:ind w:firstLine="340"/>
        <w:jc w:val="both"/>
      </w:pPr>
      <w:r>
        <w:rPr>
          <w:rFonts w:ascii="Times New Roman" w:hAnsi="Times New Roman" w:cs="B Nazanin"/>
          <w:sz w:val="22"/>
          <w:szCs w:val="28"/>
          <w:rtl w:val="1"/>
        </w:rPr>
        <w:t>اصلِ راهنما در سراسرِ این فرایند، «صداقتِ استنادی» بوده است: هیچ گزاره‌ای بدون پشتوانهٔ منبعِ معتبر افزوده نشد، منابعِ داوری‌نشده (پیش‌چاپ) به‌صراحت علامت‌گذاری شدند، و ترتیبِ منابع بر پایهٔ آیین‌نامهٔ نگارشِ رسالهٔ ۱۴۰۰ (نخست منابعِ فارسی، سپس لاتین، به‌ترتیبِ الفبایی) سامان یافت.</w:t>
      </w:r>
    </w:p>
    <w:p>
      <w:r>
        <w:br w:type="page"/>
      </w:r>
    </w:p>
    <w:p>
      <w:pPr>
        <w:shd w:val="clear" w:color="auto" w:fill="123a52"/>
        <w:pBdr>
          <w:top w:val="single" w:sz="2" w:space="6" w:color="123a52"/>
          <w:bottom w:val="single" w:sz="2" w:space="6" w:color="123a52"/>
          <w:left w:val="single" w:sz="2" w:space="6" w:color="123a52"/>
          <w:right w:val="single" w:sz="2" w:space="6" w:color="123a52"/>
        </w:pBdr>
        <w:bidi w:val="1"/>
        <w:spacing w:line="312" w:lineRule="auto" w:before="0" w:after="160"/>
        <w:ind w:right="57" w:left="57"/>
        <w:jc w:val="right"/>
      </w:pPr>
      <w:r>
        <w:rPr>
          <w:rFonts w:ascii="Times New Roman" w:hAnsi="Times New Roman" w:cs="B Nazanin"/>
          <w:sz w:val="24"/>
          <w:szCs w:val="32"/>
          <w:rtl w:val="1"/>
          <w:b/>
          <w:bCs/>
          <w:color w:val="ffffff"/>
        </w:rPr>
        <w:t>۲) تصویرِ کلان: دارایی‌های داده‌ایِ در دسترس</w:t>
      </w:r>
    </w:p>
    <w:p>
      <w:pPr>
        <w:bidi w:val="1"/>
        <w:spacing w:line="312" w:lineRule="auto" w:before="0" w:after="120"/>
        <w:ind w:firstLine="340"/>
        <w:jc w:val="both"/>
      </w:pPr>
      <w:r>
        <w:rPr>
          <w:rFonts w:ascii="Times New Roman" w:hAnsi="Times New Roman" w:cs="B Nazanin"/>
          <w:sz w:val="22"/>
          <w:szCs w:val="28"/>
          <w:rtl w:val="1"/>
        </w:rPr>
        <w:t>نمای فشردهٔ آنچه سامانهٔ پژوهش پیش از غنی‌سازی در اختیار داشت:</w:t>
      </w:r>
    </w:p>
    <w:p>
      <w:pPr>
        <w:shd w:val="clear" w:color="auto" w:fill="123a52"/>
        <w:pBdr>
          <w:top w:val="single" w:sz="2" w:space="6" w:color="123a52"/>
          <w:bottom w:val="single" w:sz="2" w:space="6" w:color="123a52"/>
          <w:left w:val="single" w:sz="2" w:space="6" w:color="123a52"/>
          <w:right w:val="single" w:sz="2" w:space="6" w:color="123a52"/>
        </w:pBdr>
        <w:bidi w:val="1"/>
        <w:spacing w:line="312" w:lineRule="auto" w:before="40" w:after="40"/>
        <w:ind w:right="113" w:left="113"/>
        <w:jc w:val="right"/>
      </w:pPr>
      <w:r>
        <w:rPr>
          <w:rFonts w:ascii="Times New Roman" w:hAnsi="Times New Roman" w:cs="B Nazanin"/>
          <w:sz w:val="26"/>
          <w:szCs w:val="34"/>
          <w:rtl w:val="1"/>
          <w:b/>
          <w:bCs/>
          <w:color w:val="ffffff"/>
        </w:rPr>
        <w:t xml:space="preserve">۱۹۸  </w:t>
      </w:r>
      <w:r>
        <w:rPr>
          <w:rFonts w:ascii="Times New Roman" w:hAnsi="Times New Roman" w:cs="B Nazanin"/>
          <w:sz w:val="22"/>
          <w:szCs w:val="26"/>
          <w:rtl w:val="1"/>
          <w:color w:val="ffffff"/>
        </w:rPr>
        <w:t>منبعِ علمیِ نمایه‌شده در مغزِ پژوهش</w:t>
      </w:r>
    </w:p>
    <w:p>
      <w:pPr>
        <w:shd w:val="clear" w:color="auto" w:fill="1c4a63"/>
        <w:pBdr>
          <w:top w:val="single" w:sz="2" w:space="6" w:color="1c4a63"/>
          <w:bottom w:val="single" w:sz="2" w:space="6" w:color="1c4a63"/>
          <w:left w:val="single" w:sz="2" w:space="6" w:color="1c4a63"/>
          <w:right w:val="single" w:sz="2" w:space="6" w:color="1c4a63"/>
        </w:pBdr>
        <w:bidi w:val="1"/>
        <w:spacing w:line="312" w:lineRule="auto" w:before="40" w:after="40"/>
        <w:ind w:right="113" w:left="113"/>
        <w:jc w:val="right"/>
      </w:pPr>
      <w:r>
        <w:rPr>
          <w:rFonts w:ascii="Times New Roman" w:hAnsi="Times New Roman" w:cs="B Nazanin"/>
          <w:sz w:val="26"/>
          <w:szCs w:val="34"/>
          <w:rtl w:val="1"/>
          <w:b/>
          <w:bCs/>
          <w:color w:val="ffffff"/>
        </w:rPr>
        <w:t xml:space="preserve">۱۰ / ۱۸۸  </w:t>
      </w:r>
      <w:r>
        <w:rPr>
          <w:rFonts w:ascii="Times New Roman" w:hAnsi="Times New Roman" w:cs="B Nazanin"/>
          <w:sz w:val="22"/>
          <w:szCs w:val="26"/>
          <w:rtl w:val="1"/>
          <w:color w:val="ffffff"/>
        </w:rPr>
        <w:t>منبعِ فارسی / منبعِ لاتین</w:t>
      </w:r>
    </w:p>
    <w:p>
      <w:pPr>
        <w:shd w:val="clear" w:color="auto" w:fill="5a4a8a"/>
        <w:pBdr>
          <w:top w:val="single" w:sz="2" w:space="6" w:color="5a4a8a"/>
          <w:bottom w:val="single" w:sz="2" w:space="6" w:color="5a4a8a"/>
          <w:left w:val="single" w:sz="2" w:space="6" w:color="5a4a8a"/>
          <w:right w:val="single" w:sz="2" w:space="6" w:color="5a4a8a"/>
        </w:pBdr>
        <w:bidi w:val="1"/>
        <w:spacing w:line="312" w:lineRule="auto" w:before="40" w:after="40"/>
        <w:ind w:right="113" w:left="113"/>
        <w:jc w:val="right"/>
      </w:pPr>
      <w:r>
        <w:rPr>
          <w:rFonts w:ascii="Times New Roman" w:hAnsi="Times New Roman" w:cs="B Nazanin"/>
          <w:sz w:val="26"/>
          <w:szCs w:val="34"/>
          <w:rtl w:val="1"/>
          <w:b/>
          <w:bCs/>
          <w:color w:val="ffffff"/>
        </w:rPr>
        <w:t xml:space="preserve">۳۸  </w:t>
      </w:r>
      <w:r>
        <w:rPr>
          <w:rFonts w:ascii="Times New Roman" w:hAnsi="Times New Roman" w:cs="B Nazanin"/>
          <w:sz w:val="22"/>
          <w:szCs w:val="26"/>
          <w:rtl w:val="1"/>
          <w:color w:val="ffffff"/>
        </w:rPr>
        <w:t>مقالهٔ کلیدی که به‌صورتِ عمیق داده‌کاوی شد</w:t>
      </w:r>
    </w:p>
    <w:p>
      <w:pPr>
        <w:shd w:val="clear" w:color="auto" w:fill="1e6b3a"/>
        <w:pBdr>
          <w:top w:val="single" w:sz="2" w:space="6" w:color="1e6b3a"/>
          <w:bottom w:val="single" w:sz="2" w:space="6" w:color="1e6b3a"/>
          <w:left w:val="single" w:sz="2" w:space="6" w:color="1e6b3a"/>
          <w:right w:val="single" w:sz="2" w:space="6" w:color="1e6b3a"/>
        </w:pBdr>
        <w:bidi w:val="1"/>
        <w:spacing w:line="312" w:lineRule="auto" w:before="40" w:after="40"/>
        <w:ind w:right="113" w:left="113"/>
        <w:jc w:val="right"/>
      </w:pPr>
      <w:r>
        <w:rPr>
          <w:rFonts w:ascii="Times New Roman" w:hAnsi="Times New Roman" w:cs="B Nazanin"/>
          <w:sz w:val="26"/>
          <w:szCs w:val="34"/>
          <w:rtl w:val="1"/>
          <w:b/>
          <w:bCs/>
          <w:color w:val="ffffff"/>
        </w:rPr>
        <w:t xml:space="preserve">۵۲۷  </w:t>
      </w:r>
      <w:r>
        <w:rPr>
          <w:rFonts w:ascii="Times New Roman" w:hAnsi="Times New Roman" w:cs="B Nazanin"/>
          <w:sz w:val="22"/>
          <w:szCs w:val="26"/>
          <w:rtl w:val="1"/>
          <w:color w:val="ffffff"/>
        </w:rPr>
        <w:t>خلأِ پژوهشیِ استخراج‌شده از کلِّ پیکره</w:t>
      </w:r>
    </w:p>
    <w:p>
      <w:pPr>
        <w:shd w:val="clear" w:color="auto" w:fill="b08d3f"/>
        <w:pBdr>
          <w:top w:val="single" w:sz="2" w:space="6" w:color="b08d3f"/>
          <w:bottom w:val="single" w:sz="2" w:space="6" w:color="b08d3f"/>
          <w:left w:val="single" w:sz="2" w:space="6" w:color="b08d3f"/>
          <w:right w:val="single" w:sz="2" w:space="6" w:color="b08d3f"/>
        </w:pBdr>
        <w:bidi w:val="1"/>
        <w:spacing w:line="312" w:lineRule="auto" w:before="40" w:after="40"/>
        <w:ind w:right="113" w:left="113"/>
        <w:jc w:val="right"/>
      </w:pPr>
      <w:r>
        <w:rPr>
          <w:rFonts w:ascii="Times New Roman" w:hAnsi="Times New Roman" w:cs="B Nazanin"/>
          <w:sz w:val="26"/>
          <w:szCs w:val="34"/>
          <w:rtl w:val="1"/>
          <w:b/>
          <w:bCs/>
          <w:color w:val="1a1205"/>
        </w:rPr>
        <w:t xml:space="preserve">۴۰۹  </w:t>
      </w:r>
      <w:r>
        <w:rPr>
          <w:rFonts w:ascii="Times New Roman" w:hAnsi="Times New Roman" w:cs="B Nazanin"/>
          <w:sz w:val="22"/>
          <w:szCs w:val="26"/>
          <w:rtl w:val="1"/>
          <w:color w:val="1a1205"/>
        </w:rPr>
        <w:t>محورِ نوآوریِ شناسایی‌شده</w:t>
      </w:r>
    </w:p>
    <w:p>
      <w:pPr>
        <w:shd w:val="clear" w:color="auto" w:fill="1c4a63"/>
        <w:pBdr>
          <w:top w:val="single" w:sz="2" w:space="6" w:color="1c4a63"/>
          <w:bottom w:val="single" w:sz="2" w:space="6" w:color="1c4a63"/>
          <w:left w:val="single" w:sz="2" w:space="6" w:color="1c4a63"/>
          <w:right w:val="single" w:sz="2" w:space="6" w:color="1c4a63"/>
        </w:pBdr>
        <w:bidi w:val="1"/>
        <w:spacing w:line="312" w:lineRule="auto" w:before="40" w:after="40"/>
        <w:ind w:right="113" w:left="113"/>
        <w:jc w:val="right"/>
      </w:pPr>
      <w:r>
        <w:rPr>
          <w:rFonts w:ascii="Times New Roman" w:hAnsi="Times New Roman" w:cs="B Nazanin"/>
          <w:sz w:val="26"/>
          <w:szCs w:val="34"/>
          <w:rtl w:val="1"/>
          <w:b/>
          <w:bCs/>
          <w:color w:val="ffffff"/>
        </w:rPr>
        <w:t xml:space="preserve">۳۱۷  </w:t>
      </w:r>
      <w:r>
        <w:rPr>
          <w:rFonts w:ascii="Times New Roman" w:hAnsi="Times New Roman" w:cs="B Nazanin"/>
          <w:sz w:val="22"/>
          <w:szCs w:val="26"/>
          <w:rtl w:val="1"/>
          <w:color w:val="ffffff"/>
        </w:rPr>
        <w:t>مضمونِ موضوعیِ خوشه‌بندی‌شده</w:t>
      </w:r>
    </w:p>
    <w:p>
      <w:pPr>
        <w:shd w:val="clear" w:color="auto" w:fill="123a52"/>
        <w:pBdr>
          <w:top w:val="single" w:sz="2" w:space="6" w:color="123a52"/>
          <w:bottom w:val="single" w:sz="2" w:space="6" w:color="123a52"/>
          <w:left w:val="single" w:sz="2" w:space="6" w:color="123a52"/>
          <w:right w:val="single" w:sz="2" w:space="6" w:color="123a52"/>
        </w:pBdr>
        <w:bidi w:val="1"/>
        <w:spacing w:line="312" w:lineRule="auto" w:before="40" w:after="40"/>
        <w:ind w:right="113" w:left="113"/>
        <w:jc w:val="right"/>
      </w:pPr>
      <w:r>
        <w:rPr>
          <w:rFonts w:ascii="Times New Roman" w:hAnsi="Times New Roman" w:cs="B Nazanin"/>
          <w:sz w:val="26"/>
          <w:szCs w:val="34"/>
          <w:rtl w:val="1"/>
          <w:b/>
          <w:bCs/>
          <w:color w:val="ffffff"/>
        </w:rPr>
        <w:t xml:space="preserve">۶  </w:t>
      </w:r>
      <w:r>
        <w:rPr>
          <w:rFonts w:ascii="Times New Roman" w:hAnsi="Times New Roman" w:cs="B Nazanin"/>
          <w:sz w:val="22"/>
          <w:szCs w:val="26"/>
          <w:rtl w:val="1"/>
          <w:color w:val="ffffff"/>
        </w:rPr>
        <w:t>یافتهٔ کانونیِ سنتزشده (F۱ تا F۶)</w:t>
      </w:r>
    </w:p>
    <w:p/>
    <w:p>
      <w:pPr>
        <w:shd w:val="clear" w:color="auto" w:fill="eaf1f6"/>
        <w:pBdr>
          <w:right w:val="single" w:sz="18" w:space="6" w:color="b08d3f"/>
        </w:pBdr>
        <w:bidi w:val="1"/>
        <w:spacing w:line="312" w:lineRule="auto" w:before="0" w:after="80"/>
        <w:ind w:right="170" w:left="170"/>
        <w:jc w:val="both"/>
      </w:pPr>
      <w:r>
        <w:rPr>
          <w:rFonts w:ascii="Times New Roman" w:hAnsi="Times New Roman" w:cs="B Nazanin"/>
          <w:sz w:val="22"/>
          <w:szCs w:val="26"/>
          <w:rtl w:val="1"/>
          <w:b/>
          <w:bCs/>
          <w:color w:val="123a52"/>
        </w:rPr>
        <w:t xml:space="preserve">◆ نکته: </w:t>
      </w:r>
      <w:r>
        <w:rPr>
          <w:rFonts w:ascii="Times New Roman" w:hAnsi="Times New Roman" w:cs="B Nazanin"/>
          <w:sz w:val="22"/>
          <w:szCs w:val="26"/>
          <w:rtl w:val="1"/>
        </w:rPr>
        <w:t>از میانِ ۱۹۸ منبع، تنها ۱۰ منبع فارسی‌زبان است؛ ازاین‌رو پوششِ منابعِ داخلی یک نقطهٔ نیازمندِ توجه در پژوهش است و در فهرستِ منابعِ رساله، همین منابعِ فارسی مطابقِ آیین‌نامهٔ ۱۴۰۰ در صدرِ فهرست جای گرفتند.</w:t>
      </w:r>
    </w:p>
    <w:p>
      <w:r>
        <w:br w:type="page"/>
      </w:r>
    </w:p>
    <w:p>
      <w:pPr>
        <w:shd w:val="clear" w:color="auto" w:fill="123a52"/>
        <w:pBdr>
          <w:top w:val="single" w:sz="2" w:space="6" w:color="123a52"/>
          <w:bottom w:val="single" w:sz="2" w:space="6" w:color="123a52"/>
          <w:left w:val="single" w:sz="2" w:space="6" w:color="123a52"/>
          <w:right w:val="single" w:sz="2" w:space="6" w:color="123a52"/>
        </w:pBdr>
        <w:bidi w:val="1"/>
        <w:spacing w:line="312" w:lineRule="auto" w:before="0" w:after="160"/>
        <w:ind w:right="57" w:left="57"/>
        <w:jc w:val="right"/>
      </w:pPr>
      <w:r>
        <w:rPr>
          <w:rFonts w:ascii="Times New Roman" w:hAnsi="Times New Roman" w:cs="B Nazanin"/>
          <w:sz w:val="24"/>
          <w:szCs w:val="32"/>
          <w:rtl w:val="1"/>
          <w:b/>
          <w:bCs/>
          <w:color w:val="ffffff"/>
        </w:rPr>
        <w:t>۳) شکافِ بهره‌برداری: پیش و پسِ غنی‌سازی</w:t>
      </w:r>
    </w:p>
    <w:p>
      <w:pPr>
        <w:bidi w:val="1"/>
        <w:spacing w:line="312" w:lineRule="auto" w:before="0" w:after="120"/>
        <w:ind w:firstLine="340"/>
        <w:jc w:val="both"/>
      </w:pPr>
      <w:r>
        <w:rPr>
          <w:rFonts w:ascii="Times New Roman" w:hAnsi="Times New Roman" w:cs="B Nazanin"/>
          <w:sz w:val="22"/>
          <w:szCs w:val="28"/>
          <w:rtl w:val="1"/>
        </w:rPr>
        <w:t>جدولِ زیر تفاوتِ میانِ «داده‌ای که در دسترس بود» و «داده‌ای که واقعاً در پیش‌نویسِ نخست به‌کار رفته بود» را نشان می‌دهد و سپس وضعیت را پس از غنی‌سازی گزارش می‌کند:</w:t>
      </w:r>
    </w:p>
    <w:p>
      <w:pPr>
        <w:shd w:val="clear" w:color="auto" w:fill="eaf1f6"/>
        <w:pBdr>
          <w:right w:val="single" w:sz="24" w:space="6" w:color="b08d3f"/>
        </w:pBdr>
        <w:bidi w:val="1"/>
        <w:spacing w:line="312" w:lineRule="auto" w:before="200" w:after="120"/>
        <w:ind w:right="57"/>
        <w:jc w:val="right"/>
      </w:pPr>
      <w:r>
        <w:rPr>
          <w:rFonts w:ascii="Times New Roman" w:hAnsi="Times New Roman" w:cs="B Nazanin"/>
          <w:sz w:val="24"/>
          <w:szCs w:val="26"/>
          <w:rtl w:val="1"/>
          <w:b/>
          <w:bCs/>
          <w:color w:val="123a52"/>
        </w:rPr>
        <w:t>الف) وضعیتِ پیش از غنی‌سازی (پیش‌نویسِ نخست)</w:t>
      </w:r>
    </w:p>
    <w:p>
      <w:pPr>
        <w:shd w:val="clear" w:color="auto" w:fill="f5f8fb"/>
        <w:bidi w:val="1"/>
        <w:spacing w:line="312" w:lineRule="auto" w:before="0" w:after="20"/>
        <w:ind w:right="170" w:left="170"/>
        <w:jc w:val="right"/>
      </w:pPr>
      <w:r>
        <w:rPr>
          <w:rFonts w:ascii="Times New Roman" w:hAnsi="Times New Roman" w:cs="B Nazanin"/>
          <w:sz w:val="22"/>
          <w:szCs w:val="24"/>
          <w:rtl w:val="1"/>
          <w:b/>
          <w:bCs/>
          <w:color w:val="b03a2e"/>
        </w:rPr>
        <w:t xml:space="preserve">منابعِ یکتای استنادشده: </w:t>
      </w:r>
      <w:r>
        <w:rPr>
          <w:rFonts w:ascii="Times New Roman" w:hAnsi="Times New Roman" w:cs="B Nazanin"/>
          <w:sz w:val="22"/>
          <w:szCs w:val="24"/>
          <w:rtl w:val="1"/>
        </w:rPr>
        <w:t>حدودِ ۲۱ منبع (از ۱۹۸ منبعِ در دسترس)</w:t>
      </w:r>
    </w:p>
    <w:p>
      <w:pPr>
        <w:shd w:val="clear" w:color="auto" w:fill="f5f8fb"/>
        <w:bidi w:val="1"/>
        <w:spacing w:line="312" w:lineRule="auto" w:before="0" w:after="20"/>
        <w:ind w:right="170" w:left="170"/>
        <w:jc w:val="right"/>
      </w:pPr>
      <w:r>
        <w:rPr>
          <w:rFonts w:ascii="Times New Roman" w:hAnsi="Times New Roman" w:cs="B Nazanin"/>
          <w:sz w:val="22"/>
          <w:szCs w:val="24"/>
          <w:rtl w:val="1"/>
          <w:b/>
          <w:bCs/>
          <w:color w:val="b03a2e"/>
        </w:rPr>
        <w:t xml:space="preserve">فهرستِ منابع: </w:t>
      </w:r>
      <w:r>
        <w:rPr>
          <w:rFonts w:ascii="Times New Roman" w:hAnsi="Times New Roman" w:cs="B Nazanin"/>
          <w:sz w:val="22"/>
          <w:szCs w:val="24"/>
          <w:rtl w:val="1"/>
        </w:rPr>
        <w:t>۱۱ مدخل (۱ فارسی + ۱۰ لاتین)</w:t>
      </w:r>
    </w:p>
    <w:p>
      <w:pPr>
        <w:shd w:val="clear" w:color="auto" w:fill="f5f8fb"/>
        <w:bidi w:val="1"/>
        <w:spacing w:line="312" w:lineRule="auto" w:before="0" w:after="20"/>
        <w:ind w:right="170" w:left="170"/>
        <w:jc w:val="right"/>
      </w:pPr>
      <w:r>
        <w:rPr>
          <w:rFonts w:ascii="Times New Roman" w:hAnsi="Times New Roman" w:cs="B Nazanin"/>
          <w:sz w:val="22"/>
          <w:szCs w:val="24"/>
          <w:rtl w:val="1"/>
          <w:b/>
          <w:bCs/>
          <w:color w:val="b03a2e"/>
        </w:rPr>
        <w:t xml:space="preserve">پوششِ مقالاتِ داده‌کاوی‌شده: </w:t>
      </w:r>
      <w:r>
        <w:rPr>
          <w:rFonts w:ascii="Times New Roman" w:hAnsi="Times New Roman" w:cs="B Nazanin"/>
          <w:sz w:val="22"/>
          <w:szCs w:val="24"/>
          <w:rtl w:val="1"/>
        </w:rPr>
        <w:t>۲۱ مقاله از ۳۸ مقاله</w:t>
      </w:r>
    </w:p>
    <w:p>
      <w:pPr>
        <w:shd w:val="clear" w:color="auto" w:fill="f5f8fb"/>
        <w:bidi w:val="1"/>
        <w:spacing w:line="312" w:lineRule="auto" w:before="0" w:after="20"/>
        <w:ind w:right="170" w:left="170"/>
        <w:jc w:val="right"/>
      </w:pPr>
      <w:r>
        <w:rPr>
          <w:rFonts w:ascii="Times New Roman" w:hAnsi="Times New Roman" w:cs="B Nazanin"/>
          <w:sz w:val="22"/>
          <w:szCs w:val="24"/>
          <w:rtl w:val="1"/>
          <w:b/>
          <w:bCs/>
          <w:color w:val="b03a2e"/>
        </w:rPr>
        <w:t xml:space="preserve">خلأهای پژوهشیِ به‌کاررفته: </w:t>
      </w:r>
      <w:r>
        <w:rPr>
          <w:rFonts w:ascii="Times New Roman" w:hAnsi="Times New Roman" w:cs="B Nazanin"/>
          <w:sz w:val="22"/>
          <w:szCs w:val="24"/>
          <w:rtl w:val="1"/>
        </w:rPr>
        <w:t>به‌صورتِ پراکنده و بدونِ بخشِ مستقل</w:t>
      </w:r>
    </w:p>
    <w:p>
      <w:pPr>
        <w:shd w:val="clear" w:color="auto" w:fill="f5f8fb"/>
        <w:bidi w:val="1"/>
        <w:spacing w:line="312" w:lineRule="auto" w:before="0" w:after="20"/>
        <w:ind w:right="170" w:left="170"/>
        <w:jc w:val="right"/>
      </w:pPr>
      <w:r>
        <w:rPr>
          <w:rFonts w:ascii="Times New Roman" w:hAnsi="Times New Roman" w:cs="B Nazanin"/>
          <w:sz w:val="22"/>
          <w:szCs w:val="24"/>
          <w:rtl w:val="1"/>
          <w:b/>
          <w:bCs/>
          <w:color w:val="b03a2e"/>
        </w:rPr>
        <w:t xml:space="preserve">محورهای نوآوری: </w:t>
      </w:r>
      <w:r>
        <w:rPr>
          <w:rFonts w:ascii="Times New Roman" w:hAnsi="Times New Roman" w:cs="B Nazanin"/>
          <w:sz w:val="22"/>
          <w:szCs w:val="24"/>
          <w:rtl w:val="1"/>
        </w:rPr>
        <w:t>بدونِ بخشِ مستقل در نتیجه‌گیری</w:t>
      </w:r>
    </w:p>
    <w:p>
      <w:pPr>
        <w:shd w:val="clear" w:color="auto" w:fill="f5f8fb"/>
        <w:bidi w:val="1"/>
        <w:spacing w:line="312" w:lineRule="auto" w:before="0" w:after="20"/>
        <w:ind w:right="170" w:left="170"/>
        <w:jc w:val="right"/>
      </w:pPr>
      <w:r>
        <w:rPr>
          <w:rFonts w:ascii="Times New Roman" w:hAnsi="Times New Roman" w:cs="B Nazanin"/>
          <w:sz w:val="22"/>
          <w:szCs w:val="24"/>
          <w:rtl w:val="1"/>
          <w:b/>
          <w:bCs/>
          <w:color w:val="b03a2e"/>
        </w:rPr>
        <w:t xml:space="preserve">ایرادِ فنی: </w:t>
      </w:r>
      <w:r>
        <w:rPr>
          <w:rFonts w:ascii="Times New Roman" w:hAnsi="Times New Roman" w:cs="B Nazanin"/>
          <w:sz w:val="22"/>
          <w:szCs w:val="24"/>
          <w:rtl w:val="1"/>
        </w:rPr>
        <w:t>۳۸ ارجاعِ پانوشتِ معیوب به شکلِ «Para N»</w:t>
      </w:r>
    </w:p>
    <w:p>
      <w:pPr>
        <w:shd w:val="clear" w:color="auto" w:fill="eaf1f6"/>
        <w:pBdr>
          <w:right w:val="single" w:sz="24" w:space="6" w:color="b08d3f"/>
        </w:pBdr>
        <w:bidi w:val="1"/>
        <w:spacing w:line="312" w:lineRule="auto" w:before="200" w:after="120"/>
        <w:ind w:right="57"/>
        <w:jc w:val="right"/>
      </w:pPr>
      <w:r>
        <w:rPr>
          <w:rFonts w:ascii="Times New Roman" w:hAnsi="Times New Roman" w:cs="B Nazanin"/>
          <w:sz w:val="24"/>
          <w:szCs w:val="26"/>
          <w:rtl w:val="1"/>
          <w:b/>
          <w:bCs/>
          <w:color w:val="123a52"/>
        </w:rPr>
        <w:t>ب) وضعیتِ پس از غنی‌سازی (نسخهٔ کنونی)</w:t>
      </w:r>
    </w:p>
    <w:p>
      <w:pPr>
        <w:shd w:val="clear" w:color="auto" w:fill="eef6ef"/>
        <w:bidi w:val="1"/>
        <w:spacing w:line="312" w:lineRule="auto" w:before="0" w:after="20"/>
        <w:ind w:right="170" w:left="170"/>
        <w:jc w:val="right"/>
      </w:pPr>
      <w:r>
        <w:rPr>
          <w:rFonts w:ascii="Times New Roman" w:hAnsi="Times New Roman" w:cs="B Nazanin"/>
          <w:sz w:val="22"/>
          <w:szCs w:val="24"/>
          <w:rtl w:val="1"/>
          <w:b/>
          <w:bCs/>
          <w:color w:val="1e6b3a"/>
        </w:rPr>
        <w:t xml:space="preserve">منابعِ یکتای استنادشده: </w:t>
      </w:r>
      <w:r>
        <w:rPr>
          <w:rFonts w:ascii="Times New Roman" w:hAnsi="Times New Roman" w:cs="B Nazanin"/>
          <w:sz w:val="22"/>
          <w:szCs w:val="24"/>
          <w:rtl w:val="1"/>
        </w:rPr>
        <w:t>۴۱ منبع</w:t>
      </w:r>
    </w:p>
    <w:p>
      <w:pPr>
        <w:shd w:val="clear" w:color="auto" w:fill="eef6ef"/>
        <w:bidi w:val="1"/>
        <w:spacing w:line="312" w:lineRule="auto" w:before="0" w:after="20"/>
        <w:ind w:right="170" w:left="170"/>
        <w:jc w:val="right"/>
      </w:pPr>
      <w:r>
        <w:rPr>
          <w:rFonts w:ascii="Times New Roman" w:hAnsi="Times New Roman" w:cs="B Nazanin"/>
          <w:sz w:val="22"/>
          <w:szCs w:val="24"/>
          <w:rtl w:val="1"/>
          <w:b/>
          <w:bCs/>
          <w:color w:val="1e6b3a"/>
        </w:rPr>
        <w:t xml:space="preserve">فهرستِ منابع: </w:t>
      </w:r>
      <w:r>
        <w:rPr>
          <w:rFonts w:ascii="Times New Roman" w:hAnsi="Times New Roman" w:cs="B Nazanin"/>
          <w:sz w:val="22"/>
          <w:szCs w:val="24"/>
          <w:rtl w:val="1"/>
        </w:rPr>
        <w:t>۵۶ مدخل (۱۳ فارسی + ۴۳ لاتین)، الفبایی و مطابقِ ۱۴۰۰</w:t>
      </w:r>
    </w:p>
    <w:p>
      <w:pPr>
        <w:shd w:val="clear" w:color="auto" w:fill="eef6ef"/>
        <w:bidi w:val="1"/>
        <w:spacing w:line="312" w:lineRule="auto" w:before="0" w:after="20"/>
        <w:ind w:right="170" w:left="170"/>
        <w:jc w:val="right"/>
      </w:pPr>
      <w:r>
        <w:rPr>
          <w:rFonts w:ascii="Times New Roman" w:hAnsi="Times New Roman" w:cs="B Nazanin"/>
          <w:sz w:val="22"/>
          <w:szCs w:val="24"/>
          <w:rtl w:val="1"/>
          <w:b/>
          <w:bCs/>
          <w:color w:val="1e6b3a"/>
        </w:rPr>
        <w:t xml:space="preserve">پوششِ مقالاتِ داده‌کاوی‌شده: </w:t>
      </w:r>
      <w:r>
        <w:rPr>
          <w:rFonts w:ascii="Times New Roman" w:hAnsi="Times New Roman" w:cs="B Nazanin"/>
          <w:sz w:val="22"/>
          <w:szCs w:val="24"/>
          <w:rtl w:val="1"/>
        </w:rPr>
        <w:t>هر ۳۸ مقاله استناد شد</w:t>
      </w:r>
    </w:p>
    <w:p>
      <w:pPr>
        <w:shd w:val="clear" w:color="auto" w:fill="eef6ef"/>
        <w:bidi w:val="1"/>
        <w:spacing w:line="312" w:lineRule="auto" w:before="0" w:after="20"/>
        <w:ind w:right="170" w:left="170"/>
        <w:jc w:val="right"/>
      </w:pPr>
      <w:r>
        <w:rPr>
          <w:rFonts w:ascii="Times New Roman" w:hAnsi="Times New Roman" w:cs="B Nazanin"/>
          <w:sz w:val="22"/>
          <w:szCs w:val="24"/>
          <w:rtl w:val="1"/>
          <w:b/>
          <w:bCs/>
          <w:color w:val="1e6b3a"/>
        </w:rPr>
        <w:t xml:space="preserve">خلأهای پژوهشی: </w:t>
      </w:r>
      <w:r>
        <w:rPr>
          <w:rFonts w:ascii="Times New Roman" w:hAnsi="Times New Roman" w:cs="B Nazanin"/>
          <w:sz w:val="22"/>
          <w:szCs w:val="24"/>
          <w:rtl w:val="1"/>
        </w:rPr>
        <w:t>پایهٔ گفتارِ مستقلِ «پیشنهادهای پژوهشِ آینده» در فصلِ ۵</w:t>
      </w:r>
    </w:p>
    <w:p>
      <w:pPr>
        <w:shd w:val="clear" w:color="auto" w:fill="eef6ef"/>
        <w:bidi w:val="1"/>
        <w:spacing w:line="312" w:lineRule="auto" w:before="0" w:after="20"/>
        <w:ind w:right="170" w:left="170"/>
        <w:jc w:val="right"/>
      </w:pPr>
      <w:r>
        <w:rPr>
          <w:rFonts w:ascii="Times New Roman" w:hAnsi="Times New Roman" w:cs="B Nazanin"/>
          <w:sz w:val="22"/>
          <w:szCs w:val="24"/>
          <w:rtl w:val="1"/>
          <w:b/>
          <w:bCs/>
          <w:color w:val="1e6b3a"/>
        </w:rPr>
        <w:t xml:space="preserve">محورهای نوآوری: </w:t>
      </w:r>
      <w:r>
        <w:rPr>
          <w:rFonts w:ascii="Times New Roman" w:hAnsi="Times New Roman" w:cs="B Nazanin"/>
          <w:sz w:val="22"/>
          <w:szCs w:val="24"/>
          <w:rtl w:val="1"/>
        </w:rPr>
        <w:t>پایهٔ گفتارِ مستقلِ «نوآوریِ رساله» در فصلِ ۵</w:t>
      </w:r>
    </w:p>
    <w:p>
      <w:pPr>
        <w:shd w:val="clear" w:color="auto" w:fill="eef6ef"/>
        <w:bidi w:val="1"/>
        <w:spacing w:line="312" w:lineRule="auto" w:before="0" w:after="20"/>
        <w:ind w:right="170" w:left="170"/>
        <w:jc w:val="right"/>
      </w:pPr>
      <w:r>
        <w:rPr>
          <w:rFonts w:ascii="Times New Roman" w:hAnsi="Times New Roman" w:cs="B Nazanin"/>
          <w:sz w:val="22"/>
          <w:szCs w:val="24"/>
          <w:rtl w:val="1"/>
          <w:b/>
          <w:bCs/>
          <w:color w:val="1e6b3a"/>
        </w:rPr>
        <w:t xml:space="preserve">ایرادِ فنی: </w:t>
      </w:r>
      <w:r>
        <w:rPr>
          <w:rFonts w:ascii="Times New Roman" w:hAnsi="Times New Roman" w:cs="B Nazanin"/>
          <w:sz w:val="22"/>
          <w:szCs w:val="24"/>
          <w:rtl w:val="1"/>
        </w:rPr>
        <w:t>هر ۳۸ ارجاعِ معیوب به استنادِ درستِ گزارشِ دبیرکل (A/73/419) اصلاح شد</w:t>
      </w:r>
    </w:p>
    <w:p/>
    <w:p>
      <w:pPr>
        <w:shd w:val="clear" w:color="auto" w:fill="eef6ef"/>
        <w:pBdr>
          <w:right w:val="single" w:sz="18" w:space="6" w:color="1e6b3a"/>
        </w:pBdr>
        <w:bidi w:val="1"/>
        <w:spacing w:line="312" w:lineRule="auto" w:before="0" w:after="80"/>
        <w:ind w:right="170" w:left="170"/>
        <w:jc w:val="both"/>
      </w:pPr>
      <w:r>
        <w:rPr>
          <w:rFonts w:ascii="Times New Roman" w:hAnsi="Times New Roman" w:cs="B Nazanin"/>
          <w:sz w:val="22"/>
          <w:szCs w:val="26"/>
          <w:rtl w:val="1"/>
          <w:b/>
          <w:bCs/>
          <w:color w:val="1e6b3a"/>
        </w:rPr>
        <w:t xml:space="preserve">✔ نتیجه: </w:t>
      </w:r>
      <w:r>
        <w:rPr>
          <w:rFonts w:ascii="Times New Roman" w:hAnsi="Times New Roman" w:cs="B Nazanin"/>
          <w:sz w:val="22"/>
          <w:szCs w:val="26"/>
          <w:rtl w:val="1"/>
        </w:rPr>
        <w:t>جمع‌بندیِ شکاف: نرخِ بهره‌برداری از منابعِ داوری‌شدهٔ کلیدی تقریباً دو برابر شد (از ۲۱ به ۴۱ منبعِ یکتا)، پوششِ مقالاتِ عمیقاً کاویده‌شده از ۵۵٪ به ۱۰۰٪ رسید، و دو گفتارِ کاملاً نو (نوآوری و پژوهشِ آینده) بر پایهٔ داده‌های پیش‌تر نامُستفاد ساخته شد.</w:t>
      </w:r>
    </w:p>
    <w:p>
      <w:r>
        <w:br w:type="page"/>
      </w:r>
    </w:p>
    <w:p>
      <w:pPr>
        <w:shd w:val="clear" w:color="auto" w:fill="123a52"/>
        <w:pBdr>
          <w:top w:val="single" w:sz="2" w:space="6" w:color="123a52"/>
          <w:bottom w:val="single" w:sz="2" w:space="6" w:color="123a52"/>
          <w:left w:val="single" w:sz="2" w:space="6" w:color="123a52"/>
          <w:right w:val="single" w:sz="2" w:space="6" w:color="123a52"/>
        </w:pBdr>
        <w:bidi w:val="1"/>
        <w:spacing w:line="312" w:lineRule="auto" w:before="0" w:after="160"/>
        <w:ind w:right="57" w:left="57"/>
        <w:jc w:val="right"/>
      </w:pPr>
      <w:r>
        <w:rPr>
          <w:rFonts w:ascii="Times New Roman" w:hAnsi="Times New Roman" w:cs="B Nazanin"/>
          <w:sz w:val="24"/>
          <w:szCs w:val="32"/>
          <w:rtl w:val="1"/>
          <w:b/>
          <w:bCs/>
          <w:color w:val="ffffff"/>
        </w:rPr>
        <w:t>۴) کدام فصل کم‌بهره مانده بود؟ تحلیلِ فصل‌به‌فصل</w:t>
      </w:r>
    </w:p>
    <w:p>
      <w:pPr>
        <w:bidi w:val="1"/>
        <w:spacing w:line="312" w:lineRule="auto" w:before="0" w:after="120"/>
        <w:ind w:firstLine="340"/>
        <w:jc w:val="both"/>
      </w:pPr>
      <w:r>
        <w:rPr>
          <w:rFonts w:ascii="Times New Roman" w:hAnsi="Times New Roman" w:cs="B Nazanin"/>
          <w:sz w:val="22"/>
          <w:szCs w:val="28"/>
          <w:rtl w:val="1"/>
        </w:rPr>
        <w:t>سامانهٔ پژوهش برای هر فصل، فهرستی از منابعِ نگاشت‌شده در اختیار داشت. ستونِ «منابعِ در دسترس» نشان می‌دهد مغزِ پژوهش چند منبع را به آن فصل مرتبط دانسته بود؛ ستونِ «اقدامِ غنی‌سازی» توضیح می‌دهد که در این مرحله چه شد:</w:t>
      </w:r>
    </w:p>
    <w:p>
      <w:pPr>
        <w:pBdr>
          <w:bottom w:val="single" w:sz="4" w:space="3" w:color="dfe6ee"/>
        </w:pBdr>
        <w:bidi w:val="1"/>
        <w:spacing w:line="312" w:lineRule="auto" w:before="0" w:after="40"/>
        <w:ind w:right="113"/>
        <w:jc w:val="right"/>
      </w:pPr>
      <w:r>
        <w:rPr>
          <w:rFonts w:ascii="Times New Roman" w:hAnsi="Times New Roman" w:cs="B Nazanin"/>
          <w:sz w:val="22"/>
          <w:szCs w:val="26"/>
          <w:rtl w:val="1"/>
          <w:b/>
          <w:bCs/>
          <w:color w:val="123a52"/>
        </w:rPr>
        <w:t xml:space="preserve">فصلِ ۱ — چارچوبِ پژوهش — </w:t>
      </w:r>
      <w:r>
        <w:rPr>
          <w:rFonts w:ascii="Times New Roman" w:hAnsi="Times New Roman" w:cs="B Nazanin"/>
          <w:sz w:val="22"/>
          <w:szCs w:val="24"/>
          <w:rtl w:val="1"/>
          <w:b/>
          <w:bCs/>
          <w:color w:val="b08d3f"/>
        </w:rPr>
        <w:t xml:space="preserve">منابعِ در دسترس: ۳۰. </w:t>
      </w:r>
      <w:r>
        <w:rPr>
          <w:rFonts w:ascii="Times New Roman" w:hAnsi="Times New Roman" w:cs="B Nazanin"/>
          <w:sz w:val="22"/>
          <w:szCs w:val="24"/>
          <w:rtl w:val="1"/>
        </w:rPr>
        <w:t>پایهٔ مفهومی کافی بود؛ اصطلاح‌شناسی و واژه‌نامه بازبینی شد.</w:t>
      </w:r>
    </w:p>
    <w:p>
      <w:pPr>
        <w:pBdr>
          <w:bottom w:val="single" w:sz="4" w:space="3" w:color="dfe6ee"/>
        </w:pBdr>
        <w:bidi w:val="1"/>
        <w:spacing w:line="312" w:lineRule="auto" w:before="0" w:after="40"/>
        <w:ind w:right="113"/>
        <w:jc w:val="right"/>
      </w:pPr>
      <w:r>
        <w:rPr>
          <w:rFonts w:ascii="Times New Roman" w:hAnsi="Times New Roman" w:cs="B Nazanin"/>
          <w:sz w:val="22"/>
          <w:szCs w:val="26"/>
          <w:rtl w:val="1"/>
          <w:b/>
          <w:bCs/>
          <w:color w:val="123a52"/>
        </w:rPr>
        <w:t xml:space="preserve">فصلِ ۲ — تحولِ حقوق و شکل‌گیریِ پیمان — </w:t>
      </w:r>
      <w:r>
        <w:rPr>
          <w:rFonts w:ascii="Times New Roman" w:hAnsi="Times New Roman" w:cs="B Nazanin"/>
          <w:sz w:val="22"/>
          <w:szCs w:val="24"/>
          <w:rtl w:val="1"/>
          <w:b/>
          <w:bCs/>
          <w:color w:val="b08d3f"/>
        </w:rPr>
        <w:t xml:space="preserve">منابعِ در دسترس: ۱۶۱. </w:t>
      </w:r>
      <w:r>
        <w:rPr>
          <w:rFonts w:ascii="Times New Roman" w:hAnsi="Times New Roman" w:cs="B Nazanin"/>
          <w:sz w:val="22"/>
          <w:szCs w:val="24"/>
          <w:rtl w:val="1"/>
        </w:rPr>
        <w:t>پُربارترین فصل از نظرِ منبع؛ ارجاعات تثبیت و مستندسازی شد.</w:t>
      </w:r>
    </w:p>
    <w:p>
      <w:pPr>
        <w:pBdr>
          <w:bottom w:val="single" w:sz="4" w:space="3" w:color="dfe6ee"/>
        </w:pBdr>
        <w:bidi w:val="1"/>
        <w:spacing w:line="312" w:lineRule="auto" w:before="0" w:after="40"/>
        <w:ind w:right="113"/>
        <w:jc w:val="right"/>
      </w:pPr>
      <w:r>
        <w:rPr>
          <w:rFonts w:ascii="Times New Roman" w:hAnsi="Times New Roman" w:cs="B Nazanin"/>
          <w:sz w:val="22"/>
          <w:szCs w:val="26"/>
          <w:rtl w:val="1"/>
          <w:b/>
          <w:bCs/>
          <w:color w:val="123a52"/>
        </w:rPr>
        <w:t xml:space="preserve">فصلِ ۳ — خلأها و ابتکارِ پیمان (A/73/419) — </w:t>
      </w:r>
      <w:r>
        <w:rPr>
          <w:rFonts w:ascii="Times New Roman" w:hAnsi="Times New Roman" w:cs="B Nazanin"/>
          <w:sz w:val="22"/>
          <w:szCs w:val="24"/>
          <w:rtl w:val="1"/>
          <w:b/>
          <w:bCs/>
          <w:color w:val="b08d3f"/>
        </w:rPr>
        <w:t xml:space="preserve">منابعِ در دسترس: ۱۹۳. </w:t>
      </w:r>
      <w:r>
        <w:rPr>
          <w:rFonts w:ascii="Times New Roman" w:hAnsi="Times New Roman" w:cs="B Nazanin"/>
          <w:sz w:val="22"/>
          <w:szCs w:val="24"/>
          <w:rtl w:val="1"/>
        </w:rPr>
        <w:t>ارجاعاتِ معیوبِ «Para N» به استنادِ درستِ بندهای گزارشِ دبیرکل اصلاح شد.</w:t>
      </w:r>
    </w:p>
    <w:p>
      <w:pPr>
        <w:pBdr>
          <w:bottom w:val="single" w:sz="4" w:space="3" w:color="dfe6ee"/>
        </w:pBdr>
        <w:bidi w:val="1"/>
        <w:spacing w:line="312" w:lineRule="auto" w:before="0" w:after="40"/>
        <w:ind w:right="113"/>
        <w:jc w:val="right"/>
      </w:pPr>
      <w:r>
        <w:rPr>
          <w:rFonts w:ascii="Times New Roman" w:hAnsi="Times New Roman" w:cs="B Nazanin"/>
          <w:sz w:val="22"/>
          <w:szCs w:val="26"/>
          <w:rtl w:val="1"/>
          <w:b/>
          <w:bCs/>
          <w:color w:val="123a52"/>
        </w:rPr>
        <w:t xml:space="preserve">فصلِ ۴ — تأثیر بر MEAها و آینده‌پژوهی — </w:t>
      </w:r>
      <w:r>
        <w:rPr>
          <w:rFonts w:ascii="Times New Roman" w:hAnsi="Times New Roman" w:cs="B Nazanin"/>
          <w:sz w:val="22"/>
          <w:szCs w:val="24"/>
          <w:rtl w:val="1"/>
          <w:b/>
          <w:bCs/>
          <w:color w:val="b08d3f"/>
        </w:rPr>
        <w:t xml:space="preserve">منابعِ در دسترس: ۱۹۵. </w:t>
      </w:r>
      <w:r>
        <w:rPr>
          <w:rFonts w:ascii="Times New Roman" w:hAnsi="Times New Roman" w:cs="B Nazanin"/>
          <w:sz w:val="22"/>
          <w:szCs w:val="24"/>
          <w:rtl w:val="1"/>
        </w:rPr>
        <w:t>بسیار کم‌بهره بود؛ دو گفتارِ نو افزوده شد (پایین ↓).</w:t>
      </w:r>
    </w:p>
    <w:p>
      <w:pPr>
        <w:pBdr>
          <w:bottom w:val="single" w:sz="4" w:space="3" w:color="dfe6ee"/>
        </w:pBdr>
        <w:bidi w:val="1"/>
        <w:spacing w:line="312" w:lineRule="auto" w:before="0" w:after="40"/>
        <w:ind w:right="113"/>
        <w:jc w:val="right"/>
      </w:pPr>
      <w:r>
        <w:rPr>
          <w:rFonts w:ascii="Times New Roman" w:hAnsi="Times New Roman" w:cs="B Nazanin"/>
          <w:sz w:val="22"/>
          <w:szCs w:val="26"/>
          <w:rtl w:val="1"/>
          <w:b/>
          <w:bCs/>
          <w:color w:val="123a52"/>
        </w:rPr>
        <w:t xml:space="preserve">فصلِ ۵ — نتیجه‌گیری — </w:t>
      </w:r>
      <w:r>
        <w:rPr>
          <w:rFonts w:ascii="Times New Roman" w:hAnsi="Times New Roman" w:cs="B Nazanin"/>
          <w:sz w:val="22"/>
          <w:szCs w:val="24"/>
          <w:rtl w:val="1"/>
          <w:b/>
          <w:bCs/>
          <w:color w:val="b08d3f"/>
        </w:rPr>
        <w:t xml:space="preserve">منابعِ در دسترس: ۳. </w:t>
      </w:r>
      <w:r>
        <w:rPr>
          <w:rFonts w:ascii="Times New Roman" w:hAnsi="Times New Roman" w:cs="B Nazanin"/>
          <w:sz w:val="22"/>
          <w:szCs w:val="24"/>
          <w:rtl w:val="1"/>
        </w:rPr>
        <w:t>کم‌پشتوانه‌ترین فصل (تنها ۳ منبعِ نگاشت‌شده)؛ سه گفتارِ نو افزوده شد (پایین ↓).</w:t>
      </w:r>
    </w:p>
    <w:p>
      <w:pPr>
        <w:shd w:val="clear" w:color="auto" w:fill="eaf1f6"/>
        <w:pBdr>
          <w:right w:val="single" w:sz="24" w:space="6" w:color="b08d3f"/>
        </w:pBdr>
        <w:bidi w:val="1"/>
        <w:spacing w:line="312" w:lineRule="auto" w:before="200" w:after="120"/>
        <w:ind w:right="57"/>
        <w:jc w:val="right"/>
      </w:pPr>
      <w:r>
        <w:rPr>
          <w:rFonts w:ascii="Times New Roman" w:hAnsi="Times New Roman" w:cs="B Nazanin"/>
          <w:sz w:val="24"/>
          <w:szCs w:val="26"/>
          <w:rtl w:val="1"/>
          <w:b/>
          <w:bCs/>
          <w:color w:val="123a52"/>
        </w:rPr>
        <w:t>غنی‌سازیِ فصلِ ۴ (کم‌بهره‌ترین از نظرِ عمقِ تحلیلی)</w:t>
      </w:r>
    </w:p>
    <w:p>
      <w:pPr>
        <w:bidi w:val="1"/>
        <w:spacing w:line="312" w:lineRule="auto" w:before="0" w:after="80"/>
        <w:ind w:right="340"/>
        <w:jc w:val="both"/>
      </w:pPr>
      <w:r>
        <w:rPr>
          <w:rFonts w:ascii="Times New Roman" w:hAnsi="Times New Roman" w:cs="B Nazanin"/>
          <w:sz w:val="22"/>
          <w:szCs w:val="26"/>
          <w:rtl w:val="1"/>
          <w:b/>
          <w:bCs/>
          <w:color w:val="b08d3f"/>
        </w:rPr>
        <w:t xml:space="preserve">◄ </w:t>
      </w:r>
      <w:r>
        <w:rPr>
          <w:rFonts w:ascii="Times New Roman" w:hAnsi="Times New Roman" w:cs="B Nazanin"/>
          <w:sz w:val="22"/>
          <w:szCs w:val="26"/>
          <w:rtl w:val="1"/>
        </w:rPr>
        <w:t>گفتارِ نو «۴-۵ شواهدِ پایگاه‌های استنادی»: پیمایشِ مقالاتِ عمیقاً کاویده‌شده و ثبتِ یافته/نقطهٔ قوت/نقطهٔ ضعفِ هر مقاله همراه با استنادِ درون‌متنی.</w:t>
      </w:r>
    </w:p>
    <w:p>
      <w:pPr>
        <w:bidi w:val="1"/>
        <w:spacing w:line="312" w:lineRule="auto" w:before="0" w:after="80"/>
        <w:ind w:right="340"/>
        <w:jc w:val="both"/>
      </w:pPr>
      <w:r>
        <w:rPr>
          <w:rFonts w:ascii="Times New Roman" w:hAnsi="Times New Roman" w:cs="B Nazanin"/>
          <w:sz w:val="22"/>
          <w:szCs w:val="26"/>
          <w:rtl w:val="1"/>
          <w:b/>
          <w:bCs/>
          <w:color w:val="b08d3f"/>
        </w:rPr>
        <w:t xml:space="preserve">◄ </w:t>
      </w:r>
      <w:r>
        <w:rPr>
          <w:rFonts w:ascii="Times New Roman" w:hAnsi="Times New Roman" w:cs="B Nazanin"/>
          <w:sz w:val="22"/>
          <w:szCs w:val="26"/>
          <w:rtl w:val="1"/>
        </w:rPr>
        <w:t>گفتارِ نو «۴-۶ سنتزِ هفت‌منظری»: تلفیقِ هفت زاویهٔ تحلیلی از پیکرهٔ منابع برای صورت‌بندیِ تأثیرِ پیمان بر MEAها. فصلِ ۴ از ۱۱ به ۱۳ زیربخش و به ۵۹ بند گسترش یافت.</w:t>
      </w:r>
    </w:p>
    <w:p>
      <w:pPr>
        <w:shd w:val="clear" w:color="auto" w:fill="eaf1f6"/>
        <w:pBdr>
          <w:right w:val="single" w:sz="24" w:space="6" w:color="b08d3f"/>
        </w:pBdr>
        <w:bidi w:val="1"/>
        <w:spacing w:line="312" w:lineRule="auto" w:before="200" w:after="120"/>
        <w:ind w:right="57"/>
        <w:jc w:val="right"/>
      </w:pPr>
      <w:r>
        <w:rPr>
          <w:rFonts w:ascii="Times New Roman" w:hAnsi="Times New Roman" w:cs="B Nazanin"/>
          <w:sz w:val="24"/>
          <w:szCs w:val="26"/>
          <w:rtl w:val="1"/>
          <w:b/>
          <w:bCs/>
          <w:color w:val="123a52"/>
        </w:rPr>
        <w:t>غنی‌سازیِ فصلِ ۵ (کم‌پشتوانه‌ترین فصل)</w:t>
      </w:r>
    </w:p>
    <w:p>
      <w:pPr>
        <w:bidi w:val="1"/>
        <w:spacing w:line="312" w:lineRule="auto" w:before="0" w:after="80"/>
        <w:ind w:right="340"/>
        <w:jc w:val="both"/>
      </w:pPr>
      <w:r>
        <w:rPr>
          <w:rFonts w:ascii="Times New Roman" w:hAnsi="Times New Roman" w:cs="B Nazanin"/>
          <w:sz w:val="22"/>
          <w:szCs w:val="26"/>
          <w:rtl w:val="1"/>
          <w:b/>
          <w:bCs/>
          <w:color w:val="b08d3f"/>
        </w:rPr>
        <w:t xml:space="preserve">◄ </w:t>
      </w:r>
      <w:r>
        <w:rPr>
          <w:rFonts w:ascii="Times New Roman" w:hAnsi="Times New Roman" w:cs="B Nazanin"/>
          <w:sz w:val="22"/>
          <w:szCs w:val="26"/>
          <w:rtl w:val="1"/>
        </w:rPr>
        <w:t>گفتارِ نو «۵-۴ شش یافتهٔ کانونی» (F۱ تا F۶): تزریقِ یافته‌های سنتزشدهٔ سامانه.</w:t>
      </w:r>
    </w:p>
    <w:p>
      <w:pPr>
        <w:bidi w:val="1"/>
        <w:spacing w:line="312" w:lineRule="auto" w:before="0" w:after="80"/>
        <w:ind w:right="340"/>
        <w:jc w:val="both"/>
      </w:pPr>
      <w:r>
        <w:rPr>
          <w:rFonts w:ascii="Times New Roman" w:hAnsi="Times New Roman" w:cs="B Nazanin"/>
          <w:sz w:val="22"/>
          <w:szCs w:val="26"/>
          <w:rtl w:val="1"/>
          <w:b/>
          <w:bCs/>
          <w:color w:val="b08d3f"/>
        </w:rPr>
        <w:t xml:space="preserve">◄ </w:t>
      </w:r>
      <w:r>
        <w:rPr>
          <w:rFonts w:ascii="Times New Roman" w:hAnsi="Times New Roman" w:cs="B Nazanin"/>
          <w:sz w:val="22"/>
          <w:szCs w:val="26"/>
          <w:rtl w:val="1"/>
        </w:rPr>
        <w:t>گفتارِ نو «۵-۵ نوآوریِ رساله»: برساخته از محورهای نوآوریِ پیش‌تر نامُستفاد.</w:t>
      </w:r>
    </w:p>
    <w:p>
      <w:pPr>
        <w:bidi w:val="1"/>
        <w:spacing w:line="312" w:lineRule="auto" w:before="0" w:after="80"/>
        <w:ind w:right="340"/>
        <w:jc w:val="both"/>
      </w:pPr>
      <w:r>
        <w:rPr>
          <w:rFonts w:ascii="Times New Roman" w:hAnsi="Times New Roman" w:cs="B Nazanin"/>
          <w:sz w:val="22"/>
          <w:szCs w:val="26"/>
          <w:rtl w:val="1"/>
          <w:b/>
          <w:bCs/>
          <w:color w:val="b08d3f"/>
        </w:rPr>
        <w:t xml:space="preserve">◄ </w:t>
      </w:r>
      <w:r>
        <w:rPr>
          <w:rFonts w:ascii="Times New Roman" w:hAnsi="Times New Roman" w:cs="B Nazanin"/>
          <w:sz w:val="22"/>
          <w:szCs w:val="26"/>
          <w:rtl w:val="1"/>
        </w:rPr>
        <w:t>گفتارِ نو «۵-۶ پیشنهادهای پژوهشِ آینده»: برساخته از خلأهای پژوهشیِ استخراج‌شده. فصلِ ۵ از ۵ به ۸ زیربخش و به ۳۸ بند گسترش یافت.</w:t>
      </w:r>
    </w:p>
    <w:p>
      <w:r>
        <w:br w:type="page"/>
      </w:r>
    </w:p>
    <w:p>
      <w:pPr>
        <w:shd w:val="clear" w:color="auto" w:fill="123a52"/>
        <w:pBdr>
          <w:top w:val="single" w:sz="2" w:space="6" w:color="123a52"/>
          <w:bottom w:val="single" w:sz="2" w:space="6" w:color="123a52"/>
          <w:left w:val="single" w:sz="2" w:space="6" w:color="123a52"/>
          <w:right w:val="single" w:sz="2" w:space="6" w:color="123a52"/>
        </w:pBdr>
        <w:bidi w:val="1"/>
        <w:spacing w:line="312" w:lineRule="auto" w:before="0" w:after="160"/>
        <w:ind w:right="57" w:left="57"/>
        <w:jc w:val="right"/>
      </w:pPr>
      <w:r>
        <w:rPr>
          <w:rFonts w:ascii="Times New Roman" w:hAnsi="Times New Roman" w:cs="B Nazanin"/>
          <w:sz w:val="24"/>
          <w:szCs w:val="32"/>
          <w:rtl w:val="1"/>
          <w:b/>
          <w:bCs/>
          <w:color w:val="ffffff"/>
        </w:rPr>
        <w:t>۵) شش یافتهٔ کانونی که به نتیجه‌گیری تزریق شد</w:t>
      </w:r>
    </w:p>
    <w:p>
      <w:pPr>
        <w:bidi w:val="1"/>
        <w:spacing w:line="312" w:lineRule="auto" w:before="0" w:after="120"/>
        <w:ind w:firstLine="340"/>
        <w:jc w:val="both"/>
      </w:pPr>
      <w:r>
        <w:rPr>
          <w:rFonts w:ascii="Times New Roman" w:hAnsi="Times New Roman" w:cs="B Nazanin"/>
          <w:sz w:val="22"/>
          <w:szCs w:val="28"/>
          <w:rtl w:val="1"/>
        </w:rPr>
        <w:t>این شش یافته، حاصلِ سنتزِ کلِّ پیکرهٔ منابع‌اند و پیش‌تر در بدنهٔ رساله حاضر نبودند؛ اکنون ستون‌فقراتِ تحلیلیِ فصلِ نتیجه‌گیری را می‌سازند:</w:t>
      </w:r>
    </w:p>
    <w:p>
      <w:pPr>
        <w:shd w:val="clear" w:color="auto" w:fill="eaf1f6"/>
        <w:pBdr>
          <w:right w:val="single" w:sz="24" w:space="6" w:color="b08d3f"/>
        </w:pBdr>
        <w:bidi w:val="1"/>
        <w:spacing w:line="312" w:lineRule="auto" w:before="200" w:after="120"/>
        <w:ind w:right="57"/>
        <w:jc w:val="right"/>
      </w:pPr>
      <w:r>
        <w:rPr>
          <w:rFonts w:ascii="Times New Roman" w:hAnsi="Times New Roman" w:cs="B Nazanin"/>
          <w:sz w:val="24"/>
          <w:szCs w:val="24"/>
          <w:rtl w:val="1"/>
          <w:b/>
          <w:bCs/>
          <w:color w:val="123a52"/>
        </w:rPr>
        <w:t>یافتهٔ اصلی — «خلأ هنجاری» ریشهٔ پراکندگی است، نه صرفِ کثرت معاهدات</w:t>
      </w:r>
    </w:p>
    <w:p>
      <w:pPr>
        <w:bidi w:val="1"/>
        <w:spacing w:line="312" w:lineRule="auto" w:before="0" w:after="120"/>
        <w:ind w:firstLine="340"/>
        <w:jc w:val="both"/>
      </w:pPr>
      <w:r>
        <w:rPr>
          <w:rFonts w:ascii="Times New Roman" w:hAnsi="Times New Roman" w:cs="B Nazanin"/>
          <w:sz w:val="22"/>
          <w:szCs w:val="26"/>
          <w:rtl w:val="1"/>
        </w:rPr>
        <w:t>پراکندگی حقوق بین‌الملل محیط زیست معلولِ نبودِ یک لایهٔ هنجاریِ برتر و مشترک (اصول بنیادین الزام‌آور) است؛ ازاین‌رو راه‌حل، نه ادغامِ نهادیِ معاهدات در یک سازمانِ واحد، بلکه افزودن یک «سند چتر» حاوی اصول عمومیِ قابل‌رجوع است.</w:t>
      </w:r>
    </w:p>
    <w:p>
      <w:pPr>
        <w:shd w:val="clear" w:color="auto" w:fill="eaf1f6"/>
        <w:pBdr>
          <w:right w:val="single" w:sz="24" w:space="6" w:color="b08d3f"/>
        </w:pBdr>
        <w:bidi w:val="1"/>
        <w:spacing w:line="312" w:lineRule="auto" w:before="200" w:after="120"/>
        <w:ind w:right="57"/>
        <w:jc w:val="right"/>
      </w:pPr>
      <w:r>
        <w:rPr>
          <w:rFonts w:ascii="Times New Roman" w:hAnsi="Times New Roman" w:cs="B Nazanin"/>
          <w:sz w:val="24"/>
          <w:szCs w:val="24"/>
          <w:rtl w:val="1"/>
          <w:b/>
          <w:bCs/>
          <w:color w:val="123a52"/>
        </w:rPr>
        <w:t>یافتهٔ دوم — سازوکار تأثیر پیمان بر MEAها «سلسله‌مراتبی-تفسیری» است، نه الغاکننده</w:t>
      </w:r>
    </w:p>
    <w:p>
      <w:pPr>
        <w:bidi w:val="1"/>
        <w:spacing w:line="312" w:lineRule="auto" w:before="0" w:after="120"/>
        <w:ind w:firstLine="340"/>
        <w:jc w:val="both"/>
      </w:pPr>
      <w:r>
        <w:rPr>
          <w:rFonts w:ascii="Times New Roman" w:hAnsi="Times New Roman" w:cs="B Nazanin"/>
          <w:sz w:val="22"/>
          <w:szCs w:val="26"/>
          <w:rtl w:val="1"/>
        </w:rPr>
        <w:t>حتی در فرضِ تصویب، پیمان MEAهای موجود را نسخ نمی‌کرد؛ بلکه از سه مجرا اثر می‌گذاشت: (۱) مرجعِ اصولِ عام در موارد سکوت/خلأ، (۲) قاعدهٔ تفسیر هماهنگ میان رژیم‌ها، (۳) معیار سنجش انسجام و کارآمدی. این همان «سایهٔ هنجاری» است.</w:t>
      </w:r>
    </w:p>
    <w:p>
      <w:pPr>
        <w:shd w:val="clear" w:color="auto" w:fill="eaf1f6"/>
        <w:pBdr>
          <w:right w:val="single" w:sz="24" w:space="6" w:color="b08d3f"/>
        </w:pBdr>
        <w:bidi w:val="1"/>
        <w:spacing w:line="312" w:lineRule="auto" w:before="200" w:after="120"/>
        <w:ind w:right="57"/>
        <w:jc w:val="right"/>
      </w:pPr>
      <w:r>
        <w:rPr>
          <w:rFonts w:ascii="Times New Roman" w:hAnsi="Times New Roman" w:cs="B Nazanin"/>
          <w:sz w:val="24"/>
          <w:szCs w:val="24"/>
          <w:rtl w:val="1"/>
          <w:b/>
          <w:bCs/>
          <w:color w:val="123a52"/>
        </w:rPr>
        <w:t>یافتهٔ سوم — شکست ۲۰۲۲ «شکستِ ایده» نبود؛ شکستِ «شکلِ الزام‌آور» در برابر موازنهٔ ژئوپلیتیک بود</w:t>
      </w:r>
    </w:p>
    <w:p>
      <w:pPr>
        <w:bidi w:val="1"/>
        <w:spacing w:line="312" w:lineRule="auto" w:before="0" w:after="120"/>
        <w:ind w:firstLine="340"/>
        <w:jc w:val="both"/>
      </w:pPr>
      <w:r>
        <w:rPr>
          <w:rFonts w:ascii="Times New Roman" w:hAnsi="Times New Roman" w:cs="B Nazanin"/>
          <w:sz w:val="22"/>
          <w:szCs w:val="26"/>
          <w:rtl w:val="1"/>
        </w:rPr>
        <w:t>تنزل پیمان به اعلامیهٔ سیاسی استکهلم+۵۰ نه به‌دلیل بطلانِ نیاز به سند چتر، بلکه به‌دلیل ائتلاف مخالفان (آمریکا، روسیه) و احتیاط کشورهای در حال توسعه نسبت به تعهدات الزام‌آور و رویکرد اقدام‌محور رخ داد؛ ایدهٔ اصول بنیادین در قالب حق بر محیط‌زیست سالم (قطعنامهٔ ۲۰۲۲) بازتولید شد.</w:t>
      </w:r>
    </w:p>
    <w:p>
      <w:pPr>
        <w:shd w:val="clear" w:color="auto" w:fill="eaf1f6"/>
        <w:pBdr>
          <w:right w:val="single" w:sz="24" w:space="6" w:color="b08d3f"/>
        </w:pBdr>
        <w:bidi w:val="1"/>
        <w:spacing w:line="312" w:lineRule="auto" w:before="200" w:after="120"/>
        <w:ind w:right="57"/>
        <w:jc w:val="right"/>
      </w:pPr>
      <w:r>
        <w:rPr>
          <w:rFonts w:ascii="Times New Roman" w:hAnsi="Times New Roman" w:cs="B Nazanin"/>
          <w:sz w:val="24"/>
          <w:szCs w:val="24"/>
          <w:rtl w:val="1"/>
          <w:b/>
          <w:bCs/>
          <w:color w:val="123a52"/>
        </w:rPr>
        <w:t>یافتهٔ چهارم — درس‌آموختهٔ سه شکست متوالی: «حداکثرگراییِ نهادی» شکست می‌خورد</w:t>
      </w:r>
    </w:p>
    <w:p>
      <w:pPr>
        <w:bidi w:val="1"/>
        <w:spacing w:line="312" w:lineRule="auto" w:before="0" w:after="120"/>
        <w:ind w:firstLine="340"/>
        <w:jc w:val="both"/>
      </w:pPr>
      <w:r>
        <w:rPr>
          <w:rFonts w:ascii="Times New Roman" w:hAnsi="Times New Roman" w:cs="B Nazanin"/>
          <w:sz w:val="22"/>
          <w:szCs w:val="26"/>
          <w:rtl w:val="1"/>
        </w:rPr>
        <w:t>سازمان جهانی محیط زیست، دیوان بین‌المللی محیط زیست، میثاق حقوق محیط زیست و اکنون پیمان جهانی — همگی در نقطهٔ «جاه‌طلبیِ نهادی/الزام‌آور فراتر از اجماع» متوقف شدند. درس‌آموخته: مسیرِ تدریجی و اصول‌محور (نه نهاد‌محور) شانس بیشتری دارد.</w:t>
      </w:r>
    </w:p>
    <w:p>
      <w:pPr>
        <w:shd w:val="clear" w:color="auto" w:fill="eaf1f6"/>
        <w:pBdr>
          <w:right w:val="single" w:sz="24" w:space="6" w:color="b08d3f"/>
        </w:pBdr>
        <w:bidi w:val="1"/>
        <w:spacing w:line="312" w:lineRule="auto" w:before="200" w:after="120"/>
        <w:ind w:right="57"/>
        <w:jc w:val="right"/>
      </w:pPr>
      <w:r>
        <w:rPr>
          <w:rFonts w:ascii="Times New Roman" w:hAnsi="Times New Roman" w:cs="B Nazanin"/>
          <w:sz w:val="24"/>
          <w:szCs w:val="24"/>
          <w:rtl w:val="1"/>
          <w:b/>
          <w:bCs/>
          <w:color w:val="123a52"/>
        </w:rPr>
        <w:t>یافتهٔ پنجم (راهکار جایگزین، مبتنی بر منابع) — «نقشهٔ راهِ گذارِ تدریجیِ اصول از حقوق نرم به سند چتر» به‌جای سند چترِ یک‌پارچهٔ الزام‌آور</w:t>
      </w:r>
    </w:p>
    <w:p>
      <w:pPr>
        <w:bidi w:val="1"/>
        <w:spacing w:line="312" w:lineRule="auto" w:before="0" w:after="120"/>
        <w:ind w:firstLine="340"/>
        <w:jc w:val="both"/>
      </w:pPr>
      <w:r>
        <w:rPr>
          <w:rFonts w:ascii="Times New Roman" w:hAnsi="Times New Roman" w:cs="B Nazanin"/>
          <w:sz w:val="22"/>
          <w:szCs w:val="26"/>
          <w:rtl w:val="1"/>
        </w:rPr>
        <w:t>ظرفیتِ تحلیلیِ رساله: به‌جای انتخاب دوگانهٔ «معاهدهٔ الزام‌آور / اعلامیهٔ سیاسی»، طراحی یک معماریِ لایه‌ای پیشنهاد می‌شود — هستهٔ نرم اصول عام (اعلامیه) + پروتکل‌های الحاقیِ الزام‌آورِ بخشی + سازوکار تفسیر هماهنگ + بازنگری دوره‌ای — که مسیر «سخت‌شدن تدریجی حقوق نرم» را نهادینه می‌کند.</w:t>
      </w:r>
    </w:p>
    <w:p>
      <w:pPr>
        <w:shd w:val="clear" w:color="auto" w:fill="eaf1f6"/>
        <w:pBdr>
          <w:right w:val="single" w:sz="24" w:space="6" w:color="b08d3f"/>
        </w:pBdr>
        <w:bidi w:val="1"/>
        <w:spacing w:line="312" w:lineRule="auto" w:before="200" w:after="120"/>
        <w:ind w:right="57"/>
        <w:jc w:val="right"/>
      </w:pPr>
      <w:r>
        <w:rPr>
          <w:rFonts w:ascii="Times New Roman" w:hAnsi="Times New Roman" w:cs="B Nazanin"/>
          <w:sz w:val="24"/>
          <w:szCs w:val="24"/>
          <w:rtl w:val="1"/>
          <w:b/>
          <w:bCs/>
          <w:color w:val="123a52"/>
        </w:rPr>
        <w:t>یافتهٔ ششم — پاسخ به «آیا IEL به سند مادر نیاز دارد؟»: بله در سطح هنجاری، خیر در سطح نهادی</w:t>
      </w:r>
    </w:p>
    <w:p>
      <w:pPr>
        <w:bidi w:val="1"/>
        <w:spacing w:line="312" w:lineRule="auto" w:before="0" w:after="120"/>
        <w:ind w:firstLine="340"/>
        <w:jc w:val="both"/>
      </w:pPr>
      <w:r>
        <w:rPr>
          <w:rFonts w:ascii="Times New Roman" w:hAnsi="Times New Roman" w:cs="B Nazanin"/>
          <w:sz w:val="22"/>
          <w:szCs w:val="26"/>
          <w:rtl w:val="1"/>
        </w:rPr>
        <w:t>پس از ۵۰ سال، نیازِ IEL به «انسجام هنجاری» اثبات‌شده است اما راه‌حلِ آن لزوماً یک نهاد/معاهدهٔ واحد نیست؛ کارکردِ سند مادر را می‌توان از طریق اصولِ عامِ قابل‌رجوع + رویهٔ قضایی + تفسیر هماهنگ نیز تأمین کرد.</w:t>
      </w:r>
    </w:p>
    <w:p>
      <w:r>
        <w:br w:type="page"/>
      </w:r>
    </w:p>
    <w:p>
      <w:pPr>
        <w:shd w:val="clear" w:color="auto" w:fill="123a52"/>
        <w:pBdr>
          <w:top w:val="single" w:sz="2" w:space="6" w:color="123a52"/>
          <w:bottom w:val="single" w:sz="2" w:space="6" w:color="123a52"/>
          <w:left w:val="single" w:sz="2" w:space="6" w:color="123a52"/>
          <w:right w:val="single" w:sz="2" w:space="6" w:color="123a52"/>
        </w:pBdr>
        <w:bidi w:val="1"/>
        <w:spacing w:line="312" w:lineRule="auto" w:before="0" w:after="160"/>
        <w:ind w:right="57" w:left="57"/>
        <w:jc w:val="right"/>
      </w:pPr>
      <w:r>
        <w:rPr>
          <w:rFonts w:ascii="Times New Roman" w:hAnsi="Times New Roman" w:cs="B Nazanin"/>
          <w:sz w:val="24"/>
          <w:szCs w:val="32"/>
          <w:rtl w:val="1"/>
          <w:b/>
          <w:bCs/>
          <w:color w:val="ffffff"/>
        </w:rPr>
        <w:t>۶) خلأهای پژوهشی: از ۵۲۷ خلأ تا گفتارِ پژوهشِ آینده</w:t>
      </w:r>
    </w:p>
    <w:p>
      <w:pPr>
        <w:bidi w:val="1"/>
        <w:spacing w:line="312" w:lineRule="auto" w:before="0" w:after="120"/>
        <w:ind w:firstLine="340"/>
        <w:jc w:val="both"/>
      </w:pPr>
      <w:r>
        <w:rPr>
          <w:rFonts w:ascii="Times New Roman" w:hAnsi="Times New Roman" w:cs="B Nazanin"/>
          <w:sz w:val="22"/>
          <w:szCs w:val="28"/>
          <w:rtl w:val="1"/>
        </w:rPr>
        <w:t>سامانه ۵۲۷ خلأِ پژوهشی را از دلِ منابع استخراج کرده بود که در پیش‌نویسِ نخست به‌شکلِ نظام‌مند به‌کار نرفته بودند. این خلأها اکنون پایهٔ گفتارِ «پیشنهادهای پژوهشِ آینده» در فصلِ ۵ شدند. چند نمونهٔ شاخص:</w:t>
      </w:r>
    </w:p>
    <w:p>
      <w:pPr>
        <w:bidi w:val="1"/>
        <w:spacing w:line="312" w:lineRule="auto" w:before="0" w:after="80"/>
        <w:ind w:right="340"/>
        <w:jc w:val="both"/>
      </w:pPr>
      <w:r>
        <w:rPr>
          <w:rFonts w:ascii="Times New Roman" w:hAnsi="Times New Roman" w:cs="B Nazanin"/>
          <w:sz w:val="22"/>
          <w:szCs w:val="26"/>
          <w:rtl w:val="1"/>
          <w:b/>
          <w:bCs/>
          <w:color w:val="b08d3f"/>
        </w:rPr>
        <w:t xml:space="preserve">◄ </w:t>
      </w:r>
      <w:r>
        <w:rPr>
          <w:rFonts w:ascii="Times New Roman" w:hAnsi="Times New Roman" w:cs="B Nazanin"/>
          <w:sz w:val="22"/>
          <w:szCs w:val="26"/>
          <w:rtl w:val="1"/>
        </w:rPr>
        <w:t>این منبع به طور ضمنی نشان می‌دهد که مطالعات بیشتری در مورد چگونگی مدیریت تداخلات هنجاری بین یک پیمان جامع و MEAهای تخصصی مورد نیاز است.</w:t>
      </w:r>
    </w:p>
    <w:p>
      <w:pPr>
        <w:bidi w:val="1"/>
        <w:spacing w:line="312" w:lineRule="auto" w:before="0" w:after="80"/>
        <w:ind w:right="340"/>
        <w:jc w:val="both"/>
      </w:pPr>
      <w:r>
        <w:rPr>
          <w:rFonts w:ascii="Times New Roman" w:hAnsi="Times New Roman" w:cs="B Nazanin"/>
          <w:sz w:val="22"/>
          <w:szCs w:val="26"/>
          <w:rtl w:val="1"/>
          <w:b/>
          <w:bCs/>
          <w:color w:val="b08d3f"/>
        </w:rPr>
        <w:t xml:space="preserve">◄ </w:t>
      </w:r>
      <w:r>
        <w:rPr>
          <w:rFonts w:ascii="Times New Roman" w:hAnsi="Times New Roman" w:cs="B Nazanin"/>
          <w:sz w:val="22"/>
          <w:szCs w:val="26"/>
          <w:rtl w:val="1"/>
        </w:rPr>
        <w:t>شکاف پژوهشی در مورد اینکه چگونه می‌توان بدون ایجاد سردرگمی حقوقی، اصول کلی را به تعهدات الزام‌آور تبدیل کرد، مطرح می‌شود.</w:t>
      </w:r>
    </w:p>
    <w:p>
      <w:pPr>
        <w:bidi w:val="1"/>
        <w:spacing w:line="312" w:lineRule="auto" w:before="0" w:after="80"/>
        <w:ind w:right="340"/>
        <w:jc w:val="both"/>
      </w:pPr>
      <w:r>
        <w:rPr>
          <w:rFonts w:ascii="Times New Roman" w:hAnsi="Times New Roman" w:cs="B Nazanin"/>
          <w:sz w:val="22"/>
          <w:szCs w:val="26"/>
          <w:rtl w:val="1"/>
          <w:b/>
          <w:bCs/>
          <w:color w:val="b08d3f"/>
        </w:rPr>
        <w:t xml:space="preserve">◄ </w:t>
      </w:r>
      <w:r>
        <w:rPr>
          <w:rFonts w:ascii="Times New Roman" w:hAnsi="Times New Roman" w:cs="B Nazanin"/>
          <w:sz w:val="22"/>
          <w:szCs w:val="26"/>
          <w:rtl w:val="1"/>
        </w:rPr>
        <w:t>نیاز به بررسی دقیق‌تر علل ریشه‌ای عدم حفاظت کافی محیط زیست و اینکه آیا ابزارهای حقوقی جدید واقعاً می‌توانند این علل را برطرف کنند، آشکار می‌شود.</w:t>
      </w:r>
    </w:p>
    <w:p>
      <w:pPr>
        <w:bidi w:val="1"/>
        <w:spacing w:line="312" w:lineRule="auto" w:before="0" w:after="80"/>
        <w:ind w:right="340"/>
        <w:jc w:val="both"/>
      </w:pPr>
      <w:r>
        <w:rPr>
          <w:rFonts w:ascii="Times New Roman" w:hAnsi="Times New Roman" w:cs="B Nazanin"/>
          <w:sz w:val="22"/>
          <w:szCs w:val="26"/>
          <w:rtl w:val="1"/>
          <w:b/>
          <w:bCs/>
          <w:color w:val="b08d3f"/>
        </w:rPr>
        <w:t xml:space="preserve">◄ </w:t>
      </w:r>
      <w:r>
        <w:rPr>
          <w:rFonts w:ascii="Times New Roman" w:hAnsi="Times New Roman" w:cs="B Nazanin"/>
          <w:sz w:val="22"/>
          <w:szCs w:val="26"/>
          <w:rtl w:val="1"/>
        </w:rPr>
        <w:t>این منبع به طور ضمنی به فقدان یک سند جامع و الزام‌آور حاوی اصول بنیادین در حقوق بین‌الملل محیط زیست اشاره می‌کند که منجر به پراکندگی و عدم انسجام می‌شود.</w:t>
      </w:r>
    </w:p>
    <w:p>
      <w:pPr>
        <w:bidi w:val="1"/>
        <w:spacing w:line="312" w:lineRule="auto" w:before="0" w:after="80"/>
        <w:ind w:right="340"/>
        <w:jc w:val="both"/>
      </w:pPr>
      <w:r>
        <w:rPr>
          <w:rFonts w:ascii="Times New Roman" w:hAnsi="Times New Roman" w:cs="B Nazanin"/>
          <w:sz w:val="22"/>
          <w:szCs w:val="26"/>
          <w:rtl w:val="1"/>
          <w:b/>
          <w:bCs/>
          <w:color w:val="b08d3f"/>
        </w:rPr>
        <w:t xml:space="preserve">◄ </w:t>
      </w:r>
      <w:r>
        <w:rPr>
          <w:rFonts w:ascii="Times New Roman" w:hAnsi="Times New Roman" w:cs="B Nazanin"/>
          <w:sz w:val="22"/>
          <w:szCs w:val="26"/>
          <w:rtl w:val="1"/>
        </w:rPr>
        <w:t>نیاز به تبدیل اصول حقوق نرم (مانند اعلامیه ریو) به حقوق سخت و الزام‌آور برای افزایش اثربخشی.</w:t>
      </w:r>
    </w:p>
    <w:p>
      <w:pPr>
        <w:bidi w:val="1"/>
        <w:spacing w:line="312" w:lineRule="auto" w:before="0" w:after="80"/>
        <w:ind w:right="340"/>
        <w:jc w:val="both"/>
      </w:pPr>
      <w:r>
        <w:rPr>
          <w:rFonts w:ascii="Times New Roman" w:hAnsi="Times New Roman" w:cs="B Nazanin"/>
          <w:sz w:val="22"/>
          <w:szCs w:val="26"/>
          <w:rtl w:val="1"/>
          <w:b/>
          <w:bCs/>
          <w:color w:val="b08d3f"/>
        </w:rPr>
        <w:t xml:space="preserve">◄ </w:t>
      </w:r>
      <w:r>
        <w:rPr>
          <w:rFonts w:ascii="Times New Roman" w:hAnsi="Times New Roman" w:cs="B Nazanin"/>
          <w:sz w:val="22"/>
          <w:szCs w:val="26"/>
          <w:rtl w:val="1"/>
        </w:rPr>
        <w:t>نیاز به یک سند الزام‌آور حاوی اصول بنیادین برای رفع پراکندگی و خلأهای هنجاری در حقوق بین‌الملل محیط زیست.</w:t>
      </w:r>
    </w:p>
    <w:p>
      <w:pPr>
        <w:bidi w:val="1"/>
        <w:spacing w:line="312" w:lineRule="auto" w:before="0" w:after="80"/>
        <w:ind w:right="340"/>
        <w:jc w:val="both"/>
      </w:pPr>
      <w:r>
        <w:rPr>
          <w:rFonts w:ascii="Times New Roman" w:hAnsi="Times New Roman" w:cs="B Nazanin"/>
          <w:sz w:val="22"/>
          <w:szCs w:val="26"/>
          <w:rtl w:val="1"/>
          <w:b/>
          <w:bCs/>
          <w:color w:val="b08d3f"/>
        </w:rPr>
        <w:t xml:space="preserve">◄ </w:t>
      </w:r>
      <w:r>
        <w:rPr>
          <w:rFonts w:ascii="Times New Roman" w:hAnsi="Times New Roman" w:cs="B Nazanin"/>
          <w:sz w:val="22"/>
          <w:szCs w:val="26"/>
          <w:rtl w:val="1"/>
        </w:rPr>
        <w:t>این منبع به طور ضمنی به نیاز به بررسی دقیق‌تر چگونگی تعامل عملی پیمان با MEAهای موجود و مکانیسم‌های اجرایی آنها اشاره می‌کند.</w:t>
      </w:r>
    </w:p>
    <w:p>
      <w:pPr>
        <w:bidi w:val="1"/>
        <w:spacing w:line="312" w:lineRule="auto" w:before="0" w:after="80"/>
        <w:ind w:right="340"/>
        <w:jc w:val="both"/>
      </w:pPr>
      <w:r>
        <w:rPr>
          <w:rFonts w:ascii="Times New Roman" w:hAnsi="Times New Roman" w:cs="B Nazanin"/>
          <w:sz w:val="22"/>
          <w:szCs w:val="26"/>
          <w:rtl w:val="1"/>
          <w:b/>
          <w:bCs/>
          <w:color w:val="b08d3f"/>
        </w:rPr>
        <w:t xml:space="preserve">◄ </w:t>
      </w:r>
      <w:r>
        <w:rPr>
          <w:rFonts w:ascii="Times New Roman" w:hAnsi="Times New Roman" w:cs="B Nazanin"/>
          <w:sz w:val="22"/>
          <w:szCs w:val="26"/>
          <w:rtl w:val="1"/>
        </w:rPr>
        <w:t>نیاز به تحلیل عمیق‌تر مواضع کشورهای مختلف و چالش‌های سیاسی و حقوقی پیش رو برای تصویب و اجرای پیمان.</w:t>
      </w:r>
    </w:p>
    <w:p/>
    <w:p>
      <w:pPr>
        <w:shd w:val="clear" w:color="auto" w:fill="eaf1f6"/>
        <w:pBdr>
          <w:right w:val="single" w:sz="18" w:space="6" w:color="b08d3f"/>
        </w:pBdr>
        <w:bidi w:val="1"/>
        <w:spacing w:line="312" w:lineRule="auto" w:before="0" w:after="80"/>
        <w:ind w:right="170" w:left="170"/>
        <w:jc w:val="both"/>
      </w:pPr>
      <w:r>
        <w:rPr>
          <w:rFonts w:ascii="Times New Roman" w:hAnsi="Times New Roman" w:cs="B Nazanin"/>
          <w:sz w:val="22"/>
          <w:szCs w:val="26"/>
          <w:rtl w:val="1"/>
          <w:b/>
          <w:bCs/>
          <w:color w:val="123a52"/>
        </w:rPr>
        <w:t xml:space="preserve">◆ ظرفیتِ باقی‌مانده: </w:t>
      </w:r>
      <w:r>
        <w:rPr>
          <w:rFonts w:ascii="Times New Roman" w:hAnsi="Times New Roman" w:cs="B Nazanin"/>
          <w:sz w:val="22"/>
          <w:szCs w:val="26"/>
          <w:rtl w:val="1"/>
        </w:rPr>
        <w:t>از ۵۲۷ خلأِ استخراج‌شده، مجموعه‌ای نمایندهٔ آن‌ها در گفتارِ پژوهشِ آینده به‌کار رفت؛ بقیه به‌عنوانِ ظرفیتِ توسعهٔ پژوهش‌های آتی در سامانه محفوظ‌اند.</w:t>
      </w:r>
    </w:p>
    <w:p>
      <w:r>
        <w:br w:type="page"/>
      </w:r>
    </w:p>
    <w:p>
      <w:pPr>
        <w:shd w:val="clear" w:color="auto" w:fill="123a52"/>
        <w:pBdr>
          <w:top w:val="single" w:sz="2" w:space="6" w:color="123a52"/>
          <w:bottom w:val="single" w:sz="2" w:space="6" w:color="123a52"/>
          <w:left w:val="single" w:sz="2" w:space="6" w:color="123a52"/>
          <w:right w:val="single" w:sz="2" w:space="6" w:color="123a52"/>
        </w:pBdr>
        <w:bidi w:val="1"/>
        <w:spacing w:line="312" w:lineRule="auto" w:before="0" w:after="160"/>
        <w:ind w:right="57" w:left="57"/>
        <w:jc w:val="right"/>
      </w:pPr>
      <w:r>
        <w:rPr>
          <w:rFonts w:ascii="Times New Roman" w:hAnsi="Times New Roman" w:cs="B Nazanin"/>
          <w:sz w:val="24"/>
          <w:szCs w:val="32"/>
          <w:rtl w:val="1"/>
          <w:b/>
          <w:bCs/>
          <w:color w:val="ffffff"/>
        </w:rPr>
        <w:t>۷) محورهای نوآوری: از ۴۰۹ محور تا گفتارِ نوآوری</w:t>
      </w:r>
    </w:p>
    <w:p>
      <w:pPr>
        <w:bidi w:val="1"/>
        <w:spacing w:line="312" w:lineRule="auto" w:before="0" w:after="120"/>
        <w:ind w:firstLine="340"/>
        <w:jc w:val="both"/>
      </w:pPr>
      <w:r>
        <w:rPr>
          <w:rFonts w:ascii="Times New Roman" w:hAnsi="Times New Roman" w:cs="B Nazanin"/>
          <w:sz w:val="22"/>
          <w:szCs w:val="28"/>
          <w:rtl w:val="1"/>
        </w:rPr>
        <w:t>سامانه ۴۰۹ محورِ نوآوری را شناسایی کرده بود. این محورها اکنون پایهٔ گفتارِ «نوآوریِ رساله» در فصلِ ۵ شدند. چند نمونهٔ شاخص:</w:t>
      </w:r>
    </w:p>
    <w:p>
      <w:pPr>
        <w:bidi w:val="1"/>
        <w:spacing w:line="312" w:lineRule="auto" w:before="0" w:after="80"/>
        <w:ind w:right="340"/>
        <w:jc w:val="both"/>
      </w:pPr>
      <w:r>
        <w:rPr>
          <w:rFonts w:ascii="Times New Roman" w:hAnsi="Times New Roman" w:cs="B Nazanin"/>
          <w:sz w:val="22"/>
          <w:szCs w:val="26"/>
          <w:rtl w:val="1"/>
          <w:b/>
          <w:bCs/>
          <w:color w:val="b08d3f"/>
        </w:rPr>
        <w:t xml:space="preserve">◄ </w:t>
      </w:r>
      <w:r>
        <w:rPr>
          <w:rFonts w:ascii="Times New Roman" w:hAnsi="Times New Roman" w:cs="B Nazanin"/>
          <w:sz w:val="22"/>
          <w:szCs w:val="26"/>
          <w:rtl w:val="1"/>
        </w:rPr>
        <w:t>این منبع با ارائه یک دیدگاه انتقادی و واقع‌بینانه نسبت به پیمان جهانی محیط زیست، می‌تواند نوآوری کار ما را در تحلیل جامع‌تر و چندوجهی‌تر تأثیرات این پیمان تقویت کند، به جای پذیرش صرف مزایای آن.</w:t>
      </w:r>
    </w:p>
    <w:p>
      <w:pPr>
        <w:bidi w:val="1"/>
        <w:spacing w:line="312" w:lineRule="auto" w:before="0" w:after="80"/>
        <w:ind w:right="340"/>
        <w:jc w:val="both"/>
      </w:pPr>
      <w:r>
        <w:rPr>
          <w:rFonts w:ascii="Times New Roman" w:hAnsi="Times New Roman" w:cs="B Nazanin"/>
          <w:sz w:val="22"/>
          <w:szCs w:val="26"/>
          <w:rtl w:val="1"/>
          <w:b/>
          <w:bCs/>
          <w:color w:val="b08d3f"/>
        </w:rPr>
        <w:t xml:space="preserve">◄ </w:t>
      </w:r>
      <w:r>
        <w:rPr>
          <w:rFonts w:ascii="Times New Roman" w:hAnsi="Times New Roman" w:cs="B Nazanin"/>
          <w:sz w:val="22"/>
          <w:szCs w:val="26"/>
          <w:rtl w:val="1"/>
        </w:rPr>
        <w:t>تحلیل دقیق چالش‌های حقوقی ناشی از ابهام در مفاد و رابطه با MEAها، به ما امکان می‌دهد تا استدلال‌های قوی‌تری در مورد پیچیدگی‌های هنجاری ارائه دهیم.</w:t>
      </w:r>
    </w:p>
    <w:p>
      <w:pPr>
        <w:bidi w:val="1"/>
        <w:spacing w:line="312" w:lineRule="auto" w:before="0" w:after="80"/>
        <w:ind w:right="340"/>
        <w:jc w:val="both"/>
      </w:pPr>
      <w:r>
        <w:rPr>
          <w:rFonts w:ascii="Times New Roman" w:hAnsi="Times New Roman" w:cs="B Nazanin"/>
          <w:sz w:val="22"/>
          <w:szCs w:val="26"/>
          <w:rtl w:val="1"/>
          <w:b/>
          <w:bCs/>
          <w:color w:val="b08d3f"/>
        </w:rPr>
        <w:t xml:space="preserve">◄ </w:t>
      </w:r>
      <w:r>
        <w:rPr>
          <w:rFonts w:ascii="Times New Roman" w:hAnsi="Times New Roman" w:cs="B Nazanin"/>
          <w:sz w:val="22"/>
          <w:szCs w:val="26"/>
          <w:rtl w:val="1"/>
        </w:rPr>
        <w:t>تمرکز بر هزینه فرصت و ناکارآمدی احتمالی پیمان در حل مشکلات ریشه‌ای، می‌تواند به ما کمک کند تا راه‌حل‌های جایگزین یا مکمل را در رساله خود پیشنهاد دهیم.</w:t>
      </w:r>
    </w:p>
    <w:p>
      <w:pPr>
        <w:bidi w:val="1"/>
        <w:spacing w:line="312" w:lineRule="auto" w:before="0" w:after="80"/>
        <w:ind w:right="340"/>
        <w:jc w:val="both"/>
      </w:pPr>
      <w:r>
        <w:rPr>
          <w:rFonts w:ascii="Times New Roman" w:hAnsi="Times New Roman" w:cs="B Nazanin"/>
          <w:sz w:val="22"/>
          <w:szCs w:val="26"/>
          <w:rtl w:val="1"/>
          <w:b/>
          <w:bCs/>
          <w:color w:val="b08d3f"/>
        </w:rPr>
        <w:t xml:space="preserve">◄ </w:t>
      </w:r>
      <w:r>
        <w:rPr>
          <w:rFonts w:ascii="Times New Roman" w:hAnsi="Times New Roman" w:cs="B Nazanin"/>
          <w:sz w:val="22"/>
          <w:szCs w:val="26"/>
          <w:rtl w:val="1"/>
        </w:rPr>
        <w:t>این منبع با ارائه دیدگاه حقوقدانان برجسته، مشروعیت و ضرورت پیمان را تقویت می‌کند و می‌تواند به عنوان مبنایی برای استدلال در مورد نوآوری و ارزش افزوده پیمان در حقوق بین‌الملل محیط زیست استفاده شود.</w:t>
      </w:r>
    </w:p>
    <w:p>
      <w:pPr>
        <w:bidi w:val="1"/>
        <w:spacing w:line="312" w:lineRule="auto" w:before="0" w:after="80"/>
        <w:ind w:right="340"/>
        <w:jc w:val="both"/>
      </w:pPr>
      <w:r>
        <w:rPr>
          <w:rFonts w:ascii="Times New Roman" w:hAnsi="Times New Roman" w:cs="B Nazanin"/>
          <w:sz w:val="22"/>
          <w:szCs w:val="26"/>
          <w:rtl w:val="1"/>
          <w:b/>
          <w:bCs/>
          <w:color w:val="b08d3f"/>
        </w:rPr>
        <w:t xml:space="preserve">◄ </w:t>
      </w:r>
      <w:r>
        <w:rPr>
          <w:rFonts w:ascii="Times New Roman" w:hAnsi="Times New Roman" w:cs="B Nazanin"/>
          <w:sz w:val="22"/>
          <w:szCs w:val="26"/>
          <w:rtl w:val="1"/>
        </w:rPr>
        <w:t>تأکید بر نقش پیمان به عنوان «متن چتر» و تکمیل‌کننده MEAها، رویکردی نوین برای حل مشکل پراکندگی ارائه می‌دهد که می‌تواند به نوآوری رساله کمک کند.</w:t>
      </w:r>
    </w:p>
    <w:p>
      <w:pPr>
        <w:bidi w:val="1"/>
        <w:spacing w:line="312" w:lineRule="auto" w:before="0" w:after="80"/>
        <w:ind w:right="340"/>
        <w:jc w:val="both"/>
      </w:pPr>
      <w:r>
        <w:rPr>
          <w:rFonts w:ascii="Times New Roman" w:hAnsi="Times New Roman" w:cs="B Nazanin"/>
          <w:sz w:val="22"/>
          <w:szCs w:val="26"/>
          <w:rtl w:val="1"/>
          <w:b/>
          <w:bCs/>
          <w:color w:val="b08d3f"/>
        </w:rPr>
        <w:t xml:space="preserve">◄ </w:t>
      </w:r>
      <w:r>
        <w:rPr>
          <w:rFonts w:ascii="Times New Roman" w:hAnsi="Times New Roman" w:cs="B Nazanin"/>
          <w:sz w:val="22"/>
          <w:szCs w:val="26"/>
          <w:rtl w:val="1"/>
        </w:rPr>
        <w:t>این منبع با ارائه دیدگاه‌های تحلیلی و نقد و بررسی پیمان جهانی محیط زیست، می‌تواند به تقویت جنبه نوآورانه رساله در تحلیل پتانسیل‌های این پیمان برای ایجاد نظم و انسجام در حقوق بین‌الملل محیط زیست کمک کند. همچنین، با اشاره به تلاش‌های قبلی و وضعیت فعلی MEAها، زمینه را برای ارائه راهکارهای جدید فراهم می‌آورد.</w:t>
      </w:r>
    </w:p>
    <w:p>
      <w:pPr>
        <w:bidi w:val="1"/>
        <w:spacing w:line="312" w:lineRule="auto" w:before="0" w:after="80"/>
        <w:ind w:right="340"/>
        <w:jc w:val="both"/>
      </w:pPr>
      <w:r>
        <w:rPr>
          <w:rFonts w:ascii="Times New Roman" w:hAnsi="Times New Roman" w:cs="B Nazanin"/>
          <w:sz w:val="22"/>
          <w:szCs w:val="26"/>
          <w:rtl w:val="1"/>
          <w:b/>
          <w:bCs/>
          <w:color w:val="b08d3f"/>
        </w:rPr>
        <w:t xml:space="preserve">◄ </w:t>
      </w:r>
      <w:r>
        <w:rPr>
          <w:rFonts w:ascii="Times New Roman" w:hAnsi="Times New Roman" w:cs="B Nazanin"/>
          <w:sz w:val="22"/>
          <w:szCs w:val="26"/>
          <w:rtl w:val="1"/>
        </w:rPr>
        <w:t>این منبع با ارائه یک چارچوب مفهومی قوی برای پیمان جهانی محیط زیست، می‌تواند به تقویت نوآوری رساله در تحلیل ارزش افزوده و تأثیرات ساختاری پیمان کمک کند.</w:t>
      </w:r>
    </w:p>
    <w:p>
      <w:pPr>
        <w:bidi w:val="1"/>
        <w:spacing w:line="312" w:lineRule="auto" w:before="0" w:after="80"/>
        <w:ind w:right="340"/>
        <w:jc w:val="both"/>
      </w:pPr>
      <w:r>
        <w:rPr>
          <w:rFonts w:ascii="Times New Roman" w:hAnsi="Times New Roman" w:cs="B Nazanin"/>
          <w:sz w:val="22"/>
          <w:szCs w:val="26"/>
          <w:rtl w:val="1"/>
          <w:b/>
          <w:bCs/>
          <w:color w:val="b08d3f"/>
        </w:rPr>
        <w:t xml:space="preserve">◄ </w:t>
      </w:r>
      <w:r>
        <w:rPr>
          <w:rFonts w:ascii="Times New Roman" w:hAnsi="Times New Roman" w:cs="B Nazanin"/>
          <w:sz w:val="22"/>
          <w:szCs w:val="26"/>
          <w:rtl w:val="1"/>
        </w:rPr>
        <w:t>با تأکید بر تبدیل حقوق نرم به سخت، می‌تواند به نوآوری در بررسی ابعاد حقوقی و اجرایی پیمان کمک کند.</w:t>
      </w:r>
    </w:p>
    <w:p>
      <w:r>
        <w:br w:type="page"/>
      </w:r>
    </w:p>
    <w:p>
      <w:pPr>
        <w:shd w:val="clear" w:color="auto" w:fill="123a52"/>
        <w:pBdr>
          <w:top w:val="single" w:sz="2" w:space="6" w:color="123a52"/>
          <w:bottom w:val="single" w:sz="2" w:space="6" w:color="123a52"/>
          <w:left w:val="single" w:sz="2" w:space="6" w:color="123a52"/>
          <w:right w:val="single" w:sz="2" w:space="6" w:color="123a52"/>
        </w:pBdr>
        <w:bidi w:val="1"/>
        <w:spacing w:line="312" w:lineRule="auto" w:before="0" w:after="160"/>
        <w:ind w:right="57" w:left="57"/>
        <w:jc w:val="right"/>
      </w:pPr>
      <w:r>
        <w:rPr>
          <w:rFonts w:ascii="Times New Roman" w:hAnsi="Times New Roman" w:cs="B Nazanin"/>
          <w:sz w:val="24"/>
          <w:szCs w:val="32"/>
          <w:rtl w:val="1"/>
          <w:b/>
          <w:bCs/>
          <w:color w:val="ffffff"/>
        </w:rPr>
        <w:t>۸) مقالاتِ عمیقاً کاویده‌شده: پوششِ کامل ۳۸ مقاله</w:t>
      </w:r>
    </w:p>
    <w:p>
      <w:pPr>
        <w:bidi w:val="1"/>
        <w:spacing w:line="312" w:lineRule="auto" w:before="0" w:after="120"/>
        <w:ind w:firstLine="340"/>
        <w:jc w:val="both"/>
      </w:pPr>
      <w:r>
        <w:rPr>
          <w:rFonts w:ascii="Times New Roman" w:hAnsi="Times New Roman" w:cs="B Nazanin"/>
          <w:sz w:val="22"/>
          <w:szCs w:val="28"/>
          <w:rtl w:val="1"/>
        </w:rPr>
        <w:t>مهم‌ترین گنجینهٔ نامُستفاد، ۳۸ مقالهٔ کلیدی بود که هر یک به‌صورتِ عمیق داده‌کاوی شده و یافته/نقطهٔ قوت/نقطهٔ ضعفِ آن استخراج شده بود؛ اما در پیش‌نویسِ نخست تنها ۲۱ مقاله استناد شده بود. اکنون هر ۳۸ مقاله در بدنه و فهرستِ منابع استناد شده‌اند. فهرستِ فشرده:</w:t>
      </w:r>
    </w:p>
    <w:p>
      <w:pPr>
        <w:pBdr>
          <w:bottom w:val="single" w:sz="4" w:space="2" w:color="dfe6ee"/>
        </w:pBdr>
        <w:bidi w:val="1"/>
        <w:spacing w:line="312" w:lineRule="auto" w:before="0" w:after="40"/>
        <w:ind w:right="113"/>
        <w:jc w:val="right"/>
      </w:pPr>
      <w:r>
        <w:rPr>
          <w:rFonts w:ascii="Times New Roman" w:hAnsi="Times New Roman" w:cs="B Nazanin"/>
          <w:sz w:val="20"/>
          <w:szCs w:val="24"/>
          <w:rtl w:val="1"/>
          <w:b/>
          <w:bCs/>
          <w:color w:val="b08d3f"/>
        </w:rPr>
        <w:t xml:space="preserve">۱. </w:t>
      </w:r>
      <w:r>
        <w:rPr>
          <w:rFonts w:ascii="Times New Roman" w:hAnsi="Times New Roman" w:cs="B Nazanin"/>
          <w:sz w:val="20"/>
          <w:szCs w:val="22"/>
          <w:rtl w:val="1"/>
        </w:rPr>
        <w:t>Kotzé, L.J. &amp; French, D. (۲۰۱۸) — A critique of the Global Pact for the Environment: a stillborn initiative or the foundation for Lex Anthropocenae?</w:t>
      </w:r>
    </w:p>
    <w:p>
      <w:pPr>
        <w:pBdr>
          <w:bottom w:val="single" w:sz="4" w:space="2" w:color="dfe6ee"/>
        </w:pBdr>
        <w:bidi w:val="1"/>
        <w:spacing w:line="312" w:lineRule="auto" w:before="0" w:after="40"/>
        <w:ind w:right="113"/>
        <w:jc w:val="right"/>
      </w:pPr>
      <w:r>
        <w:rPr>
          <w:rFonts w:ascii="Times New Roman" w:hAnsi="Times New Roman" w:cs="B Nazanin"/>
          <w:sz w:val="20"/>
          <w:szCs w:val="24"/>
          <w:rtl w:val="1"/>
          <w:b/>
          <w:bCs/>
          <w:color w:val="b08d3f"/>
        </w:rPr>
        <w:t xml:space="preserve">۲. </w:t>
      </w:r>
      <w:r>
        <w:rPr>
          <w:rFonts w:ascii="Times New Roman" w:hAnsi="Times New Roman" w:cs="B Nazanin"/>
          <w:sz w:val="20"/>
          <w:szCs w:val="22"/>
          <w:rtl w:val="1"/>
        </w:rPr>
        <w:t>French, D. &amp; Kotzé, L.J. (۲۰۱۹) — ‘Towards a Global Pact for the Environment’: International environmental law’s factual, technical and (unmentionable) normative gaps</w:t>
      </w:r>
    </w:p>
    <w:p>
      <w:pPr>
        <w:pBdr>
          <w:bottom w:val="single" w:sz="4" w:space="2" w:color="dfe6ee"/>
        </w:pBdr>
        <w:bidi w:val="1"/>
        <w:spacing w:line="312" w:lineRule="auto" w:before="0" w:after="40"/>
        <w:ind w:right="113"/>
        <w:jc w:val="right"/>
      </w:pPr>
      <w:r>
        <w:rPr>
          <w:rFonts w:ascii="Times New Roman" w:hAnsi="Times New Roman" w:cs="B Nazanin"/>
          <w:sz w:val="20"/>
          <w:szCs w:val="24"/>
          <w:rtl w:val="1"/>
          <w:b/>
          <w:bCs/>
          <w:color w:val="b08d3f"/>
        </w:rPr>
        <w:t xml:space="preserve">۳. </w:t>
      </w:r>
      <w:r>
        <w:rPr>
          <w:rFonts w:ascii="Times New Roman" w:hAnsi="Times New Roman" w:cs="B Nazanin"/>
          <w:sz w:val="20"/>
          <w:szCs w:val="22"/>
          <w:rtl w:val="1"/>
        </w:rPr>
        <w:t>Kim, R.E. &amp; Bosselmann, K. (۲۰۱۳) — International Environmental Law in the Anthropocene: Towards a Purposive System of Multilateral Environmental Agreements</w:t>
      </w:r>
    </w:p>
    <w:p>
      <w:pPr>
        <w:pBdr>
          <w:bottom w:val="single" w:sz="4" w:space="2" w:color="dfe6ee"/>
        </w:pBdr>
        <w:bidi w:val="1"/>
        <w:spacing w:line="312" w:lineRule="auto" w:before="0" w:after="40"/>
        <w:ind w:right="113"/>
        <w:jc w:val="right"/>
      </w:pPr>
      <w:r>
        <w:rPr>
          <w:rFonts w:ascii="Times New Roman" w:hAnsi="Times New Roman" w:cs="B Nazanin"/>
          <w:sz w:val="20"/>
          <w:szCs w:val="24"/>
          <w:rtl w:val="1"/>
          <w:b/>
          <w:bCs/>
          <w:color w:val="b08d3f"/>
        </w:rPr>
        <w:t xml:space="preserve">۴. </w:t>
      </w:r>
      <w:r>
        <w:rPr>
          <w:rFonts w:ascii="Times New Roman" w:hAnsi="Times New Roman" w:cs="B Nazanin"/>
          <w:sz w:val="20"/>
          <w:szCs w:val="22"/>
          <w:rtl w:val="1"/>
        </w:rPr>
        <w:t>Kotzé, L.J. (۲۰۱۹) — A Global Environmental Constitution for the Anthropocene?</w:t>
      </w:r>
    </w:p>
    <w:p>
      <w:pPr>
        <w:pBdr>
          <w:bottom w:val="single" w:sz="4" w:space="2" w:color="dfe6ee"/>
        </w:pBdr>
        <w:bidi w:val="1"/>
        <w:spacing w:line="312" w:lineRule="auto" w:before="0" w:after="40"/>
        <w:ind w:right="113"/>
        <w:jc w:val="right"/>
      </w:pPr>
      <w:r>
        <w:rPr>
          <w:rFonts w:ascii="Times New Roman" w:hAnsi="Times New Roman" w:cs="B Nazanin"/>
          <w:sz w:val="20"/>
          <w:szCs w:val="24"/>
          <w:rtl w:val="1"/>
          <w:b/>
          <w:bCs/>
          <w:color w:val="b08d3f"/>
        </w:rPr>
        <w:t xml:space="preserve">۵. </w:t>
      </w:r>
      <w:r>
        <w:rPr>
          <w:rFonts w:ascii="Times New Roman" w:hAnsi="Times New Roman" w:cs="B Nazanin"/>
          <w:sz w:val="20"/>
          <w:szCs w:val="22"/>
          <w:rtl w:val="1"/>
        </w:rPr>
        <w:t>Aguila, Y. &amp; Viñuales, J.E. (eds.) (۲۰۱۹) — A Global Pact for the Environment: Legal Foundations</w:t>
      </w:r>
    </w:p>
    <w:p>
      <w:pPr>
        <w:pBdr>
          <w:bottom w:val="single" w:sz="4" w:space="2" w:color="dfe6ee"/>
        </w:pBdr>
        <w:bidi w:val="1"/>
        <w:spacing w:line="312" w:lineRule="auto" w:before="0" w:after="40"/>
        <w:ind w:right="113"/>
        <w:jc w:val="right"/>
      </w:pPr>
      <w:r>
        <w:rPr>
          <w:rFonts w:ascii="Times New Roman" w:hAnsi="Times New Roman" w:cs="B Nazanin"/>
          <w:sz w:val="20"/>
          <w:szCs w:val="24"/>
          <w:rtl w:val="1"/>
          <w:b/>
          <w:bCs/>
          <w:color w:val="b08d3f"/>
        </w:rPr>
        <w:t xml:space="preserve">۶. </w:t>
      </w:r>
      <w:r>
        <w:rPr>
          <w:rFonts w:ascii="Times New Roman" w:hAnsi="Times New Roman" w:cs="B Nazanin"/>
          <w:sz w:val="20"/>
          <w:szCs w:val="22"/>
          <w:rtl w:val="1"/>
        </w:rPr>
        <w:t>Tigre, M.A. (ELI) (۲۰۲۰) — Gaps in International Environmental Law: Toward a Global Pact for the Environment</w:t>
      </w:r>
    </w:p>
    <w:p>
      <w:pPr>
        <w:pBdr>
          <w:bottom w:val="single" w:sz="4" w:space="2" w:color="dfe6ee"/>
        </w:pBdr>
        <w:bidi w:val="1"/>
        <w:spacing w:line="312" w:lineRule="auto" w:before="0" w:after="40"/>
        <w:ind w:right="113"/>
        <w:jc w:val="right"/>
      </w:pPr>
      <w:r>
        <w:rPr>
          <w:rFonts w:ascii="Times New Roman" w:hAnsi="Times New Roman" w:cs="B Nazanin"/>
          <w:sz w:val="20"/>
          <w:szCs w:val="24"/>
          <w:rtl w:val="1"/>
          <w:b/>
          <w:bCs/>
          <w:color w:val="b08d3f"/>
        </w:rPr>
        <w:t xml:space="preserve">۷. </w:t>
      </w:r>
      <w:r>
        <w:rPr>
          <w:rFonts w:ascii="Times New Roman" w:hAnsi="Times New Roman" w:cs="B Nazanin"/>
          <w:sz w:val="20"/>
          <w:szCs w:val="22"/>
          <w:rtl w:val="1"/>
        </w:rPr>
        <w:t>Biermann, F. &amp; Kim, R.E. (۲۰۲۰) — The Boundaries of the Planetary Boundary Framework: A Critical Appraisal of Approaches to Define a ‘Safe Operating Space’ for Humanity</w:t>
      </w:r>
    </w:p>
    <w:p>
      <w:pPr>
        <w:pBdr>
          <w:bottom w:val="single" w:sz="4" w:space="2" w:color="dfe6ee"/>
        </w:pBdr>
        <w:bidi w:val="1"/>
        <w:spacing w:line="312" w:lineRule="auto" w:before="0" w:after="40"/>
        <w:ind w:right="113"/>
        <w:jc w:val="right"/>
      </w:pPr>
      <w:r>
        <w:rPr>
          <w:rFonts w:ascii="Times New Roman" w:hAnsi="Times New Roman" w:cs="B Nazanin"/>
          <w:sz w:val="20"/>
          <w:szCs w:val="24"/>
          <w:rtl w:val="1"/>
          <w:b/>
          <w:bCs/>
          <w:color w:val="b08d3f"/>
        </w:rPr>
        <w:t xml:space="preserve">۸. </w:t>
      </w:r>
      <w:r>
        <w:rPr>
          <w:rFonts w:ascii="Times New Roman" w:hAnsi="Times New Roman" w:cs="B Nazanin"/>
          <w:sz w:val="20"/>
          <w:szCs w:val="22"/>
          <w:rtl w:val="1"/>
        </w:rPr>
        <w:t>Yang, T. &amp; Percival, R.V. (۲۰۰۹) — The Emergence of Global Environmental Law</w:t>
      </w:r>
    </w:p>
    <w:p>
      <w:pPr>
        <w:pBdr>
          <w:bottom w:val="single" w:sz="4" w:space="2" w:color="dfe6ee"/>
        </w:pBdr>
        <w:bidi w:val="1"/>
        <w:spacing w:line="312" w:lineRule="auto" w:before="0" w:after="40"/>
        <w:ind w:right="113"/>
        <w:jc w:val="right"/>
      </w:pPr>
      <w:r>
        <w:rPr>
          <w:rFonts w:ascii="Times New Roman" w:hAnsi="Times New Roman" w:cs="B Nazanin"/>
          <w:sz w:val="20"/>
          <w:szCs w:val="24"/>
          <w:rtl w:val="1"/>
          <w:b/>
          <w:bCs/>
          <w:color w:val="b08d3f"/>
        </w:rPr>
        <w:t xml:space="preserve">۹. </w:t>
      </w:r>
      <w:r>
        <w:rPr>
          <w:rFonts w:ascii="Times New Roman" w:hAnsi="Times New Roman" w:cs="B Nazanin"/>
          <w:sz w:val="20"/>
          <w:szCs w:val="22"/>
          <w:rtl w:val="1"/>
        </w:rPr>
        <w:t>Aguila, Y. &amp; Viñuales, J.E. (۲۰۱۹) — A Global Pact for the Environment: Conceptual foundations</w:t>
      </w:r>
    </w:p>
    <w:p>
      <w:pPr>
        <w:pBdr>
          <w:bottom w:val="single" w:sz="4" w:space="2" w:color="dfe6ee"/>
        </w:pBdr>
        <w:bidi w:val="1"/>
        <w:spacing w:line="312" w:lineRule="auto" w:before="0" w:after="40"/>
        <w:ind w:right="113"/>
        <w:jc w:val="right"/>
      </w:pPr>
      <w:r>
        <w:rPr>
          <w:rFonts w:ascii="Times New Roman" w:hAnsi="Times New Roman" w:cs="B Nazanin"/>
          <w:sz w:val="20"/>
          <w:szCs w:val="24"/>
          <w:rtl w:val="1"/>
          <w:b/>
          <w:bCs/>
          <w:color w:val="b08d3f"/>
        </w:rPr>
        <w:t xml:space="preserve">۱۰. </w:t>
      </w:r>
      <w:r>
        <w:rPr>
          <w:rFonts w:ascii="Times New Roman" w:hAnsi="Times New Roman" w:cs="B Nazanin"/>
          <w:sz w:val="20"/>
          <w:szCs w:val="22"/>
          <w:rtl w:val="1"/>
        </w:rPr>
        <w:t>Bodansky, D. (۲۰۱۰) — The Art and Craft of International Environmental Law</w:t>
      </w:r>
    </w:p>
    <w:p>
      <w:pPr>
        <w:pBdr>
          <w:bottom w:val="single" w:sz="4" w:space="2" w:color="dfe6ee"/>
        </w:pBdr>
        <w:bidi w:val="1"/>
        <w:spacing w:line="312" w:lineRule="auto" w:before="0" w:after="40"/>
        <w:ind w:right="113"/>
        <w:jc w:val="right"/>
      </w:pPr>
      <w:r>
        <w:rPr>
          <w:rFonts w:ascii="Times New Roman" w:hAnsi="Times New Roman" w:cs="B Nazanin"/>
          <w:sz w:val="20"/>
          <w:szCs w:val="24"/>
          <w:rtl w:val="1"/>
          <w:b/>
          <w:bCs/>
          <w:color w:val="b08d3f"/>
        </w:rPr>
        <w:t xml:space="preserve">۱۱. </w:t>
      </w:r>
      <w:r>
        <w:rPr>
          <w:rFonts w:ascii="Times New Roman" w:hAnsi="Times New Roman" w:cs="B Nazanin"/>
          <w:sz w:val="20"/>
          <w:szCs w:val="22"/>
          <w:rtl w:val="1"/>
        </w:rPr>
        <w:t>Kotzé, L.J. (۲۰۲۰) — Arguing Global Environmental Constitutionalism</w:t>
      </w:r>
    </w:p>
    <w:p>
      <w:pPr>
        <w:pBdr>
          <w:bottom w:val="single" w:sz="4" w:space="2" w:color="dfe6ee"/>
        </w:pBdr>
        <w:bidi w:val="1"/>
        <w:spacing w:line="312" w:lineRule="auto" w:before="0" w:after="40"/>
        <w:ind w:right="113"/>
        <w:jc w:val="right"/>
      </w:pPr>
      <w:r>
        <w:rPr>
          <w:rFonts w:ascii="Times New Roman" w:hAnsi="Times New Roman" w:cs="B Nazanin"/>
          <w:sz w:val="20"/>
          <w:szCs w:val="24"/>
          <w:rtl w:val="1"/>
          <w:b/>
          <w:bCs/>
          <w:color w:val="b08d3f"/>
        </w:rPr>
        <w:t xml:space="preserve">۱۲. </w:t>
      </w:r>
      <w:r>
        <w:rPr>
          <w:rFonts w:ascii="Times New Roman" w:hAnsi="Times New Roman" w:cs="B Nazanin"/>
          <w:sz w:val="20"/>
          <w:szCs w:val="22"/>
          <w:rtl w:val="1"/>
        </w:rPr>
        <w:t>Vidal, O. / MDPI (۲۰۲۰) — Rethinking the Global Pact for the Environment: Ambitions, Realities and Alternatives</w:t>
      </w:r>
    </w:p>
    <w:p>
      <w:pPr>
        <w:pBdr>
          <w:bottom w:val="single" w:sz="4" w:space="2" w:color="dfe6ee"/>
        </w:pBdr>
        <w:bidi w:val="1"/>
        <w:spacing w:line="312" w:lineRule="auto" w:before="0" w:after="40"/>
        <w:ind w:right="113"/>
        <w:jc w:val="right"/>
      </w:pPr>
      <w:r>
        <w:rPr>
          <w:rFonts w:ascii="Times New Roman" w:hAnsi="Times New Roman" w:cs="B Nazanin"/>
          <w:sz w:val="20"/>
          <w:szCs w:val="24"/>
          <w:rtl w:val="1"/>
          <w:b/>
          <w:bCs/>
          <w:color w:val="b08d3f"/>
        </w:rPr>
        <w:t xml:space="preserve">۱۳. </w:t>
      </w:r>
      <w:r>
        <w:rPr>
          <w:rFonts w:ascii="Times New Roman" w:hAnsi="Times New Roman" w:cs="B Nazanin"/>
          <w:sz w:val="20"/>
          <w:szCs w:val="22"/>
          <w:rtl w:val="1"/>
        </w:rPr>
        <w:t>Boyle, A. &amp; Redgwell, C. (۲۰۲۱) — Birnie, Boyle &amp; Redgwell’s International Law and the Environment (4th ed.)</w:t>
      </w:r>
    </w:p>
    <w:p>
      <w:pPr>
        <w:pBdr>
          <w:bottom w:val="single" w:sz="4" w:space="2" w:color="dfe6ee"/>
        </w:pBdr>
        <w:bidi w:val="1"/>
        <w:spacing w:line="312" w:lineRule="auto" w:before="0" w:after="40"/>
        <w:ind w:right="113"/>
        <w:jc w:val="right"/>
      </w:pPr>
      <w:r>
        <w:rPr>
          <w:rFonts w:ascii="Times New Roman" w:hAnsi="Times New Roman" w:cs="B Nazanin"/>
          <w:sz w:val="20"/>
          <w:szCs w:val="24"/>
          <w:rtl w:val="1"/>
          <w:b/>
          <w:bCs/>
          <w:color w:val="b08d3f"/>
        </w:rPr>
        <w:t xml:space="preserve">۱۴. </w:t>
      </w:r>
      <w:r>
        <w:rPr>
          <w:rFonts w:ascii="Times New Roman" w:hAnsi="Times New Roman" w:cs="B Nazanin"/>
          <w:sz w:val="20"/>
          <w:szCs w:val="22"/>
          <w:rtl w:val="1"/>
        </w:rPr>
        <w:t>Dupuy, P.-M. &amp; Viñuales, J.E. (۲۰۱۸) — International Environmental Law (2nd ed.)</w:t>
      </w:r>
    </w:p>
    <w:p>
      <w:pPr>
        <w:pBdr>
          <w:bottom w:val="single" w:sz="4" w:space="2" w:color="dfe6ee"/>
        </w:pBdr>
        <w:bidi w:val="1"/>
        <w:spacing w:line="312" w:lineRule="auto" w:before="0" w:after="40"/>
        <w:ind w:right="113"/>
        <w:jc w:val="right"/>
      </w:pPr>
      <w:r>
        <w:rPr>
          <w:rFonts w:ascii="Times New Roman" w:hAnsi="Times New Roman" w:cs="B Nazanin"/>
          <w:sz w:val="20"/>
          <w:szCs w:val="24"/>
          <w:rtl w:val="1"/>
          <w:b/>
          <w:bCs/>
          <w:color w:val="b08d3f"/>
        </w:rPr>
        <w:t xml:space="preserve">۱۵. </w:t>
      </w:r>
      <w:r>
        <w:rPr>
          <w:rFonts w:ascii="Times New Roman" w:hAnsi="Times New Roman" w:cs="B Nazanin"/>
          <w:sz w:val="20"/>
          <w:szCs w:val="22"/>
          <w:rtl w:val="1"/>
        </w:rPr>
        <w:t>Sands, P. &amp; Peel, J. (۲۰۱۸) — Principles of International Environmental Law (4th ed.)</w:t>
      </w:r>
    </w:p>
    <w:p>
      <w:pPr>
        <w:pBdr>
          <w:bottom w:val="single" w:sz="4" w:space="2" w:color="dfe6ee"/>
        </w:pBdr>
        <w:bidi w:val="1"/>
        <w:spacing w:line="312" w:lineRule="auto" w:before="0" w:after="40"/>
        <w:ind w:right="113"/>
        <w:jc w:val="right"/>
      </w:pPr>
      <w:r>
        <w:rPr>
          <w:rFonts w:ascii="Times New Roman" w:hAnsi="Times New Roman" w:cs="B Nazanin"/>
          <w:sz w:val="20"/>
          <w:szCs w:val="24"/>
          <w:rtl w:val="1"/>
          <w:b/>
          <w:bCs/>
          <w:color w:val="b08d3f"/>
        </w:rPr>
        <w:t xml:space="preserve">۱۶. </w:t>
      </w:r>
      <w:r>
        <w:rPr>
          <w:rFonts w:ascii="Times New Roman" w:hAnsi="Times New Roman" w:cs="B Nazanin"/>
          <w:sz w:val="20"/>
          <w:szCs w:val="22"/>
          <w:rtl w:val="1"/>
        </w:rPr>
        <w:t>Chan, N. (۲۰۲۱) — Beyond delegation size: Developing country negotiating capacity and NGO ‘support’ in international climate negotiations</w:t>
      </w:r>
    </w:p>
    <w:p>
      <w:pPr>
        <w:pBdr>
          <w:bottom w:val="single" w:sz="4" w:space="2" w:color="dfe6ee"/>
        </w:pBdr>
        <w:bidi w:val="1"/>
        <w:spacing w:line="312" w:lineRule="auto" w:before="0" w:after="40"/>
        <w:ind w:right="113"/>
        <w:jc w:val="right"/>
      </w:pPr>
      <w:r>
        <w:rPr>
          <w:rFonts w:ascii="Times New Roman" w:hAnsi="Times New Roman" w:cs="B Nazanin"/>
          <w:sz w:val="20"/>
          <w:szCs w:val="24"/>
          <w:rtl w:val="1"/>
          <w:b/>
          <w:bCs/>
          <w:color w:val="b08d3f"/>
        </w:rPr>
        <w:t xml:space="preserve">۱۷. </w:t>
      </w:r>
      <w:r>
        <w:rPr>
          <w:rFonts w:ascii="Times New Roman" w:hAnsi="Times New Roman" w:cs="B Nazanin"/>
          <w:sz w:val="20"/>
          <w:szCs w:val="22"/>
          <w:rtl w:val="1"/>
        </w:rPr>
        <w:t>Pedersen, O.W. (۲۰۱۹) — The Global Pact for the Environment: An Assessment</w:t>
      </w:r>
    </w:p>
    <w:p>
      <w:pPr>
        <w:pBdr>
          <w:bottom w:val="single" w:sz="4" w:space="2" w:color="dfe6ee"/>
        </w:pBdr>
        <w:bidi w:val="1"/>
        <w:spacing w:line="312" w:lineRule="auto" w:before="0" w:after="40"/>
        <w:ind w:right="113"/>
        <w:jc w:val="right"/>
      </w:pPr>
      <w:r>
        <w:rPr>
          <w:rFonts w:ascii="Times New Roman" w:hAnsi="Times New Roman" w:cs="B Nazanin"/>
          <w:sz w:val="20"/>
          <w:szCs w:val="24"/>
          <w:rtl w:val="1"/>
          <w:b/>
          <w:bCs/>
          <w:color w:val="b08d3f"/>
        </w:rPr>
        <w:t xml:space="preserve">۱۸. </w:t>
      </w:r>
      <w:r>
        <w:rPr>
          <w:rFonts w:ascii="Times New Roman" w:hAnsi="Times New Roman" w:cs="B Nazanin"/>
          <w:sz w:val="20"/>
          <w:szCs w:val="22"/>
          <w:rtl w:val="1"/>
        </w:rPr>
        <w:t>Vinuales, J.E. (۲۰۱۸) — The Organisation of the Anthropocene: In Our Hands?</w:t>
      </w:r>
    </w:p>
    <w:p>
      <w:pPr>
        <w:pBdr>
          <w:bottom w:val="single" w:sz="4" w:space="2" w:color="dfe6ee"/>
        </w:pBdr>
        <w:bidi w:val="1"/>
        <w:spacing w:line="312" w:lineRule="auto" w:before="0" w:after="40"/>
        <w:ind w:right="113"/>
        <w:jc w:val="right"/>
      </w:pPr>
      <w:r>
        <w:rPr>
          <w:rFonts w:ascii="Times New Roman" w:hAnsi="Times New Roman" w:cs="B Nazanin"/>
          <w:sz w:val="20"/>
          <w:szCs w:val="24"/>
          <w:rtl w:val="1"/>
          <w:b/>
          <w:bCs/>
          <w:color w:val="b08d3f"/>
        </w:rPr>
        <w:t xml:space="preserve">۱۹. </w:t>
      </w:r>
      <w:r>
        <w:rPr>
          <w:rFonts w:ascii="Times New Roman" w:hAnsi="Times New Roman" w:cs="B Nazanin"/>
          <w:sz w:val="20"/>
          <w:szCs w:val="22"/>
          <w:rtl w:val="1"/>
        </w:rPr>
        <w:t>Duvic-Paoli, L.-A. (۲۰۱۸) — The Prevention Principle in International Environmental Law</w:t>
      </w:r>
    </w:p>
    <w:p>
      <w:pPr>
        <w:pBdr>
          <w:bottom w:val="single" w:sz="4" w:space="2" w:color="dfe6ee"/>
        </w:pBdr>
        <w:bidi w:val="1"/>
        <w:spacing w:line="312" w:lineRule="auto" w:before="0" w:after="40"/>
        <w:ind w:right="113"/>
        <w:jc w:val="right"/>
      </w:pPr>
      <w:r>
        <w:rPr>
          <w:rFonts w:ascii="Times New Roman" w:hAnsi="Times New Roman" w:cs="B Nazanin"/>
          <w:sz w:val="20"/>
          <w:szCs w:val="24"/>
          <w:rtl w:val="1"/>
          <w:b/>
          <w:bCs/>
          <w:color w:val="b08d3f"/>
        </w:rPr>
        <w:t xml:space="preserve">۲۰. </w:t>
      </w:r>
      <w:r>
        <w:rPr>
          <w:rFonts w:ascii="Times New Roman" w:hAnsi="Times New Roman" w:cs="B Nazanin"/>
          <w:sz w:val="20"/>
          <w:szCs w:val="22"/>
          <w:rtl w:val="1"/>
        </w:rPr>
        <w:t>ILC (Koskenniemi, M.) (۲۰۰۶) — Fragmentation of International Law: Difficulties Arising from the Diversification and Expansion of International Law (A/CN.4/L.682)</w:t>
      </w:r>
    </w:p>
    <w:p>
      <w:pPr>
        <w:pBdr>
          <w:bottom w:val="single" w:sz="4" w:space="2" w:color="dfe6ee"/>
        </w:pBdr>
        <w:bidi w:val="1"/>
        <w:spacing w:line="312" w:lineRule="auto" w:before="0" w:after="40"/>
        <w:ind w:right="113"/>
        <w:jc w:val="right"/>
      </w:pPr>
      <w:r>
        <w:rPr>
          <w:rFonts w:ascii="Times New Roman" w:hAnsi="Times New Roman" w:cs="B Nazanin"/>
          <w:sz w:val="20"/>
          <w:szCs w:val="24"/>
          <w:rtl w:val="1"/>
          <w:b/>
          <w:bCs/>
          <w:color w:val="b08d3f"/>
        </w:rPr>
        <w:t xml:space="preserve">۲۱. </w:t>
      </w:r>
      <w:r>
        <w:rPr>
          <w:rFonts w:ascii="Times New Roman" w:hAnsi="Times New Roman" w:cs="B Nazanin"/>
          <w:sz w:val="20"/>
          <w:szCs w:val="22"/>
          <w:rtl w:val="1"/>
        </w:rPr>
        <w:t>Ivanova, M. (۲۰۲۱) — The Untold Story of the World’s Leading Environmental Institution: UNEP at Fifty</w:t>
      </w:r>
    </w:p>
    <w:p>
      <w:pPr>
        <w:pBdr>
          <w:bottom w:val="single" w:sz="4" w:space="2" w:color="dfe6ee"/>
        </w:pBdr>
        <w:bidi w:val="1"/>
        <w:spacing w:line="312" w:lineRule="auto" w:before="0" w:after="40"/>
        <w:ind w:right="113"/>
        <w:jc w:val="right"/>
      </w:pPr>
      <w:r>
        <w:rPr>
          <w:rFonts w:ascii="Times New Roman" w:hAnsi="Times New Roman" w:cs="B Nazanin"/>
          <w:sz w:val="20"/>
          <w:szCs w:val="24"/>
          <w:rtl w:val="1"/>
          <w:b/>
          <w:bCs/>
          <w:color w:val="b08d3f"/>
        </w:rPr>
        <w:t xml:space="preserve">۲۲. </w:t>
      </w:r>
      <w:r>
        <w:rPr>
          <w:rFonts w:ascii="Times New Roman" w:hAnsi="Times New Roman" w:cs="B Nazanin"/>
          <w:sz w:val="20"/>
          <w:szCs w:val="22"/>
          <w:rtl w:val="1"/>
        </w:rPr>
        <w:t>Knox, J.H. (۲۰۲۰) — Constructing the Human Right to a Healthy Environment</w:t>
      </w:r>
    </w:p>
    <w:p>
      <w:pPr>
        <w:pBdr>
          <w:bottom w:val="single" w:sz="4" w:space="2" w:color="dfe6ee"/>
        </w:pBdr>
        <w:bidi w:val="1"/>
        <w:spacing w:line="312" w:lineRule="auto" w:before="0" w:after="40"/>
        <w:ind w:right="113"/>
        <w:jc w:val="right"/>
      </w:pPr>
      <w:r>
        <w:rPr>
          <w:rFonts w:ascii="Times New Roman" w:hAnsi="Times New Roman" w:cs="B Nazanin"/>
          <w:sz w:val="20"/>
          <w:szCs w:val="24"/>
          <w:rtl w:val="1"/>
          <w:b/>
          <w:bCs/>
          <w:color w:val="b08d3f"/>
        </w:rPr>
        <w:t xml:space="preserve">۲۳. </w:t>
      </w:r>
      <w:r>
        <w:rPr>
          <w:rFonts w:ascii="Times New Roman" w:hAnsi="Times New Roman" w:cs="B Nazanin"/>
          <w:sz w:val="20"/>
          <w:szCs w:val="22"/>
          <w:rtl w:val="1"/>
        </w:rPr>
        <w:t>Bosselmann, K. (۲۰۱۷) — The Principle of Sustainability: Transforming Law and Governance (2nd ed.)</w:t>
      </w:r>
    </w:p>
    <w:p>
      <w:pPr>
        <w:pBdr>
          <w:bottom w:val="single" w:sz="4" w:space="2" w:color="dfe6ee"/>
        </w:pBdr>
        <w:bidi w:val="1"/>
        <w:spacing w:line="312" w:lineRule="auto" w:before="0" w:after="40"/>
        <w:ind w:right="113"/>
        <w:jc w:val="right"/>
      </w:pPr>
      <w:r>
        <w:rPr>
          <w:rFonts w:ascii="Times New Roman" w:hAnsi="Times New Roman" w:cs="B Nazanin"/>
          <w:sz w:val="20"/>
          <w:szCs w:val="24"/>
          <w:rtl w:val="1"/>
          <w:b/>
          <w:bCs/>
          <w:color w:val="b08d3f"/>
        </w:rPr>
        <w:t xml:space="preserve">۲۴. </w:t>
      </w:r>
      <w:r>
        <w:rPr>
          <w:rFonts w:ascii="Times New Roman" w:hAnsi="Times New Roman" w:cs="B Nazanin"/>
          <w:sz w:val="20"/>
          <w:szCs w:val="22"/>
          <w:rtl w:val="1"/>
        </w:rPr>
        <w:t>Doelle, M. &amp; Seck, S. (۲۰۲۰) — Loss and Damage from Climate Change: From Concept to Remedy?</w:t>
      </w:r>
    </w:p>
    <w:p>
      <w:pPr>
        <w:pBdr>
          <w:bottom w:val="single" w:sz="4" w:space="2" w:color="dfe6ee"/>
        </w:pBdr>
        <w:bidi w:val="1"/>
        <w:spacing w:line="312" w:lineRule="auto" w:before="0" w:after="40"/>
        <w:ind w:right="113"/>
        <w:jc w:val="right"/>
      </w:pPr>
      <w:r>
        <w:rPr>
          <w:rFonts w:ascii="Times New Roman" w:hAnsi="Times New Roman" w:cs="B Nazanin"/>
          <w:sz w:val="20"/>
          <w:szCs w:val="24"/>
          <w:rtl w:val="1"/>
          <w:b/>
          <w:bCs/>
          <w:color w:val="b08d3f"/>
        </w:rPr>
        <w:t xml:space="preserve">۲۵. </w:t>
      </w:r>
      <w:r>
        <w:rPr>
          <w:rFonts w:ascii="Times New Roman" w:hAnsi="Times New Roman" w:cs="B Nazanin"/>
          <w:sz w:val="20"/>
          <w:szCs w:val="22"/>
          <w:rtl w:val="1"/>
        </w:rPr>
        <w:t>Aguila, Y. (۲۰۲۰) — A Global Pact for the Environment: The Logical Outcome of 50 Years of International Environmental Law</w:t>
      </w:r>
    </w:p>
    <w:p>
      <w:pPr>
        <w:pBdr>
          <w:bottom w:val="single" w:sz="4" w:space="2" w:color="dfe6ee"/>
        </w:pBdr>
        <w:bidi w:val="1"/>
        <w:spacing w:line="312" w:lineRule="auto" w:before="0" w:after="40"/>
        <w:ind w:right="113"/>
        <w:jc w:val="right"/>
      </w:pPr>
      <w:r>
        <w:rPr>
          <w:rFonts w:ascii="Times New Roman" w:hAnsi="Times New Roman" w:cs="B Nazanin"/>
          <w:sz w:val="20"/>
          <w:szCs w:val="24"/>
          <w:rtl w:val="1"/>
          <w:b/>
          <w:bCs/>
          <w:color w:val="b08d3f"/>
        </w:rPr>
        <w:t xml:space="preserve">۲۶. </w:t>
      </w:r>
      <w:r>
        <w:rPr>
          <w:rFonts w:ascii="Times New Roman" w:hAnsi="Times New Roman" w:cs="B Nazanin"/>
          <w:sz w:val="20"/>
          <w:szCs w:val="22"/>
          <w:rtl w:val="1"/>
        </w:rPr>
        <w:t>Aguila, Y. &amp; Viñuales, J. E. (۲۰۱۹) — A Global Pact for the Environment: Conceptual Foundations</w:t>
      </w:r>
    </w:p>
    <w:p>
      <w:pPr>
        <w:pBdr>
          <w:bottom w:val="single" w:sz="4" w:space="2" w:color="dfe6ee"/>
        </w:pBdr>
        <w:bidi w:val="1"/>
        <w:spacing w:line="312" w:lineRule="auto" w:before="0" w:after="40"/>
        <w:ind w:right="113"/>
        <w:jc w:val="right"/>
      </w:pPr>
      <w:r>
        <w:rPr>
          <w:rFonts w:ascii="Times New Roman" w:hAnsi="Times New Roman" w:cs="B Nazanin"/>
          <w:sz w:val="20"/>
          <w:szCs w:val="24"/>
          <w:rtl w:val="1"/>
          <w:b/>
          <w:bCs/>
          <w:color w:val="b08d3f"/>
        </w:rPr>
        <w:t xml:space="preserve">۲۷. </w:t>
      </w:r>
      <w:r>
        <w:rPr>
          <w:rFonts w:ascii="Times New Roman" w:hAnsi="Times New Roman" w:cs="B Nazanin"/>
          <w:sz w:val="20"/>
          <w:szCs w:val="22"/>
          <w:rtl w:val="1"/>
        </w:rPr>
        <w:t>Aguila, Y. &amp; Viñuales, J. E. (eds.) (۲۰۱۹) — A Global Pact for the Environment: Legal Foundations</w:t>
      </w:r>
    </w:p>
    <w:p>
      <w:pPr>
        <w:pBdr>
          <w:bottom w:val="single" w:sz="4" w:space="2" w:color="dfe6ee"/>
        </w:pBdr>
        <w:bidi w:val="1"/>
        <w:spacing w:line="312" w:lineRule="auto" w:before="0" w:after="40"/>
        <w:ind w:right="113"/>
        <w:jc w:val="right"/>
      </w:pPr>
      <w:r>
        <w:rPr>
          <w:rFonts w:ascii="Times New Roman" w:hAnsi="Times New Roman" w:cs="B Nazanin"/>
          <w:sz w:val="20"/>
          <w:szCs w:val="24"/>
          <w:rtl w:val="1"/>
          <w:b/>
          <w:bCs/>
          <w:color w:val="b08d3f"/>
        </w:rPr>
        <w:t xml:space="preserve">۲۸. </w:t>
      </w:r>
      <w:r>
        <w:rPr>
          <w:rFonts w:ascii="Times New Roman" w:hAnsi="Times New Roman" w:cs="B Nazanin"/>
          <w:sz w:val="20"/>
          <w:szCs w:val="22"/>
          <w:rtl w:val="1"/>
        </w:rPr>
        <w:t>McGarry, B. (۲۰۱۸) — The Global Pact for the Environment: Freshwater and Economic Law Synergies</w:t>
      </w:r>
    </w:p>
    <w:p>
      <w:pPr>
        <w:pBdr>
          <w:bottom w:val="single" w:sz="4" w:space="2" w:color="dfe6ee"/>
        </w:pBdr>
        <w:bidi w:val="1"/>
        <w:spacing w:line="312" w:lineRule="auto" w:before="0" w:after="40"/>
        <w:ind w:right="113"/>
        <w:jc w:val="right"/>
      </w:pPr>
      <w:r>
        <w:rPr>
          <w:rFonts w:ascii="Times New Roman" w:hAnsi="Times New Roman" w:cs="B Nazanin"/>
          <w:sz w:val="20"/>
          <w:szCs w:val="24"/>
          <w:rtl w:val="1"/>
          <w:b/>
          <w:bCs/>
          <w:color w:val="b08d3f"/>
        </w:rPr>
        <w:t xml:space="preserve">۲۹. </w:t>
      </w:r>
      <w:r>
        <w:rPr>
          <w:rFonts w:ascii="Times New Roman" w:hAnsi="Times New Roman" w:cs="B Nazanin"/>
          <w:sz w:val="20"/>
          <w:szCs w:val="22"/>
          <w:rtl w:val="1"/>
        </w:rPr>
        <w:t>Kim, R. E. &amp; Bosselmann, K. (۲۰۱۳) — International Environmental Law in the Anthropocene: Towards a Purposive System of Multilateral Environmental Agreements</w:t>
      </w:r>
    </w:p>
    <w:p>
      <w:pPr>
        <w:pBdr>
          <w:bottom w:val="single" w:sz="4" w:space="2" w:color="dfe6ee"/>
        </w:pBdr>
        <w:bidi w:val="1"/>
        <w:spacing w:line="312" w:lineRule="auto" w:before="0" w:after="40"/>
        <w:ind w:right="113"/>
        <w:jc w:val="right"/>
      </w:pPr>
      <w:r>
        <w:rPr>
          <w:rFonts w:ascii="Times New Roman" w:hAnsi="Times New Roman" w:cs="B Nazanin"/>
          <w:sz w:val="20"/>
          <w:szCs w:val="24"/>
          <w:rtl w:val="1"/>
          <w:b/>
          <w:bCs/>
          <w:color w:val="b08d3f"/>
        </w:rPr>
        <w:t xml:space="preserve">۳۰. </w:t>
      </w:r>
      <w:r>
        <w:rPr>
          <w:rFonts w:ascii="Times New Roman" w:hAnsi="Times New Roman" w:cs="B Nazanin"/>
          <w:sz w:val="20"/>
          <w:szCs w:val="22"/>
          <w:rtl w:val="1"/>
        </w:rPr>
        <w:t>Sand, P. H. &amp; McGee, J. (۲۰۲۲) — International Environmental Governance: Managing Fragmentation through Institutional Connection</w:t>
      </w:r>
    </w:p>
    <w:p>
      <w:pPr>
        <w:pBdr>
          <w:bottom w:val="single" w:sz="4" w:space="2" w:color="dfe6ee"/>
        </w:pBdr>
        <w:bidi w:val="1"/>
        <w:spacing w:line="312" w:lineRule="auto" w:before="0" w:after="40"/>
        <w:ind w:right="113"/>
        <w:jc w:val="right"/>
      </w:pPr>
      <w:r>
        <w:rPr>
          <w:rFonts w:ascii="Times New Roman" w:hAnsi="Times New Roman" w:cs="B Nazanin"/>
          <w:sz w:val="20"/>
          <w:szCs w:val="24"/>
          <w:rtl w:val="1"/>
          <w:b/>
          <w:bCs/>
          <w:color w:val="b08d3f"/>
        </w:rPr>
        <w:t xml:space="preserve">۳۱. </w:t>
      </w:r>
      <w:r>
        <w:rPr>
          <w:rFonts w:ascii="Times New Roman" w:hAnsi="Times New Roman" w:cs="B Nazanin"/>
          <w:sz w:val="20"/>
          <w:szCs w:val="22"/>
          <w:rtl w:val="1"/>
        </w:rPr>
        <w:t>Kotzé, L. J. &amp; French, D. (۲۰۱۸) — The Anthropocene's Global Environmental Constitutional Moment (companion analysis)</w:t>
      </w:r>
    </w:p>
    <w:p>
      <w:pPr>
        <w:pBdr>
          <w:bottom w:val="single" w:sz="4" w:space="2" w:color="dfe6ee"/>
        </w:pBdr>
        <w:bidi w:val="1"/>
        <w:spacing w:line="312" w:lineRule="auto" w:before="0" w:after="40"/>
        <w:ind w:right="113"/>
        <w:jc w:val="right"/>
      </w:pPr>
      <w:r>
        <w:rPr>
          <w:rFonts w:ascii="Times New Roman" w:hAnsi="Times New Roman" w:cs="B Nazanin"/>
          <w:sz w:val="20"/>
          <w:szCs w:val="24"/>
          <w:rtl w:val="1"/>
          <w:b/>
          <w:bCs/>
          <w:color w:val="b08d3f"/>
        </w:rPr>
        <w:t xml:space="preserve">۳۲. </w:t>
      </w:r>
      <w:r>
        <w:rPr>
          <w:rFonts w:ascii="Times New Roman" w:hAnsi="Times New Roman" w:cs="B Nazanin"/>
          <w:sz w:val="20"/>
          <w:szCs w:val="22"/>
          <w:rtl w:val="1"/>
        </w:rPr>
        <w:t>UN Secretary-General (۲۰۱۸) — Gaps in international environmental law and environment-related instruments: towards a global pact for the environment</w:t>
      </w:r>
    </w:p>
    <w:p>
      <w:pPr>
        <w:pBdr>
          <w:bottom w:val="single" w:sz="4" w:space="2" w:color="dfe6ee"/>
        </w:pBdr>
        <w:bidi w:val="1"/>
        <w:spacing w:line="312" w:lineRule="auto" w:before="0" w:after="40"/>
        <w:ind w:right="113"/>
        <w:jc w:val="right"/>
      </w:pPr>
      <w:r>
        <w:rPr>
          <w:rFonts w:ascii="Times New Roman" w:hAnsi="Times New Roman" w:cs="B Nazanin"/>
          <w:sz w:val="20"/>
          <w:szCs w:val="24"/>
          <w:rtl w:val="1"/>
          <w:b/>
          <w:bCs/>
          <w:color w:val="b08d3f"/>
        </w:rPr>
        <w:t xml:space="preserve">۳۳. </w:t>
      </w:r>
      <w:r>
        <w:rPr>
          <w:rFonts w:ascii="Times New Roman" w:hAnsi="Times New Roman" w:cs="B Nazanin"/>
          <w:sz w:val="20"/>
          <w:szCs w:val="22"/>
          <w:rtl w:val="1"/>
        </w:rPr>
        <w:t>Tigre, M. A. (۲۰۲۲) — The Evolution of International Environmental Law Amidst Political Gridlock: Environmental Rights as a Common Ground</w:t>
      </w:r>
    </w:p>
    <w:p>
      <w:pPr>
        <w:pBdr>
          <w:bottom w:val="single" w:sz="4" w:space="2" w:color="dfe6ee"/>
        </w:pBdr>
        <w:bidi w:val="1"/>
        <w:spacing w:line="312" w:lineRule="auto" w:before="0" w:after="40"/>
        <w:ind w:right="113"/>
        <w:jc w:val="right"/>
      </w:pPr>
      <w:r>
        <w:rPr>
          <w:rFonts w:ascii="Times New Roman" w:hAnsi="Times New Roman" w:cs="B Nazanin"/>
          <w:sz w:val="20"/>
          <w:szCs w:val="24"/>
          <w:rtl w:val="1"/>
          <w:b/>
          <w:bCs/>
          <w:color w:val="b08d3f"/>
        </w:rPr>
        <w:t xml:space="preserve">۳۴. </w:t>
      </w:r>
      <w:r>
        <w:rPr>
          <w:rFonts w:ascii="Times New Roman" w:hAnsi="Times New Roman" w:cs="B Nazanin"/>
          <w:sz w:val="20"/>
          <w:szCs w:val="22"/>
          <w:rtl w:val="1"/>
        </w:rPr>
        <w:t>⚠ Damoah, B., Keengwe, J. S. &amp; Ofori, E. (۲۰۲۶) — Stalemate in the Anthropocene: Ineffective Treaties and the Struggle for Planetary Governance</w:t>
      </w:r>
    </w:p>
    <w:p>
      <w:pPr>
        <w:pBdr>
          <w:bottom w:val="single" w:sz="4" w:space="2" w:color="dfe6ee"/>
        </w:pBdr>
        <w:bidi w:val="1"/>
        <w:spacing w:line="312" w:lineRule="auto" w:before="0" w:after="40"/>
        <w:ind w:right="113"/>
        <w:jc w:val="right"/>
      </w:pPr>
      <w:r>
        <w:rPr>
          <w:rFonts w:ascii="Times New Roman" w:hAnsi="Times New Roman" w:cs="B Nazanin"/>
          <w:sz w:val="20"/>
          <w:szCs w:val="24"/>
          <w:rtl w:val="1"/>
          <w:b/>
          <w:bCs/>
          <w:color w:val="b08d3f"/>
        </w:rPr>
        <w:t xml:space="preserve">۳۵. </w:t>
      </w:r>
      <w:r>
        <w:rPr>
          <w:rFonts w:ascii="Times New Roman" w:hAnsi="Times New Roman" w:cs="B Nazanin"/>
          <w:sz w:val="20"/>
          <w:szCs w:val="22"/>
          <w:rtl w:val="1"/>
        </w:rPr>
        <w:t>International Law Commission (Study Group; Koskenniemi, M., رئیس) (۲۰۰۶) — Conclusions of the work of the Study Group on the Fragmentation of International Law: Difficulties arising from the Diversification and Expansion of International Law</w:t>
      </w:r>
    </w:p>
    <w:p>
      <w:pPr>
        <w:pBdr>
          <w:bottom w:val="single" w:sz="4" w:space="2" w:color="dfe6ee"/>
        </w:pBdr>
        <w:bidi w:val="1"/>
        <w:spacing w:line="312" w:lineRule="auto" w:before="0" w:after="40"/>
        <w:ind w:right="113"/>
        <w:jc w:val="right"/>
      </w:pPr>
      <w:r>
        <w:rPr>
          <w:rFonts w:ascii="Times New Roman" w:hAnsi="Times New Roman" w:cs="B Nazanin"/>
          <w:sz w:val="20"/>
          <w:szCs w:val="24"/>
          <w:rtl w:val="1"/>
          <w:b/>
          <w:bCs/>
          <w:color w:val="b08d3f"/>
        </w:rPr>
        <w:t xml:space="preserve">۳۶. </w:t>
      </w:r>
      <w:r>
        <w:rPr>
          <w:rFonts w:ascii="Times New Roman" w:hAnsi="Times New Roman" w:cs="B Nazanin"/>
          <w:sz w:val="20"/>
          <w:szCs w:val="22"/>
          <w:rtl w:val="1"/>
        </w:rPr>
        <w:t>Chabason, L. &amp; Hege, E. (۲۰۱۹) — Failure of the Global Pact for the Environment: a missed opportunity or a bullet dodged?</w:t>
      </w:r>
    </w:p>
    <w:p>
      <w:pPr>
        <w:pBdr>
          <w:bottom w:val="single" w:sz="4" w:space="2" w:color="dfe6ee"/>
        </w:pBdr>
        <w:bidi w:val="1"/>
        <w:spacing w:line="312" w:lineRule="auto" w:before="0" w:after="40"/>
        <w:ind w:right="113"/>
        <w:jc w:val="right"/>
      </w:pPr>
      <w:r>
        <w:rPr>
          <w:rFonts w:ascii="Times New Roman" w:hAnsi="Times New Roman" w:cs="B Nazanin"/>
          <w:sz w:val="20"/>
          <w:szCs w:val="24"/>
          <w:rtl w:val="1"/>
          <w:b/>
          <w:bCs/>
          <w:color w:val="b08d3f"/>
        </w:rPr>
        <w:t xml:space="preserve">۳۷. </w:t>
      </w:r>
      <w:r>
        <w:rPr>
          <w:rFonts w:ascii="Times New Roman" w:hAnsi="Times New Roman" w:cs="B Nazanin"/>
          <w:sz w:val="20"/>
          <w:szCs w:val="22"/>
          <w:rtl w:val="1"/>
        </w:rPr>
        <w:t>Tiller, D. (۲۰۱۸) — Are the Aims of the Proposed Global Pact for the Environment Desirable and Will the Pact Add Any Value to International Environmental Law?</w:t>
      </w:r>
    </w:p>
    <w:p>
      <w:pPr>
        <w:pBdr>
          <w:bottom w:val="single" w:sz="4" w:space="2" w:color="dfe6ee"/>
        </w:pBdr>
        <w:bidi w:val="1"/>
        <w:spacing w:line="312" w:lineRule="auto" w:before="0" w:after="40"/>
        <w:ind w:right="113"/>
        <w:jc w:val="right"/>
      </w:pPr>
      <w:r>
        <w:rPr>
          <w:rFonts w:ascii="Times New Roman" w:hAnsi="Times New Roman" w:cs="B Nazanin"/>
          <w:sz w:val="20"/>
          <w:szCs w:val="24"/>
          <w:rtl w:val="1"/>
          <w:b/>
          <w:bCs/>
          <w:color w:val="b08d3f"/>
        </w:rPr>
        <w:t xml:space="preserve">۳۸. </w:t>
      </w:r>
      <w:r>
        <w:rPr>
          <w:rFonts w:ascii="Times New Roman" w:hAnsi="Times New Roman" w:cs="B Nazanin"/>
          <w:sz w:val="20"/>
          <w:szCs w:val="22"/>
          <w:rtl w:val="1"/>
        </w:rPr>
        <w:t>Draft Global Pact for the Environment (پیش‌نویسِ گروهِ حقوق‌دانانِ بین‌المللی) (۲۰۱۷) — Draft Global Pact for the Environment (Projet de Pacte mondial pour l'environnement) — 26 Articles</w:t>
      </w:r>
    </w:p>
    <w:p/>
    <w:p>
      <w:pPr>
        <w:shd w:val="clear" w:color="auto" w:fill="fbeceb"/>
        <w:pBdr>
          <w:right w:val="single" w:sz="18" w:space="6" w:color="b03a2e"/>
        </w:pBdr>
        <w:bidi w:val="1"/>
        <w:spacing w:line="312" w:lineRule="auto" w:before="0" w:after="80"/>
        <w:ind w:right="170" w:left="170"/>
        <w:jc w:val="both"/>
      </w:pPr>
      <w:r>
        <w:rPr>
          <w:rFonts w:ascii="Times New Roman" w:hAnsi="Times New Roman" w:cs="B Nazanin"/>
          <w:sz w:val="22"/>
          <w:szCs w:val="26"/>
          <w:rtl w:val="1"/>
          <w:b/>
          <w:bCs/>
          <w:color w:val="b03a2e"/>
        </w:rPr>
        <w:t xml:space="preserve">⚠ هشدارِ اعتبار: </w:t>
      </w:r>
      <w:r>
        <w:rPr>
          <w:rFonts w:ascii="Times New Roman" w:hAnsi="Times New Roman" w:cs="B Nazanin"/>
          <w:sz w:val="22"/>
          <w:szCs w:val="26"/>
          <w:rtl w:val="1"/>
        </w:rPr>
        <w:t>مقالهٔ داموآ و همکاران (۲۰۲۶) پیش‌چاپِ داوری‌نشده (non-peer-reviewed preprint) است و با علامتِ ⚠ مشخص شده؛ در بدنهٔ رساله همواره با احتیاط و در کنارِ منابعِ داوری‌شده استناد شده است.</w:t>
      </w:r>
    </w:p>
    <w:p>
      <w:r>
        <w:br w:type="page"/>
      </w:r>
    </w:p>
    <w:p>
      <w:pPr>
        <w:shd w:val="clear" w:color="auto" w:fill="123a52"/>
        <w:pBdr>
          <w:top w:val="single" w:sz="2" w:space="6" w:color="123a52"/>
          <w:bottom w:val="single" w:sz="2" w:space="6" w:color="123a52"/>
          <w:left w:val="single" w:sz="2" w:space="6" w:color="123a52"/>
          <w:right w:val="single" w:sz="2" w:space="6" w:color="123a52"/>
        </w:pBdr>
        <w:bidi w:val="1"/>
        <w:spacing w:line="312" w:lineRule="auto" w:before="0" w:after="160"/>
        <w:ind w:right="57" w:left="57"/>
        <w:jc w:val="right"/>
      </w:pPr>
      <w:r>
        <w:rPr>
          <w:rFonts w:ascii="Times New Roman" w:hAnsi="Times New Roman" w:cs="B Nazanin"/>
          <w:sz w:val="24"/>
          <w:szCs w:val="32"/>
          <w:rtl w:val="1"/>
          <w:b/>
          <w:bCs/>
          <w:color w:val="ffffff"/>
        </w:rPr>
        <w:t>۹) جمع‌بندی و ظرفیتِ توسعهٔ آینده</w:t>
      </w:r>
    </w:p>
    <w:p>
      <w:pPr>
        <w:bidi w:val="1"/>
        <w:spacing w:line="312" w:lineRule="auto" w:before="0" w:after="120"/>
        <w:ind w:firstLine="340"/>
        <w:jc w:val="both"/>
      </w:pPr>
      <w:r>
        <w:rPr>
          <w:rFonts w:ascii="Times New Roman" w:hAnsi="Times New Roman" w:cs="B Nazanin"/>
          <w:sz w:val="22"/>
          <w:szCs w:val="28"/>
          <w:rtl w:val="1"/>
        </w:rPr>
        <w:t>غنی‌سازیِ این مرحله، شکافِ اصلیِ بهره‌برداری را پُر کرد: پوششِ مقالاتِ عمیقاً کاویده‌شده به ۱۰۰٪ رسید، شمارِ منابعِ یکتای استنادشده تقریباً دو برابر شد، دو فصلِ کم‌بهرهٔ ۴ و ۵ با پنج گفتارِ نو تقویت شدند، شش یافتهٔ کانونی به نتیجه‌گیری تزریق شد، و ایرادِ فنیِ ارجاعاتِ پانوشت به‌طورِ کامل برطرف گشت.</w:t>
      </w:r>
    </w:p>
    <w:p>
      <w:pPr>
        <w:bidi w:val="1"/>
        <w:spacing w:line="312" w:lineRule="auto" w:before="0" w:after="120"/>
        <w:ind w:firstLine="340"/>
        <w:jc w:val="both"/>
      </w:pPr>
      <w:r>
        <w:rPr>
          <w:rFonts w:ascii="Times New Roman" w:hAnsi="Times New Roman" w:cs="B Nazanin"/>
          <w:sz w:val="22"/>
          <w:szCs w:val="28"/>
          <w:rtl w:val="1"/>
        </w:rPr>
        <w:t>با این‌همه، هنوز ظرفیتِ چشمگیری برای توسعه باقی است: از ۱۹۸ منبعِ نمایه‌شده، همچنان بخشِ بزرگی خارج از حلقهٔ استنادِ مستقیم‌اند و می‌توانند در بازبینی‌های بعدی، به‌ویژه برای پُربارسازیِ گفتارهای فرعیِ فصولِ ۲ و ۳، به‌کار روند. همچنین صدها خلأِ پژوهشی و محورِ نوآوریِ استخراج‌شده، پشتوانهٔ کافی برای مقالاتِ مستقلِ برآمده از رساله فراهم می‌کنند.</w:t>
      </w:r>
    </w:p>
    <w:p>
      <w:pPr>
        <w:bidi w:val="1"/>
        <w:spacing w:line="312" w:lineRule="auto" w:before="0" w:after="120"/>
        <w:ind w:firstLine="340"/>
        <w:jc w:val="both"/>
      </w:pPr>
      <w:r>
        <w:rPr>
          <w:rFonts w:ascii="Times New Roman" w:hAnsi="Times New Roman" w:cs="B Nazanin"/>
          <w:sz w:val="22"/>
          <w:szCs w:val="28"/>
          <w:rtl w:val="1"/>
        </w:rPr>
        <w:t>توصیهٔ کلیدی: نسبتِ پایینِ منابعِ فارسی (۱۰ از ۱۹۸) نقطه‌ای است که در گام‌های بعد باید تقویت شود تا پوششِ ادبیاتِ داخلی و انطباق با انتظارِ آیین‌نامهٔ ۱۴۰۰ کامل‌تر گردد.</w:t>
      </w:r>
    </w:p>
    <w:p/>
    <w:p>
      <w:pPr>
        <w:pBdr>
          <w:bottom w:val="single" w:sz="6" w:space="1" w:color="b08d3f"/>
        </w:pBdr>
        <w:bidi w:val="1"/>
        <w:spacing w:line="312" w:lineRule="auto" w:before="0" w:after="40"/>
        <w:jc w:val="right"/>
      </w:pPr>
    </w:p>
    <w:p>
      <w:pPr>
        <w:bidi w:val="1"/>
        <w:spacing w:line="312" w:lineRule="auto" w:before="0" w:after="80"/>
        <w:jc w:val="center"/>
      </w:pPr>
      <w:r>
        <w:rPr>
          <w:rFonts w:ascii="Times New Roman" w:hAnsi="Times New Roman" w:cs="B Nazanin"/>
          <w:sz w:val="24"/>
          <w:szCs w:val="22"/>
          <w:rtl w:val="1"/>
        </w:rPr>
        <w:t>HJR's Agentic Architecture @2026 — Dedicated for Dr. Masoud Ahsannejad</w:t>
      </w:r>
    </w:p>
    <w:sectPr w:rsidR="00FC693F" w:rsidRPr="0006063C" w:rsidSect="00034616">
      <w:pgSz w:w="11906" w:h="16838"/>
      <w:pgMar w:top="1701" w:right="1587" w:bottom="1587" w:left="1587"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B Nazanin"/>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otnoteText">
    <w:name w:val="FootnoteText"/>
    <w:pPr>
      <w:spacing w:after="0"/>
    </w:pPr>
    <w:rPr>
      <w:rFonts w:ascii="Times New Roman" w:hAnsi="Times New Roman"/>
      <w:sz w:val="22"/>
    </w:rPr>
  </w:style>
  <w:style w:type="character" w:customStyle="1" w:styleId="FootnoteReference">
    <w:name w:val="FootnoteReference"/>
    <w:rPr>
      <w:sz w:val="22"/>
      <w:vertAlign w:val="superscript"/>
    </w:rPr>
  </w:style>
  <w:style w:type="paragraph" w:customStyle="1" w:styleId="GPEHeading1">
    <w:name w:val="GPEHeading1"/>
    <w:basedOn w:val="Normal"/>
    <w:next w:val="Normal"/>
    <w:pPr>
      <w:keepNext/>
      <w:bidi w:val="1"/>
      <w:jc w:val="right"/>
    </w:pPr>
    <w:rPr>
      <w:rtl w:val="1"/>
      <w:b/>
      <w:bCs/>
    </w:rPr>
  </w:style>
  <w:style w:type="paragraph" w:customStyle="1" w:styleId="GPEHeading2">
    <w:name w:val="GPEHeading2"/>
    <w:basedOn w:val="Normal"/>
    <w:next w:val="Normal"/>
    <w:pPr>
      <w:keepNext/>
      <w:bidi w:val="1"/>
      <w:jc w:val="right"/>
    </w:pPr>
    <w:rPr>
      <w:rtl w:val="1"/>
      <w:b/>
      <w:bCs/>
    </w:rPr>
  </w:style>
  <w:style w:type="paragraph" w:customStyle="1" w:styleId="GPEHeading3">
    <w:name w:val="GPEHeading3"/>
    <w:basedOn w:val="Normal"/>
    <w:next w:val="Normal"/>
    <w:pPr>
      <w:keepNext/>
      <w:bidi w:val="1"/>
      <w:jc w:val="right"/>
    </w:pPr>
    <w:rPr>
      <w:rtl w:val="1"/>
      <w:b/>
      <w:b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