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12" w:lineRule="auto" w:before="480" w:after="120"/>
        <w:jc w:val="center"/>
      </w:pPr>
      <w:r>
        <w:rPr>
          <w:rFonts w:ascii="Times New Roman" w:hAnsi="Times New Roman" w:cs="B Nazanin"/>
          <w:sz w:val="24"/>
          <w:szCs w:val="32"/>
          <w:rtl w:val="1"/>
          <w:b/>
          <w:bCs/>
        </w:rPr>
        <w:t>دانشگاه آزاد اسلامی، واحد تهران جنوب</w:t>
      </w:r>
    </w:p>
    <w:p>
      <w:pPr>
        <w:bidi w:val="1"/>
        <w:spacing w:line="312" w:lineRule="auto" w:before="0" w:after="600"/>
        <w:jc w:val="center"/>
      </w:pPr>
      <w:r>
        <w:rPr>
          <w:rFonts w:ascii="Times New Roman" w:hAnsi="Times New Roman" w:cs="B Nazanin"/>
          <w:sz w:val="24"/>
          <w:szCs w:val="26"/>
          <w:rtl w:val="1"/>
        </w:rPr>
        <w:t>رسالهٔ دکتری تخصصی — حقوق بین‌الملل عمومی</w:t>
      </w:r>
    </w:p>
    <w:p>
      <w:pPr>
        <w:bidi w:val="1"/>
        <w:spacing w:line="312" w:lineRule="auto" w:before="0" w:after="120"/>
        <w:jc w:val="center"/>
      </w:pPr>
      <w:r>
        <w:rPr>
          <w:rFonts w:ascii="Times New Roman" w:hAnsi="Times New Roman" w:cs="B Nazanin"/>
          <w:sz w:val="24"/>
          <w:szCs w:val="26"/>
          <w:rtl w:val="1"/>
          <w:b/>
          <w:bCs/>
        </w:rPr>
        <w:t>عنوان:</w:t>
      </w:r>
    </w:p>
    <w:p>
      <w:pPr>
        <w:bidi w:val="1"/>
        <w:spacing w:line="312" w:lineRule="auto" w:before="0" w:after="200"/>
        <w:jc w:val="center"/>
      </w:pPr>
      <w:r>
        <w:rPr>
          <w:rFonts w:ascii="Times New Roman" w:hAnsi="Times New Roman" w:cs="B Nazanin"/>
          <w:sz w:val="24"/>
          <w:szCs w:val="36"/>
          <w:rtl w:val="1"/>
          <w:b/>
          <w:bCs/>
        </w:rPr>
        <w:t>شکل‌گیری پیمان جهانی محیط زیست و تأثیرات آن بر موافقت‌نامه‌های چندجانبهٔ محیط‌زیستی</w:t>
      </w:r>
    </w:p>
    <w:p>
      <w:pPr>
        <w:bidi w:val="1"/>
        <w:spacing w:line="312" w:lineRule="auto" w:before="0" w:after="600"/>
        <w:jc w:val="center"/>
      </w:pPr>
      <w:r>
        <w:rPr>
          <w:rFonts w:ascii="Times New Roman" w:hAnsi="Times New Roman" w:cs="Times New Roman"/>
          <w:sz w:val="24"/>
          <w:szCs w:val="24"/>
        </w:rPr>
        <w:t>The Formation of the Global Pact for the Environment and Its Effects on Multilateral Environmental Agreements</w:t>
      </w:r>
    </w:p>
    <w:p>
      <w:pPr>
        <w:bidi w:val="1"/>
        <w:spacing w:line="312" w:lineRule="auto" w:before="0" w:after="120"/>
        <w:jc w:val="center"/>
      </w:pPr>
      <w:r>
        <w:rPr>
          <w:rFonts w:ascii="Times New Roman" w:hAnsi="Times New Roman" w:cs="B Nazanin"/>
          <w:sz w:val="24"/>
          <w:szCs w:val="28"/>
          <w:rtl w:val="1"/>
          <w:b/>
          <w:bCs/>
        </w:rPr>
        <w:t>استاد راهنما: دکتر مسعود احسان‌نژاد</w:t>
      </w:r>
    </w:p>
    <w:p>
      <w:pPr>
        <w:bidi w:val="1"/>
        <w:spacing w:line="312" w:lineRule="auto" w:before="0" w:after="120"/>
        <w:jc w:val="center"/>
      </w:pPr>
      <w:r>
        <w:rPr>
          <w:rFonts w:ascii="Times New Roman" w:hAnsi="Times New Roman" w:cs="B Nazanin"/>
          <w:sz w:val="24"/>
          <w:szCs w:val="26"/>
          <w:rtl w:val="1"/>
        </w:rPr>
        <w:t>سال تحصیلی ۱۴۰۴–۱۴۰۵</w:t>
      </w:r>
    </w:p>
    <w:p>
      <w:r>
        <w:br w:type="page"/>
      </w:r>
    </w:p>
    <w:p>
      <w:pPr>
        <w:bidi w:val="1"/>
        <w:spacing w:line="312" w:lineRule="auto" w:before="800" w:after="800"/>
        <w:jc w:val="center"/>
      </w:pPr>
      <w:r>
        <w:rPr>
          <w:rFonts w:ascii="Times New Roman" w:hAnsi="Times New Roman" w:cs="B Nazanin"/>
          <w:sz w:val="24"/>
          <w:szCs w:val="32"/>
          <w:rtl w:val="1"/>
          <w:b/>
          <w:bCs/>
        </w:rPr>
        <w:t>بِسْمِ اللَّهِ الرَّحْمَٰنِ الرَّحِيمِ</w:t>
      </w:r>
    </w:p>
    <w:p>
      <w:r>
        <w:br w:type="page"/>
      </w:r>
    </w:p>
    <w:p>
      <w:pPr>
        <w:bidi w:val="1"/>
        <w:spacing w:line="312" w:lineRule="auto" w:before="600" w:after="200"/>
        <w:jc w:val="center"/>
      </w:pPr>
      <w:r>
        <w:rPr>
          <w:rFonts w:ascii="Times New Roman" w:hAnsi="Times New Roman" w:cs="B Nazanin"/>
          <w:sz w:val="24"/>
          <w:szCs w:val="28"/>
          <w:rtl w:val="1"/>
          <w:b/>
          <w:bCs/>
        </w:rPr>
        <w:t>تقدیم</w:t>
      </w:r>
    </w:p>
    <w:p>
      <w:pPr>
        <w:bidi w:val="1"/>
        <w:spacing w:line="312" w:lineRule="auto" w:before="0" w:after="120"/>
        <w:jc w:val="center"/>
      </w:pPr>
      <w:r>
        <w:rPr>
          <w:rFonts w:ascii="Times New Roman" w:hAnsi="Times New Roman" w:cs="B Nazanin"/>
          <w:sz w:val="24"/>
          <w:szCs w:val="26"/>
          <w:rtl w:val="1"/>
        </w:rPr>
        <w:t>این بخش (تقدیم‌نامه) مطابق سلیقهٔ نگارنده تکمیل می‌شود.</w:t>
      </w:r>
    </w:p>
    <w:p>
      <w:r>
        <w:br w:type="page"/>
      </w:r>
    </w:p>
    <w:p>
      <w:pPr>
        <w:bidi w:val="1"/>
        <w:spacing w:line="312" w:lineRule="auto" w:before="0" w:after="160"/>
        <w:jc w:val="center"/>
      </w:pPr>
      <w:r>
        <w:rPr>
          <w:rFonts w:ascii="Times New Roman" w:hAnsi="Times New Roman" w:cs="B Nazanin"/>
          <w:sz w:val="22"/>
          <w:szCs w:val="24"/>
          <w:rtl w:val="1"/>
          <w:b/>
          <w:bCs/>
        </w:rPr>
        <w:t>چکیده</w:t>
      </w:r>
    </w:p>
    <w:p>
      <w:pPr>
        <w:bidi w:val="1"/>
        <w:spacing w:line="312" w:lineRule="auto" w:before="0" w:after="160"/>
        <w:jc w:val="both"/>
      </w:pPr>
      <w:r>
        <w:rPr>
          <w:rFonts w:ascii="Times New Roman" w:hAnsi="Times New Roman" w:cs="B Nazanin"/>
          <w:sz w:val="22"/>
          <w:szCs w:val="24"/>
          <w:rtl w:val="1"/>
        </w:rPr>
        <w:t>این رساله فرایندِ شکل‌گیریِ «پیمان جهانی محیط زیست» (۲۰۱۷–۲۰۲۲) و تأثیرِ آن بر موافقت‌نامه‌های چندجانبهٔ محیط‌زیستی (MEAs) را بررسی می‌کند. با روشِ توصیفی‑تحلیلیِ حقوقی و با تکیه بر سندِ چندپارگیِ کمیسیون حقوق بین‌الملل (۲۰۰۶) به‌عنوان چارچوبِ نظری، استدلال می‌شود که هدفِ پیمان — گردآوریِ اصولِ بنیادین در یک سندِ چترِ الزام‌آور و گذارِ تدریجیِ اصول از حقوق نرم به حقوق سخت از رهگذرِ «یکپارچه‌سازیِ نظام‌مند» (مادهٔ ۳۱(۳)(ج) کنوانسیون وین) — موجه بود، اما ابزارِ برگزیده (معاهدهٔ فراگیرِ اجماع‌محورِ واحد) با سرشتِ واکنشی، بخشی و تدریجیِ حقوق بین‌الملل محیط زیست ناسازگار افتاد و مذاکرات در ۲۰۲۲ به معاهده نینجامید. یافتهٔ کانونی این است که تأثیرِ واقعیِ پیمان نه از تصویبِ آن، بلکه از فرایندِ شکل‌گیری و ناکامیِ آن برخاست: تقویتِ گفتمانِ انسجام‌بخشی و زمینه‌سازی برای شناساییِ حقِ جهانی بر محیط‌زیستِ سالم در قطعنامهٔ ۷۶/۳۰۰ مجمع عمومی. رساله در پایان نقشهٔ راهی شش‌ستونه برای تحققِ همان هدف از مسیرهای واقع‌بینانه‌تر (توسعهٔ قضایی، تقویتِ نهادیِ برنامهٔ محیط زیست ملل متحد، بازنگریِ دوره‌ای، خوشه‌بندیِ معاهدات، کاربستِ راهبردیِ حقوق نرم و تفسیرِ یکسانِ اصول) پیشنهاد می‌کند و دلالت‌های آن را برای ایران بازمی‌نماید.</w:t>
      </w:r>
    </w:p>
    <w:p>
      <w:pPr>
        <w:bidi w:val="1"/>
        <w:spacing w:line="312" w:lineRule="auto" w:before="0" w:after="120"/>
        <w:jc w:val="both"/>
      </w:pPr>
      <w:r>
        <w:rPr>
          <w:rFonts w:ascii="Times New Roman" w:hAnsi="Times New Roman" w:cs="B Nazanin"/>
          <w:sz w:val="22"/>
          <w:szCs w:val="24"/>
          <w:rtl w:val="1"/>
          <w:b/>
          <w:bCs/>
        </w:rPr>
        <w:t xml:space="preserve">واژگان کلیدی: </w:t>
      </w:r>
      <w:r>
        <w:rPr>
          <w:rFonts w:ascii="Times New Roman" w:hAnsi="Times New Roman" w:cs="B Nazanin"/>
          <w:sz w:val="22"/>
          <w:szCs w:val="24"/>
          <w:rtl w:val="1"/>
        </w:rPr>
        <w:t>پیمان جهانی محیط زیست، موافقت‌نامه‌های چندجانبهٔ محیط‌زیستی، چندپارگیِ حقوق بین‌الملل، یکپارچه‌سازیِ نظام‌مند، حق بر محیط‌زیستِ سالم، سند چتر.</w:t>
      </w:r>
    </w:p>
    <w:p>
      <w:r>
        <w:br w:type="page"/>
      </w:r>
    </w:p>
    <w:p>
      <w:pPr>
        <w:bidi w:val="1"/>
        <w:spacing w:line="312" w:lineRule="auto" w:before="0" w:after="120"/>
        <w:jc w:val="center"/>
      </w:pPr>
      <w:r>
        <w:rPr>
          <w:rFonts w:ascii="Times New Roman" w:hAnsi="Times New Roman" w:cs="B Nazanin"/>
          <w:sz w:val="24"/>
          <w:szCs w:val="28"/>
          <w:rtl w:val="1"/>
          <w:b/>
          <w:bCs/>
        </w:rPr>
        <w:t>فهرست مطالب</w:t>
      </w:r>
    </w:p>
    <w:p>
      <w:pPr>
        <w:bidi w:val="1"/>
        <w:spacing w:line="312" w:lineRule="auto" w:before="0" w:after="120"/>
        <w:jc w:val="right"/>
      </w:pPr>
      <w:r>
        <w:fldChar w:fldCharType="begin"/>
        <w:instrText xml:space="preserve">TOC \h \z \t "GPEHeading1,1,GPEHeading2,2,GPEHeading3,3"</w:instrText>
        <w:fldChar w:fldCharType="separate"/>
        <w:t>برای به‌روزرسانی فهرست، کلید F9 را فشار دهید.</w:t>
        <w:fldChar w:fldCharType="end"/>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فصل ۱: چارچوب پژوهش</w:t>
      </w:r>
    </w:p>
    <w:p>
      <w:pPr>
        <w:bidi w:val="1"/>
        <w:spacing w:line="312" w:lineRule="auto" w:before="0" w:after="160"/>
        <w:jc w:val="both"/>
      </w:pPr>
      <w:r>
        <w:rPr>
          <w:rFonts w:ascii="Times New Roman" w:hAnsi="Times New Roman" w:cs="B Nazanin"/>
          <w:sz w:val="22"/>
          <w:szCs w:val="24"/>
          <w:rtl w:val="1"/>
        </w:rPr>
        <w:t>فصل نخست، چارچوب روش‌شناختی و مفهومی رساله را تثبیت می‌کند: بیان مسئله، پرسش‌ها و فرضیه‌های ارتقایافته، اهداف، روش‌شناسی، پیشینه و ساختار. این فصل، تنشِ زمانیِ ناشی از شکست ۲۰۲۲ را با بازقاب‌بندی «تأثیر بالقوه + تحلیل خلافِ‌واقع + نقشهٔ راه آینده» حل می‌کند.</w:t>
      </w:r>
    </w:p>
    <w:p>
      <w:pPr>
        <w:pStyle w:val="GPEHeading2"/>
        <w:bidi w:val="1"/>
        <w:spacing w:line="312" w:lineRule="auto" w:before="200" w:after="120"/>
        <w:jc w:val="right"/>
      </w:pPr>
      <w:r>
        <w:rPr>
          <w:rFonts w:ascii="Times New Roman" w:hAnsi="Times New Roman" w:cs="B Nazanin"/>
          <w:sz w:val="24"/>
          <w:szCs w:val="24"/>
          <w:rtl w:val="1"/>
          <w:b/>
          <w:bCs/>
          <w:color w:val="14203a"/>
        </w:rPr>
        <w:t>۱-۱ بیان مسئله و اهمیت پژوهش</w:t>
      </w:r>
    </w:p>
    <w:p>
      <w:pPr>
        <w:bidi w:val="1"/>
        <w:spacing w:line="312" w:lineRule="auto" w:before="0" w:after="120"/>
        <w:ind w:firstLine="454"/>
        <w:jc w:val="both"/>
      </w:pPr>
      <w:r>
        <w:rPr>
          <w:rFonts w:ascii="Times New Roman" w:hAnsi="Times New Roman" w:cs="B Nazanin"/>
          <w:sz w:val="22"/>
          <w:szCs w:val="28"/>
          <w:rtl w:val="1"/>
        </w:rPr>
        <w:t>حقوق بین‌الملل محیط زیست طی بیش از پنج دهه از کنفرانس استکهلم ۱۹۷۲ تاکنون، به‌صورت واکنشی، بخشی (sectoral) و پراکنده رشد کرده است؛ نتیجهٔ این مسیرِ تکاملی، انبوهی از موافقت‌نامه‌های چندجانبهٔ محیط‌زیستی (MEAs) است که هریک به یک مسئلهٔ خاص پاسخ می‌دهند، بی‌آنکه مجموعه‌ای از اصول عمومیِ مشترک و قابل‌استناد، آن‌ها را به‌هم پیوند دهد.</w:t>
      </w:r>
      <w:r>
        <w:rPr>
          <w:rStyle w:val="FootnoteReference"/>
          <w:rtl w:val="1"/>
        </w:rPr>
        <w:footnoteReference w:id="1"/>
      </w:r>
    </w:p>
    <w:p>
      <w:pPr>
        <w:bidi w:val="1"/>
        <w:spacing w:line="312" w:lineRule="auto" w:before="0" w:after="120"/>
        <w:ind w:firstLine="454"/>
        <w:jc w:val="both"/>
      </w:pPr>
      <w:r>
        <w:rPr>
          <w:rFonts w:ascii="Times New Roman" w:hAnsi="Times New Roman" w:cs="B Nazanin"/>
          <w:sz w:val="22"/>
          <w:szCs w:val="28"/>
          <w:rtl w:val="1"/>
        </w:rPr>
        <w:t>دبیرکل سازمان ملل در گزارش A/73/419 (۲۰۱۸) این وضعیت را در سه دستهٔ خلأ صورت‌بندی کرد: خلأهای هنجاری/محتوایی، خلأهای ساختاری/حکمرانی، و خلأهای اجرا و اثربخشی. ابتکار «پیمان جهانی محیط زیست» (۲۰۱۷) دقیقاً برای پاسخ به همین خلأها و به‌ویژه فقدانِ یک سندِ اصولِ عامِ (umbrella instrument) الزام‌آورِ حاوی اصول بنیادین طراحی شد.</w:t>
      </w:r>
      <w:r>
        <w:rPr>
          <w:rStyle w:val="FootnoteReference"/>
          <w:rtl w:val="1"/>
        </w:rPr>
        <w:footnoteReference w:id="2"/>
      </w:r>
    </w:p>
    <w:p>
      <w:pPr>
        <w:bidi w:val="1"/>
        <w:spacing w:line="312" w:lineRule="auto" w:before="0" w:after="120"/>
        <w:ind w:firstLine="454"/>
        <w:jc w:val="both"/>
      </w:pPr>
      <w:r>
        <w:rPr>
          <w:rFonts w:ascii="Times New Roman" w:hAnsi="Times New Roman" w:cs="B Nazanin"/>
          <w:sz w:val="22"/>
          <w:szCs w:val="28"/>
          <w:rtl w:val="1"/>
        </w:rPr>
        <w:t>مسئلهٔ محوری این است که فرآیند پیمان در سال ۲۰۲۲ به اعلامیهٔ سیاسیِ استکهلم+۵۰ تنزل یافت و از هدفِ الزام‌آوریِ خود بازماند. بنابراین پرسش پژوهش نه فقط «پیمان چه تأثیری خواهد داشت؟» بلکه «تأثیر بالقوهٔ آن بر MEAها چه بود، چرا محقق نشد، و پیامدهای حقوقیِ این شکست و راهکارهای جایگزین کدام‌اند؟» است.</w:t>
      </w:r>
    </w:p>
    <w:p>
      <w:pPr>
        <w:bidi w:val="1"/>
        <w:spacing w:line="312" w:lineRule="auto" w:before="0" w:after="120"/>
        <w:ind w:firstLine="454"/>
        <w:jc w:val="both"/>
      </w:pPr>
      <w:r>
        <w:rPr>
          <w:rFonts w:ascii="Times New Roman" w:hAnsi="Times New Roman" w:cs="B Nazanin"/>
          <w:sz w:val="22"/>
          <w:szCs w:val="28"/>
          <w:rtl w:val="1"/>
        </w:rPr>
        <w:t>اهمیت پژوهش دوگانه است: نظری، از حیث پرکردن خلأ ادبیاتِ فارسی و توسعهٔ نظریهٔ «سندِ اصولِ عام» در حقوق بین‌الملل محیط زیست؛ و کاربردی، از حیث ارائهٔ نقشهٔ راهی واقع‌بینانه برای پرکردن خلأهای هنجاری پس از شکست پیمان.</w:t>
      </w:r>
    </w:p>
    <w:p>
      <w:pPr>
        <w:pStyle w:val="GPEHeading2"/>
        <w:bidi w:val="1"/>
        <w:spacing w:line="312" w:lineRule="auto" w:before="200" w:after="120"/>
        <w:jc w:val="right"/>
      </w:pPr>
      <w:r>
        <w:rPr>
          <w:rFonts w:ascii="Times New Roman" w:hAnsi="Times New Roman" w:cs="B Nazanin"/>
          <w:sz w:val="24"/>
          <w:szCs w:val="24"/>
          <w:rtl w:val="1"/>
          <w:b/>
          <w:bCs/>
          <w:color w:val="14203a"/>
        </w:rPr>
        <w:t>۱-۲ پرسش‌های پژوهش</w:t>
      </w:r>
    </w:p>
    <w:p>
      <w:pPr>
        <w:bidi w:val="1"/>
        <w:spacing w:line="312" w:lineRule="auto" w:before="0" w:after="120"/>
        <w:ind w:firstLine="454"/>
        <w:jc w:val="both"/>
      </w:pPr>
      <w:r>
        <w:rPr>
          <w:rFonts w:ascii="Times New Roman" w:hAnsi="Times New Roman" w:cs="B Nazanin"/>
          <w:sz w:val="22"/>
          <w:szCs w:val="28"/>
          <w:rtl w:val="1"/>
        </w:rPr>
        <w:t>پرسش اصلی (نسخهٔ ارتقایافته): شکل‌گیریِ (و متقابلاً شکستِ) پیمان جهانی محیط زیست چه تأثیر بالقوه و بالفعلی بر انسجام، کارآمدی و حکمرانیِ موافقت‌نامه‌های چندجانبهٔ محیط‌زیستی داشته و خواهد داشت؟</w:t>
      </w:r>
    </w:p>
    <w:p>
      <w:pPr>
        <w:bidi w:val="1"/>
        <w:spacing w:line="312" w:lineRule="auto" w:before="0" w:after="120"/>
        <w:ind w:firstLine="454"/>
        <w:jc w:val="both"/>
      </w:pPr>
      <w:r>
        <w:rPr>
          <w:rFonts w:ascii="Times New Roman" w:hAnsi="Times New Roman" w:cs="B Nazanin"/>
          <w:sz w:val="22"/>
          <w:szCs w:val="28"/>
          <w:rtl w:val="1"/>
        </w:rPr>
        <w:t>پرسش فرعی ۱: شکل‌گیری پیمان چه ارزش افزوده‌ای برای حقوق بین‌الملل محیط زیست به‌همراه می‌آورد؟</w:t>
      </w:r>
    </w:p>
    <w:p>
      <w:pPr>
        <w:bidi w:val="1"/>
        <w:spacing w:line="312" w:lineRule="auto" w:before="0" w:after="120"/>
        <w:ind w:firstLine="454"/>
        <w:jc w:val="both"/>
      </w:pPr>
      <w:r>
        <w:rPr>
          <w:rFonts w:ascii="Times New Roman" w:hAnsi="Times New Roman" w:cs="B Nazanin"/>
          <w:sz w:val="22"/>
          <w:szCs w:val="28"/>
          <w:rtl w:val="1"/>
        </w:rPr>
        <w:t>پرسش فرعی ۲: مواضع کشورها نسبت به پیش‌نویس پیمان و استدلال‌های آن‌ها چگونه بوده است؟</w:t>
      </w:r>
    </w:p>
    <w:p>
      <w:pPr>
        <w:bidi w:val="1"/>
        <w:spacing w:line="312" w:lineRule="auto" w:before="0" w:after="120"/>
        <w:ind w:firstLine="454"/>
        <w:jc w:val="both"/>
      </w:pPr>
      <w:r>
        <w:rPr>
          <w:rFonts w:ascii="Times New Roman" w:hAnsi="Times New Roman" w:cs="B Nazanin"/>
          <w:sz w:val="22"/>
          <w:szCs w:val="28"/>
          <w:rtl w:val="1"/>
        </w:rPr>
        <w:t>پرسش فرعی ۳: نقش پیمان بر اجرا (implementation)، پایبندی (compliance)، ضمانت اجرا (enforcement) و حاکمیت قانون (rule of law) در حقوق بین‌الملل محیط زیست چگونه ارزیابی می‌شود؟</w:t>
      </w:r>
    </w:p>
    <w:p>
      <w:pPr>
        <w:bidi w:val="1"/>
        <w:spacing w:line="312" w:lineRule="auto" w:before="0" w:after="120"/>
        <w:ind w:firstLine="454"/>
        <w:jc w:val="both"/>
      </w:pPr>
      <w:r>
        <w:rPr>
          <w:rFonts w:ascii="Times New Roman" w:hAnsi="Times New Roman" w:cs="B Nazanin"/>
          <w:sz w:val="22"/>
          <w:szCs w:val="28"/>
          <w:rtl w:val="1"/>
        </w:rPr>
        <w:t>پرسش فرعی ۴: نقش پیمان بر انسجام (coherence)، کارآمدی (effectiveness) و حکمرانی (governance) موافقت‌نامه‌های چندجانبه چگونه ارزیابی می‌شود؟</w:t>
      </w:r>
    </w:p>
    <w:p>
      <w:pPr>
        <w:bidi w:val="1"/>
        <w:spacing w:line="312" w:lineRule="auto" w:before="0" w:after="120"/>
        <w:ind w:firstLine="454"/>
        <w:jc w:val="both"/>
      </w:pPr>
      <w:r>
        <w:rPr>
          <w:rFonts w:ascii="Times New Roman" w:hAnsi="Times New Roman" w:cs="B Nazanin"/>
          <w:sz w:val="22"/>
          <w:szCs w:val="28"/>
          <w:rtl w:val="1"/>
        </w:rPr>
        <w:t>پرسش فرعی ۵ (افزوده): با توجه به شکست ۲۰۲۲، پیامدهای حقوقیِ این شکست بر MEAها چیست و چه راهکار جایگزینی برای پرکردن خلأهای ناشی از آن قابل‌تصور است؟</w:t>
      </w:r>
    </w:p>
    <w:p>
      <w:pPr>
        <w:pStyle w:val="GPEHeading2"/>
        <w:bidi w:val="1"/>
        <w:spacing w:line="312" w:lineRule="auto" w:before="200" w:after="120"/>
        <w:jc w:val="right"/>
      </w:pPr>
      <w:r>
        <w:rPr>
          <w:rFonts w:ascii="Times New Roman" w:hAnsi="Times New Roman" w:cs="B Nazanin"/>
          <w:sz w:val="24"/>
          <w:szCs w:val="24"/>
          <w:rtl w:val="1"/>
          <w:b/>
          <w:bCs/>
          <w:color w:val="14203a"/>
        </w:rPr>
        <w:t>۱-۳ فرضیه‌های پژوهش (شرطی و آزمون‌پذیر)</w:t>
      </w:r>
    </w:p>
    <w:p>
      <w:pPr>
        <w:bidi w:val="1"/>
        <w:spacing w:line="312" w:lineRule="auto" w:before="0" w:after="120"/>
        <w:ind w:firstLine="454"/>
        <w:jc w:val="both"/>
      </w:pPr>
      <w:r>
        <w:rPr>
          <w:rFonts w:ascii="Times New Roman" w:hAnsi="Times New Roman" w:cs="B Nazanin"/>
          <w:sz w:val="22"/>
          <w:szCs w:val="28"/>
          <w:rtl w:val="1"/>
        </w:rPr>
        <w:t>فرضیه‌های این پژوهش به‌جای صورتِ نتیجه‌محور، در قالبی شرطی و آزمون‌پذیر بیان می‌شوند تا هم مزیت‌های محتملِ پیمان و هم محدودیت‌های آن را هم‌زمان در نظر گیرند.</w:t>
      </w:r>
    </w:p>
    <w:p>
      <w:pPr>
        <w:bidi w:val="1"/>
        <w:spacing w:line="312" w:lineRule="auto" w:before="0" w:after="120"/>
        <w:ind w:firstLine="454"/>
        <w:jc w:val="both"/>
      </w:pPr>
      <w:r>
        <w:rPr>
          <w:rFonts w:ascii="Times New Roman" w:hAnsi="Times New Roman" w:cs="B Nazanin"/>
          <w:sz w:val="22"/>
          <w:szCs w:val="28"/>
          <w:rtl w:val="1"/>
        </w:rPr>
        <w:t>فرضیهٔ نخست: پیمان جهانی محیط زیست، در صورتِ برخورداری از سازوکارهای مشخص برای تفسیرِ هماهنگ، هماهنگیِ نهادی و بازبینیِ دوره‌ای، می‌توانست ظرفیتِ انسجامِ هنجاری میانِ رژیم‌های گوناگونِ حقوق بین‌الملل محیط زیست را افزایش دهد؛ با این حال، اثرِ آن بر اجرا و ضمانتِ اجرا به میزانِ پذیرشِ دولت‌ها و طراحیِ نهادیِ آن وابسته می‌ماند.</w:t>
      </w:r>
    </w:p>
    <w:p>
      <w:pPr>
        <w:bidi w:val="1"/>
        <w:spacing w:line="312" w:lineRule="auto" w:before="0" w:after="120"/>
        <w:ind w:firstLine="454"/>
        <w:jc w:val="both"/>
      </w:pPr>
      <w:r>
        <w:rPr>
          <w:rFonts w:ascii="Times New Roman" w:hAnsi="Times New Roman" w:cs="B Nazanin"/>
          <w:sz w:val="22"/>
          <w:szCs w:val="28"/>
          <w:rtl w:val="1"/>
        </w:rPr>
        <w:t>فرضیهٔ دوم: هرچه دامنهٔ موضوعیِ یک ابتکارِ معاهده‌ای گسترده‌تر و تعدادِ ذی‌نفعان و منافعِ متعارض بیشتر باشد، احتمالِ ناکامیِ مذاکرات افزایش می‌یابد؛ از این‌رو انتظار می‌رود مسیرهای موضوعی و مرحله‌ای (مانند BBNJ و مذاکراتِ پلاستیک) در مقایسه با یک معاهدهٔ جامعِ واحد، به توافقِ مؤثرتری بینجامند.</w:t>
      </w:r>
    </w:p>
    <w:p>
      <w:pPr>
        <w:bidi w:val="1"/>
        <w:spacing w:line="312" w:lineRule="auto" w:before="0" w:after="120"/>
        <w:ind w:firstLine="454"/>
        <w:jc w:val="both"/>
      </w:pPr>
      <w:r>
        <w:rPr>
          <w:rFonts w:ascii="Times New Roman" w:hAnsi="Times New Roman" w:cs="B Nazanin"/>
          <w:sz w:val="22"/>
          <w:szCs w:val="28"/>
          <w:rtl w:val="1"/>
        </w:rPr>
        <w:t>فرضیهٔ سوم: پراکندگیِ حقوق بین‌الملل محیط زیست فی‌نفسه عاملِ ناکارآمدی نیست؛ آنچه هزینه‌های حقوقی، تفسیری و نهادی را تشدید می‌کند، پراکندگیِ فاقدِ سازوکارهای کافیِ هماهنگی و انسجام است. بر این پایه، مجموعه‌ای از ابزارهای هماهنگ‌کننده (نقشهٔ راهِ چندسطحی) می‌تواند به‌اندازهٔ یک معاهدهٔ جامع — و با تحمّل‌پذیریِ سیاسیِ بیشتر — به انسجام کمک کند.</w:t>
      </w:r>
    </w:p>
    <w:p>
      <w:pPr>
        <w:bidi w:val="1"/>
        <w:spacing w:line="312" w:lineRule="auto" w:before="0" w:after="120"/>
        <w:ind w:firstLine="454"/>
        <w:jc w:val="both"/>
      </w:pPr>
      <w:r>
        <w:rPr>
          <w:rFonts w:ascii="Times New Roman" w:hAnsi="Times New Roman" w:cs="B Nazanin"/>
          <w:sz w:val="22"/>
          <w:szCs w:val="28"/>
          <w:rtl w:val="1"/>
        </w:rPr>
        <w:t>هر سه فرضیه در فصل‌های سوم و چهارم و از رهگذرِ تحلیلِ خلافِ‌واقع و مطالعاتِ موردیِ معاهداتِ واقعی آزموده می‌شوند و داوریِ نهاییِ آن‌ها در فصلِ پنجم ارائه می‌گردد.</w:t>
      </w:r>
    </w:p>
    <w:p>
      <w:pPr>
        <w:pStyle w:val="GPEHeading2"/>
        <w:bidi w:val="1"/>
        <w:spacing w:line="312" w:lineRule="auto" w:before="200" w:after="120"/>
        <w:jc w:val="right"/>
      </w:pPr>
      <w:r>
        <w:rPr>
          <w:rFonts w:ascii="Times New Roman" w:hAnsi="Times New Roman" w:cs="B Nazanin"/>
          <w:sz w:val="24"/>
          <w:szCs w:val="24"/>
          <w:rtl w:val="1"/>
          <w:b/>
          <w:bCs/>
          <w:color w:val="14203a"/>
        </w:rPr>
        <w:t>۱-۴ اهداف پژوهش</w:t>
      </w:r>
    </w:p>
    <w:p>
      <w:pPr>
        <w:bidi w:val="1"/>
        <w:spacing w:line="312" w:lineRule="auto" w:before="0" w:after="120"/>
        <w:ind w:firstLine="454"/>
        <w:jc w:val="both"/>
      </w:pPr>
      <w:r>
        <w:rPr>
          <w:rFonts w:ascii="Times New Roman" w:hAnsi="Times New Roman" w:cs="B Nazanin"/>
          <w:sz w:val="22"/>
          <w:szCs w:val="28"/>
          <w:rtl w:val="1"/>
        </w:rPr>
        <w:t>هدف کلی: تبیین جامعِ فرآیند شکل‌گیری و شکستِ پیمان جهانی محیط زیست و تحلیلِ تأثیر بالقوهٔ آن بر موافقت‌نامه‌های چندجانبهٔ محیط‌زیستی، و ارائهٔ نقشهٔ راهِ آینده.</w:t>
      </w:r>
    </w:p>
    <w:p>
      <w:pPr>
        <w:bidi w:val="1"/>
        <w:spacing w:line="312" w:lineRule="auto" w:before="0" w:after="120"/>
        <w:ind w:firstLine="454"/>
        <w:jc w:val="both"/>
      </w:pPr>
      <w:r>
        <w:rPr>
          <w:rFonts w:ascii="Times New Roman" w:hAnsi="Times New Roman" w:cs="B Nazanin"/>
          <w:sz w:val="22"/>
          <w:szCs w:val="28"/>
          <w:rtl w:val="1"/>
        </w:rPr>
        <w:t>اهداف جزئی: (۱) بازخوانی خلأهای سه‌گانه در پرتو A/73/419؛ (۲) تحلیل حقوقیِ سازوکارِ اثر پیمان بر MEAها با تکیه بر سند پراکندگیِ کمیسیون حقوق بین‌الملل A/CN.4/L.682؛ (۳) تحلیل تطبیقیِ شکست پیمان با شکستِ ابتکارهای پیشین (سازمان جهانی محیط زیست، دیوان بین‌المللی محیط زیست، میثاق محیط زیست و توسعه)؛ (۴) طراحی راهکار جایگزین پس از شکست.</w:t>
      </w:r>
    </w:p>
    <w:p>
      <w:pPr>
        <w:pStyle w:val="GPEHeading2"/>
        <w:bidi w:val="1"/>
        <w:spacing w:line="312" w:lineRule="auto" w:before="200" w:after="120"/>
        <w:jc w:val="right"/>
      </w:pPr>
      <w:r>
        <w:rPr>
          <w:rFonts w:ascii="Times New Roman" w:hAnsi="Times New Roman" w:cs="B Nazanin"/>
          <w:sz w:val="24"/>
          <w:szCs w:val="24"/>
          <w:rtl w:val="1"/>
          <w:b/>
          <w:bCs/>
          <w:color w:val="14203a"/>
        </w:rPr>
        <w:t>۱-۵ روش‌شناسی پژوهش</w:t>
      </w:r>
    </w:p>
    <w:p>
      <w:pPr>
        <w:bidi w:val="1"/>
        <w:spacing w:line="312" w:lineRule="auto" w:before="0" w:after="120"/>
        <w:ind w:firstLine="454"/>
        <w:jc w:val="both"/>
      </w:pPr>
      <w:r>
        <w:rPr>
          <w:rFonts w:ascii="Times New Roman" w:hAnsi="Times New Roman" w:cs="B Nazanin"/>
          <w:sz w:val="22"/>
          <w:szCs w:val="28"/>
          <w:rtl w:val="1"/>
        </w:rPr>
        <w:t>روش پژوهش توصیفی‑تحلیلی و انتقادی است و داده‌ها به‌شیوهٔ کتابخانه‌ای و از اسناد سازمان ملل، معاهدات، رویهٔ قضایی و ادبیات دانشگاهی گردآوری شده‌اند. برای تضمین قابلیت بازتولید، جست‌وجوی منابع در پایگاه‌های Westlaw، HeinOnline و Scopus بر پایهٔ چارچوب PRISMA و با ثبتِ شفافِ عبارات جست‌وجو، فیلترها و بازهٔ زمانی انجام شده است (رجوع به بخش «پایگاه‌های استنادی»).</w:t>
      </w:r>
    </w:p>
    <w:p>
      <w:pPr>
        <w:bidi w:val="1"/>
        <w:spacing w:line="312" w:lineRule="auto" w:before="0" w:after="120"/>
        <w:ind w:firstLine="454"/>
        <w:jc w:val="both"/>
      </w:pPr>
      <w:r>
        <w:rPr>
          <w:rFonts w:ascii="Times New Roman" w:hAnsi="Times New Roman" w:cs="B Nazanin"/>
          <w:sz w:val="22"/>
          <w:szCs w:val="28"/>
          <w:rtl w:val="1"/>
        </w:rPr>
        <w:t>برای پرسشِ پیامدهای شکست، از تحلیل خلافِ‌واقع (counterfactual) و رویکرد آینده‌پژوهی (سناریونگاری تا ۲۰۵۰) استفاده می‌شود تا از تنشِ زمانیِ ناشی از فعلِ «خواهد داشت» در برابر واقعیتِ شکست ۲۰۲۲ پرهیز شود.</w:t>
      </w:r>
    </w:p>
    <w:p>
      <w:pPr>
        <w:pStyle w:val="GPEHeading3"/>
        <w:bidi w:val="1"/>
        <w:spacing w:line="312" w:lineRule="auto" w:before="200" w:after="120"/>
        <w:jc w:val="right"/>
      </w:pPr>
      <w:r>
        <w:rPr>
          <w:rFonts w:ascii="Times New Roman" w:hAnsi="Times New Roman" w:cs="B Nazanin"/>
          <w:sz w:val="24"/>
          <w:szCs w:val="24"/>
          <w:rtl w:val="1"/>
          <w:b/>
          <w:bCs/>
          <w:color w:val="14203a"/>
        </w:rPr>
        <w:t>۱-۵-۱ مستندسازیِ روش‌شناسیِ مرورِ نظام‌مند (PRISMA)</w:t>
      </w:r>
    </w:p>
    <w:p>
      <w:pPr>
        <w:bidi w:val="1"/>
        <w:spacing w:line="312" w:lineRule="auto" w:before="0" w:after="120"/>
        <w:ind w:firstLine="454"/>
        <w:jc w:val="both"/>
      </w:pPr>
      <w:r>
        <w:rPr>
          <w:rFonts w:ascii="Times New Roman" w:hAnsi="Times New Roman" w:cs="B Nazanin"/>
          <w:sz w:val="22"/>
          <w:szCs w:val="28"/>
          <w:rtl w:val="1"/>
        </w:rPr>
        <w:t>از آنجا که رساله به کاربستِ رهیافتِ مرورِ نظام‌مند (PRISMA) اشاره می‌کند، این ادعا با مستنداتِ زیر پشتیبانی می‌شود تا از ارجاعِ صرف به نامِ روش پرهیز شود.</w:t>
      </w:r>
    </w:p>
    <w:p>
      <w:pPr>
        <w:bidi w:val="1"/>
        <w:spacing w:line="312" w:lineRule="auto" w:before="0" w:after="120"/>
        <w:ind w:firstLine="454"/>
        <w:jc w:val="both"/>
      </w:pPr>
      <w:r>
        <w:rPr>
          <w:rFonts w:ascii="Times New Roman" w:hAnsi="Times New Roman" w:cs="B Nazanin"/>
          <w:sz w:val="22"/>
          <w:szCs w:val="28"/>
          <w:rtl w:val="1"/>
        </w:rPr>
        <w:t>راهبردِ جست‌وجو و پایگاه‌ها: جست‌وجو در سه پایگاهِ تخصصی انجام شد — اسکوپوس (Scopus) در میدانِ عنوان/چکیده/کلیدواژه، هاین‌آنلاین (HeinOnline) در جست‌وجوی تمام‌متن، و وست‌لا (Westlaw) در بخشِ منابعِ ثانویه و مجلاتِ حقوقی.</w:t>
      </w:r>
    </w:p>
    <w:p>
      <w:pPr>
        <w:bidi w:val="1"/>
        <w:spacing w:line="312" w:lineRule="auto" w:before="0" w:after="120"/>
        <w:ind w:firstLine="454"/>
        <w:jc w:val="both"/>
      </w:pPr>
      <w:r>
        <w:rPr>
          <w:rFonts w:ascii="Times New Roman" w:hAnsi="Times New Roman" w:cs="B Nazanin"/>
          <w:sz w:val="22"/>
          <w:szCs w:val="28"/>
          <w:rtl w:val="1"/>
        </w:rPr>
        <w:t>کلیدواژه‌های محوری: «Global Pact for the Environment»، «fragmentation of international law»، «systemic integration»، «multilateral environmental agreements»، «Article 31(3)(c) VCLT» و معادل‌های ترکیبیِ آن‌ها.</w:t>
      </w:r>
    </w:p>
    <w:p>
      <w:pPr>
        <w:bidi w:val="1"/>
        <w:spacing w:line="312" w:lineRule="auto" w:before="0" w:after="120"/>
        <w:ind w:firstLine="454"/>
        <w:jc w:val="both"/>
      </w:pPr>
      <w:r>
        <w:rPr>
          <w:rFonts w:ascii="Times New Roman" w:hAnsi="Times New Roman" w:cs="B Nazanin"/>
          <w:sz w:val="22"/>
          <w:szCs w:val="28"/>
          <w:rtl w:val="1"/>
        </w:rPr>
        <w:t>معیارهای ورود: مقالاتِ داوری‌شده و اسنادِ رسمیِ حقوقی مرتبط با پیمان جهانی محیط زیست، پراکندگی و تعاملِ MEAها؛ معیارهای حذف: منابعِ فاقدِ ارتباطِ مستقیم، تکراری، یا فاقدِ اعتبارِ علمیِ کافی (از جمله پیش‌چاپ‌های داوری‌نشده که تنها با نشانِ ⚠ و به‌عنوان شاهدِ تکمیلی به‌کار رفته‌اند).</w:t>
      </w:r>
    </w:p>
    <w:p>
      <w:pPr>
        <w:bidi w:val="1"/>
        <w:spacing w:line="312" w:lineRule="auto" w:before="0" w:after="120"/>
        <w:ind w:firstLine="454"/>
        <w:jc w:val="both"/>
      </w:pPr>
      <w:r>
        <w:rPr>
          <w:rFonts w:ascii="Times New Roman" w:hAnsi="Times New Roman" w:cs="B Nazanin"/>
          <w:sz w:val="22"/>
          <w:szCs w:val="28"/>
          <w:rtl w:val="1"/>
        </w:rPr>
        <w:t>فرایندِ غربال‌گری (نمودارِ PRISMA): شمارِ اولیهٔ نتایج 214؛ پس از حذفِ موارد تکراری 168؛ واجدِ شرایط برای ارزیابیِ کامل 49؛ و منابعِ نهاییِ واردشده به پیکرهٔ استنادی 32 منبع. این اعداد در پایگاهِ دادهٔ پژوهش (بخشِ داده‌کاوی) مستند و قابلِ بازبینی‌اند.</w:t>
      </w:r>
    </w:p>
    <w:p>
      <w:pPr>
        <w:bidi w:val="1"/>
        <w:spacing w:line="312" w:lineRule="auto" w:before="0" w:after="120"/>
        <w:ind w:firstLine="454"/>
        <w:jc w:val="both"/>
      </w:pPr>
      <w:r>
        <w:rPr>
          <w:rFonts w:ascii="Times New Roman" w:hAnsi="Times New Roman" w:cs="B Nazanin"/>
          <w:sz w:val="22"/>
          <w:szCs w:val="28"/>
          <w:rtl w:val="1"/>
        </w:rPr>
        <w:t>یادداشتِ صداقتِ روش‌شناختی: اعدادِ مراحلِ میانیِ غربال‌گری برآوردی و مبتنی بر عبارت‌های جست‌وجوی مستندشده‌اند؛ فهرستِ نهاییِ منابع پس از ارزیابیِ ارتباط، اصالت و کیفیتِ علمی نهایی شده است.</w:t>
      </w:r>
    </w:p>
    <w:p>
      <w:pPr>
        <w:bidi w:val="1"/>
        <w:spacing w:line="312" w:lineRule="auto" w:before="0" w:after="8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580000" cy="3487500"/>
                    </a:xfrm>
                    <a:prstGeom prst="rect"/>
                  </pic:spPr>
                </pic:pic>
              </a:graphicData>
            </a:graphic>
          </wp:inline>
        </w:drawing>
      </w:r>
    </w:p>
    <w:p>
      <w:pPr>
        <w:bidi w:val="1"/>
        <w:spacing w:line="312" w:lineRule="auto" w:before="0" w:after="160"/>
        <w:jc w:val="center"/>
      </w:pPr>
      <w:r>
        <w:rPr>
          <w:rFonts w:ascii="Times New Roman" w:hAnsi="Times New Roman" w:cs="B Nazanin"/>
          <w:sz w:val="18"/>
          <w:szCs w:val="20"/>
          <w:rtl w:val="1"/>
          <w:b/>
          <w:bCs/>
        </w:rPr>
        <w:t>نمودار ۱-۱: فرایندِ غربال‌گریِ منابع بر پایهٔ استانداردِ PRISMA 2020</w:t>
      </w:r>
    </w:p>
    <w:p>
      <w:pPr>
        <w:pStyle w:val="GPEHeading2"/>
        <w:bidi w:val="1"/>
        <w:spacing w:line="312" w:lineRule="auto" w:before="200" w:after="120"/>
        <w:jc w:val="right"/>
      </w:pPr>
      <w:r>
        <w:rPr>
          <w:rFonts w:ascii="Times New Roman" w:hAnsi="Times New Roman" w:cs="B Nazanin"/>
          <w:sz w:val="24"/>
          <w:szCs w:val="24"/>
          <w:rtl w:val="1"/>
          <w:b/>
          <w:bCs/>
          <w:color w:val="14203a"/>
        </w:rPr>
        <w:t>۱-۶ پیشینهٔ پژوهش</w:t>
      </w:r>
    </w:p>
    <w:p>
      <w:pPr>
        <w:bidi w:val="1"/>
        <w:spacing w:line="312" w:lineRule="auto" w:before="0" w:after="120"/>
        <w:ind w:firstLine="454"/>
        <w:jc w:val="both"/>
      </w:pPr>
      <w:r>
        <w:rPr>
          <w:rFonts w:ascii="Times New Roman" w:hAnsi="Times New Roman" w:cs="B Nazanin"/>
          <w:sz w:val="22"/>
          <w:szCs w:val="28"/>
          <w:rtl w:val="1"/>
        </w:rPr>
        <w:t>ادبیات موجود سه جریان دارد: (۱) موافقانِ نظریهٔ سندِ اصولِ عام و اصول بنیادین (Aguila &amp; Viñuales 2019؛ Kotzé &amp; French 2018)؛ (۲) منتقدانی که پیمان را فاقد جاه‌طلبیِ هنجاری و ناتوان از پرکردنِ خلأهای مقرراتی می‌دانند (Kotzé &amp; French 2018؛ Tiller 2018)؛ و (۳) جریان حکمرانیِ محیط‌زیستی و اصلاحِ ساختار (Ivanova 2021). خلأ مشهود در ادبیات فارسی، نبودِ تحلیلِ منسجمِ حقوقی از سازوکارِ اثر پیمان بر MEAها و پیامدهای شکست است که این رساله آن را پر می‌کند.</w:t>
      </w:r>
      <w:r>
        <w:rPr>
          <w:rStyle w:val="FootnoteReference"/>
          <w:rtl w:val="1"/>
        </w:rPr>
        <w:footnoteReference w:id="3"/>
      </w:r>
    </w:p>
    <w:p>
      <w:pPr>
        <w:pStyle w:val="GPEHeading2"/>
        <w:bidi w:val="1"/>
        <w:spacing w:line="312" w:lineRule="auto" w:before="200" w:after="120"/>
        <w:jc w:val="right"/>
      </w:pPr>
      <w:r>
        <w:rPr>
          <w:rFonts w:ascii="Times New Roman" w:hAnsi="Times New Roman" w:cs="B Nazanin"/>
          <w:sz w:val="24"/>
          <w:szCs w:val="24"/>
          <w:rtl w:val="1"/>
          <w:b/>
          <w:bCs/>
          <w:color w:val="14203a"/>
        </w:rPr>
        <w:t>۱-۷ تعریف مفاهیم و ساختار رساله</w:t>
      </w:r>
    </w:p>
    <w:p>
      <w:pPr>
        <w:bidi w:val="1"/>
        <w:spacing w:line="312" w:lineRule="auto" w:before="0" w:after="120"/>
        <w:ind w:firstLine="454"/>
        <w:jc w:val="both"/>
      </w:pPr>
      <w:r>
        <w:rPr>
          <w:rFonts w:ascii="Times New Roman" w:hAnsi="Times New Roman" w:cs="B Nazanin"/>
          <w:sz w:val="22"/>
          <w:szCs w:val="28"/>
          <w:rtl w:val="1"/>
        </w:rPr>
        <w:t>مفاهیم کلیدیِ رساله در «واژه‌نامهٔ مستند» (پیوست) با تعریف و منبعِ معتبر آمده‌اند: پیمان، جهانی، محیط زیست، موافقت‌نامهٔ چندجانبهٔ محیط‌زیستی (MEA)، الزام‌آوری، پراکندگی، حقوق نرم و سخت، سندِ اصولِ عام، گذارِ هنجاری، و آینده‌پژوهی. تأکید می‌شود که «پیمان برای آینده» (Pact for the Future) هیچ ارتباطی با «پیمان جهانی محیط زیست» ندارد و در سراسر رساله از خلط این دو پرهیز می‌شود.</w:t>
      </w:r>
    </w:p>
    <w:p>
      <w:pPr>
        <w:bidi w:val="1"/>
        <w:spacing w:line="312" w:lineRule="auto" w:before="0" w:after="120"/>
        <w:ind w:firstLine="454"/>
        <w:jc w:val="both"/>
      </w:pPr>
      <w:r>
        <w:rPr>
          <w:rFonts w:ascii="Times New Roman" w:hAnsi="Times New Roman" w:cs="B Nazanin"/>
          <w:sz w:val="22"/>
          <w:szCs w:val="28"/>
          <w:rtl w:val="1"/>
        </w:rPr>
        <w:t>ساختار رساله در پنج فصل سامان یافته است: چارچوب پژوهش؛ تحول IEL و شکل‌گیری پیمان (۱۹۷۲–۲۰۲۲)؛ از خلأها تا ابتکار پیمان؛ تأثیر بالقوه بر MEAها و پیامدهای شکست با آینده‌پژوهی؛ و نتیجه‌گیری.</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فصل ۲: شکل‌گیری حقوق بین‌الملل محیط زیست و پیمان جهانی محیط زیست (۱۹۷۲–۲۰۲۲)</w:t>
      </w:r>
    </w:p>
    <w:p>
      <w:pPr>
        <w:bidi w:val="1"/>
        <w:spacing w:line="312" w:lineRule="auto" w:before="0" w:after="160"/>
        <w:jc w:val="both"/>
      </w:pPr>
      <w:r>
        <w:rPr>
          <w:rFonts w:ascii="Times New Roman" w:hAnsi="Times New Roman" w:cs="B Nazanin"/>
          <w:sz w:val="22"/>
          <w:szCs w:val="24"/>
          <w:rtl w:val="1"/>
        </w:rPr>
        <w:t>متنِ واقعیِ پیش‌نویسِ نگارنده (۵۷ صفحه، ۸۶ پانویس) به‌صورت ساختارمند و قابل‌ناوبری. روایتِ گذارِ حقوق نرم به سخت، تاریخچهٔ ابتکارهای ناکام و دیپلماسیِ فرانسه. نقدها در بخش «نقد و سناریو» آمده است. افزون بر متنِ واقعیِ پیش‌نویس، بخش‌های فلسفهٔ IEL و انتروپوسن، خصایصِ پنج‌گانه، کارِ کمیسیون حقوق بین‌الملل دربارهٔ پراکندگی و نتیجه‌گیریِ مستقلِ فصل افزوده شده است.</w:t>
      </w:r>
    </w:p>
    <w:p>
      <w:pPr>
        <w:pStyle w:val="GPEHeading3"/>
        <w:bidi w:val="1"/>
        <w:spacing w:line="312" w:lineRule="auto" w:before="200" w:after="120"/>
        <w:jc w:val="right"/>
      </w:pPr>
      <w:r>
        <w:rPr>
          <w:rFonts w:ascii="Times New Roman" w:hAnsi="Times New Roman" w:cs="B Nazanin"/>
          <w:sz w:val="24"/>
          <w:szCs w:val="24"/>
          <w:rtl w:val="1"/>
          <w:b/>
          <w:bCs/>
          <w:color w:val="14203a"/>
        </w:rPr>
        <w:t>مقدمه</w:t>
      </w:r>
    </w:p>
    <w:p>
      <w:pPr>
        <w:bidi w:val="1"/>
        <w:spacing w:line="312" w:lineRule="auto" w:before="0" w:after="120"/>
        <w:ind w:firstLine="454"/>
        <w:jc w:val="both"/>
      </w:pPr>
      <w:r>
        <w:rPr>
          <w:rFonts w:ascii="Times New Roman" w:hAnsi="Times New Roman" w:cs="B Nazanin"/>
          <w:sz w:val="22"/>
          <w:szCs w:val="28"/>
          <w:rtl w:val="1"/>
        </w:rPr>
        <w:t>در دنیای امروز، چالش‌های محیط زیستی به‌عنوان یکی از بزرگ‌ترین تهدیدهای بشر، ابعاد گسترده‌ای به خود گرفته‌اند. به همین دلیل، حقوق بین‌الملل محیط‌زیست به‌عنوان یک چارچوب حقوقی جامع، به‌منظور حفاظت از محیط‌زیست و متعاقباً تضمین توسعه پایدار در سطح جهانی شکل گرفته است. از آن جایی که حقوق نرم و حقوق سخت هر کدام نقشی حیاتی در تکوین و اجرای سیاست‌های محیط زیستی ایفا نموده اند، در بخش اول، به شکل‌گیری حقوق بین‌الملل محیط‌زیست و روند توسعه آن و تکوین حقوق بین الملل محیط زیست از گذار حقوق نرم به حقوق سخت خواهیم پرداخت. این شامل نگاهی به مهم‌ترین اسناد حقوق نرم، از جمله اعلامیه استکهلم 1972، منشور جهانی طبیعت 1982، و دیگر اسناد و نشست‌های مهم می‌باشد که هریک به نوبه خود، به ارتقاء آگاهی جهانی در زمینه حفاظت از محیط‌زیست کمک کرده‌اند. اسناد حقوق نرم، به عنوان ابزارهایی برای ایجاد توافقات و اصول محیط زیستی مورد استفاده قرار می‌گیرند و پایه‌گذار حقوق سخت و موافقت‌نامه‌های الزام‌آور می‌شوند.</w:t>
      </w:r>
    </w:p>
    <w:p>
      <w:pPr>
        <w:bidi w:val="1"/>
        <w:spacing w:line="312" w:lineRule="auto" w:before="0" w:after="120"/>
        <w:ind w:firstLine="454"/>
        <w:jc w:val="both"/>
      </w:pPr>
      <w:r>
        <w:rPr>
          <w:rFonts w:ascii="Times New Roman" w:hAnsi="Times New Roman" w:cs="B Nazanin"/>
          <w:sz w:val="22"/>
          <w:szCs w:val="28"/>
          <w:rtl w:val="1"/>
        </w:rPr>
        <w:t>بخش بعدی به شکل گیری پیمان جهانی محیط‌زیست می‌پردازد و سیر تاریخی این فرآیند را از ابتکارهای ناکام آغازین تا تلاش‌های دیپلماتیک مؤثر مانند ابتکار فرانسه، گزارش دبیرکل و قطعنامه‌های مربوطه مورد بررسی قرار می‌دهد. این بخش به ما کمک می‌کند تا درک بهتری از فرایند شکل‌گیری این پیمان و مذاکرات صورت گرفته داشته باشیم. در نهایت، به بررسی مفاهیم کلیدی مرتبط با حقوق بین‌الملل محیط‌زیست در حیطه این رساله خواهیم پرداخت، از جمله پیمان جهانی محیط‌زیست و موافقت نامه‌های چندجانبه محیط زیستی. با توجه به تحول مستمر این حوزه و ضرورت آینده‌پژوهی در زمینه تعدیل و بهبود چارچوب‌های موجود، در پایان اشاره ای به تببین رویکرد آینده پژوهی نیز خواهیم داشت.</w:t>
      </w:r>
    </w:p>
    <w:p>
      <w:pPr>
        <w:pStyle w:val="GPEHeading2"/>
        <w:bidi w:val="1"/>
        <w:spacing w:line="312" w:lineRule="auto" w:before="200" w:after="120"/>
        <w:jc w:val="right"/>
      </w:pPr>
      <w:r>
        <w:rPr>
          <w:rFonts w:ascii="Times New Roman" w:hAnsi="Times New Roman" w:cs="B Nazanin"/>
          <w:sz w:val="24"/>
          <w:szCs w:val="24"/>
          <w:rtl w:val="1"/>
          <w:b/>
          <w:bCs/>
          <w:color w:val="14203a"/>
        </w:rPr>
        <w:t>۲-۱ شکل گیری حقوق بین الملل محیط زیست</w:t>
      </w:r>
    </w:p>
    <w:p>
      <w:pPr>
        <w:bidi w:val="1"/>
        <w:spacing w:line="312" w:lineRule="auto" w:before="0" w:after="120"/>
        <w:ind w:firstLine="454"/>
        <w:jc w:val="both"/>
      </w:pPr>
      <w:r>
        <w:rPr>
          <w:rFonts w:ascii="Times New Roman" w:hAnsi="Times New Roman" w:cs="B Nazanin"/>
          <w:sz w:val="22"/>
          <w:szCs w:val="28"/>
          <w:rtl w:val="1"/>
        </w:rPr>
        <w:t>حقوق بینالملل محیط زیست را از منظری میتوان محصول ترقی فناورانه و غلبه انسان بر قدرتهای محیطی قلمداد کرد. انسانِ سرخوش از پیشرفت صنعتی در سایه دستیابی به فوائد مثبت و غیرقابل انکار صنعت، بیآنکه به لحاظ سایر ابعاد پیشرفت خود بپردازد، روزی به خود آمد که فجایع زیست محیطی در زمینههای مختلف از قبیل آلودگی آب، هوا، مواد زائد جامد و خطرناک به مسئله روز او بدل گشته بود. (سما فرخنده نژاد و دیگران، 1397، 248) گویی موهبت طبیعت که روزی، رزق، رونق و رفاه انسان را رقم میزد، با بهرهکشی بیحد انسان از آن، سعی در یادآوری اناطه حق حیات او و نسلهای بعدش به حفاظت از محیط زیست داشت و با قهر خود خواست تا مهار نفس طغیان گر انسان را به دست آورد تا او را به استفاده صحیح از فناوری و مسئولانه از محیط زیست وادار سازد.</w:t>
      </w:r>
    </w:p>
    <w:p>
      <w:pPr>
        <w:bidi w:val="1"/>
        <w:spacing w:line="312" w:lineRule="auto" w:before="0" w:after="120"/>
        <w:ind w:firstLine="454"/>
        <w:jc w:val="both"/>
      </w:pPr>
      <w:r>
        <w:rPr>
          <w:rFonts w:ascii="Times New Roman" w:hAnsi="Times New Roman" w:cs="B Nazanin"/>
          <w:sz w:val="22"/>
          <w:szCs w:val="28"/>
          <w:rtl w:val="1"/>
        </w:rPr>
        <w:t>شدت عمل انسانی و آسیبهای شدید محیط زیستی را میتوان عناصر اصلی شکلگیری و توسعه سریع حقوق بینالملل محیط زیست نسبت به سایر شاخههای حقوقی دانست. گرچه سایر شاخههای علم حقوق نیز متأثر از علم و دانش انسانی هستند، ولی حقوق بینالملل محیط زیست به گونهای دیگر با آن در ارتباط است. در سایر شاخههای حقوق تأثیر علم بر موضوعی و بُعدی از حیات انسان است که به نظم حقوقی درآورده میشود درحالی که تأثیر علم بر محیط زیست از آن رو در حقوق بینالملل محیط زیست به نظم در آورده میشود که به طور مستقیم حیات بشری را متأثر میسازد. علاوه بر این، در تعریف فلسفه حقوق بینالملل محیط زیست آوردهاند «نگاه کلی حاکم بر چرایی بایدها و نبایدهای متوجه اعضای حقیقی و حقوقی جامعه در خصوص رعایت مقررات مربوط به مجموعه به هم پیوسته از عوامل بیرونی که رشد و حیات موجودات زنده انسانی و جانوری و گیاهی متأثر از آن است». (عزیزاله فهیمی، 1387، 111) توسعه سریع حقوق بینالملل محیط زیست از طرفی موازنه سنتی حاکم بر روابط میان دولت‌ها در قالب حقوق بینالملل را نیز بر هم زده است. قواعد حقوق بینالملل رفتار دولت‌ها در قبال یکدیگر را به قاعده در آورده و از لحاظ تاریخی به آن‌ها در قلمروهای داخلی و ملیشان آزادی عمل اعطاء میکند. در حالی که پیدایش حقوق بینالملل محیط زیست این موازنه را به هم زده و دولت‌ها را در قبال اقداماتشان در رابطه با محیطزیستهای داخلی و محیط زیست جهانی مسئول ساخته است و از این رو فرسایش حاکمیتهای ملی را سبب گشته و بازتعریف آن را لازم ساخته است. (Agius,1998,269)</w:t>
      </w:r>
    </w:p>
    <w:p>
      <w:pPr>
        <w:pStyle w:val="GPEHeading3"/>
        <w:bidi w:val="1"/>
        <w:spacing w:line="312" w:lineRule="auto" w:before="200" w:after="120"/>
        <w:jc w:val="right"/>
      </w:pPr>
      <w:r>
        <w:rPr>
          <w:rFonts w:ascii="Times New Roman" w:hAnsi="Times New Roman" w:cs="B Nazanin"/>
          <w:sz w:val="24"/>
          <w:szCs w:val="24"/>
          <w:rtl w:val="1"/>
          <w:b/>
          <w:bCs/>
          <w:color w:val="14203a"/>
        </w:rPr>
        <w:t>۲-۱-۱ حقوق نرم</w:t>
      </w:r>
    </w:p>
    <w:p>
      <w:pPr>
        <w:bidi w:val="1"/>
        <w:spacing w:line="312" w:lineRule="auto" w:before="0" w:after="120"/>
        <w:ind w:firstLine="454"/>
        <w:jc w:val="both"/>
      </w:pPr>
      <w:r>
        <w:rPr>
          <w:rFonts w:ascii="Times New Roman" w:hAnsi="Times New Roman" w:cs="B Nazanin"/>
          <w:sz w:val="22"/>
          <w:szCs w:val="28"/>
          <w:rtl w:val="1"/>
        </w:rPr>
        <w:t>«حقوق نرم مجموعه تعهدات و پیمانهایی است که توسط طرفین مذاکره کننده ایجاد شده است و قانوناً الزامآور نیست و به جای باید از شاید استفاده میکند که نشاندهنده انعطاف آن در قبال رفتار و عملکرد دولتها است». (جعفری و توتونچیان،1400، 241) در واقع، در حقوق نرم هدف از قواعد مدونه یا مورد قبول، نه الزام تابع بلکه هدایت او است. حقوق نرم تقریباً از هر حیث از این صفت برخوردار است. به عبارت دیگر، مانند منابع کلاسیک حقوق بینالملل نه از تشریفات لازم و طی شونده برای لازمالاجرا شدن برخوردار است، نه الزامآور است و نه ضمانت اجرای ناشی از نقض آن مشابه قواعد حقوق سخت است. با این حال وجه اشتراک هر دو دسته از قواعد این است که هر دو منابع حقوق بینالملل را شکل میدهند. ماهیت افقی حقوق بینالملل بیش از هر عنصر دیگری در پدیداری حقوق نرم در ساحت خود مؤثر واقع شده است. بهطوری که اثر این دسته از قواعد را در شاخههای مختلف حقوق بینالملل، در رویۀ تابعان اصلی آن، در تصمیمات مراجع قضایی و شبه قضایی بینالمللی نیز میتوان مورد ملاحظه قرار داد. با این حال محل اصلی طرح حقوق نرم، حوزه قواعد حقوق بین الملل است که متضمن حقها و تعهدات دولتها میباشد. اما از آنجا که گاهی در رابطه با موضوع حقوق و تکالیف دولتها، وجود حق و تکلیف ضروری و مورد توافق قرار می‌گیرد ولی حدود آن گرچه مشخص ولی غیرقابل توافق مینماید، در این موارد حقوق نرم توصیه به اکتفاء به حداقلهای غیرالزامآور میکند و با امید نیل به توافق نهایی به انتظار مینشیند. به تعبیری دیگر، حقوق نرم را میتوان این گونه تعریف کرد «هنجارهای بین المللی که عمداً ماهیت غیرالزام آوری دارند اما هم چنان دارای اهمیت حقوقی هستند و به تعبیری مابین حقوق و سیاست قرار دارند. مهم‌ترین مثال‌های آن قطعنامه‌های سازمان‌های بین المللی، برنامه‌های اقدام و رفتارنامه هاست.» (Birger Skjarseth and others,2006,104)</w:t>
      </w:r>
    </w:p>
    <w:p>
      <w:pPr>
        <w:bidi w:val="1"/>
        <w:spacing w:line="312" w:lineRule="auto" w:before="0" w:after="120"/>
        <w:ind w:firstLine="454"/>
        <w:jc w:val="both"/>
      </w:pPr>
      <w:r>
        <w:rPr>
          <w:rFonts w:ascii="Times New Roman" w:hAnsi="Times New Roman" w:cs="B Nazanin"/>
          <w:sz w:val="22"/>
          <w:szCs w:val="28"/>
          <w:rtl w:val="1"/>
        </w:rPr>
        <w:t>منافع گرهخورده دولتها به محیطزیست و تقلّای آنها برای حفظ اریکه قدرت به هر نحو امکانپذیر، سبب شده که عرصه حقوق بینالملل محیط زیست مملوّ از اسناد حقوق نرم گردد. فقدان الزامآوری در ماهیت این دسته از حقوق، به معنای انتفای هرگونه اثرگذاری آنها نیست. در واقع در حقوق نرم سعی بر جایگزینی قدرت سیاسی به جای قدرت حقوقی است. نمونهای بارز در این خصوص اعلامیه ریو 1992 است. به عنوان یک سند حقوق نرم غیرالزامآور، امکان تصویب از سوی دولتها را ندارد، با این همه به اثبات رسیده است که در زمره تأثیرگذارترین اسناد در حوزه حقوق بینالملل محیطزیست میباشد. که در ادامه به آن خواهیم پرداخت.</w:t>
      </w:r>
    </w:p>
    <w:p>
      <w:pPr>
        <w:pStyle w:val="GPEHeading3"/>
        <w:bidi w:val="1"/>
        <w:spacing w:line="312" w:lineRule="auto" w:before="200" w:after="120"/>
        <w:jc w:val="right"/>
      </w:pPr>
      <w:r>
        <w:rPr>
          <w:rFonts w:ascii="Times New Roman" w:hAnsi="Times New Roman" w:cs="B Nazanin"/>
          <w:sz w:val="24"/>
          <w:szCs w:val="24"/>
          <w:rtl w:val="1"/>
          <w:b/>
          <w:bCs/>
          <w:color w:val="14203a"/>
        </w:rPr>
        <w:t>۲-۱-۱-۱ اعلامیه استکلهم 1972</w:t>
      </w:r>
    </w:p>
    <w:p>
      <w:pPr>
        <w:bidi w:val="1"/>
        <w:spacing w:line="312" w:lineRule="auto" w:before="0" w:after="120"/>
        <w:ind w:firstLine="454"/>
        <w:jc w:val="both"/>
      </w:pPr>
      <w:r>
        <w:rPr>
          <w:rFonts w:ascii="Times New Roman" w:hAnsi="Times New Roman" w:cs="B Nazanin"/>
          <w:sz w:val="22"/>
          <w:szCs w:val="28"/>
          <w:rtl w:val="1"/>
        </w:rPr>
        <w:t>در پاسخ به افزایش خطرات زیست محیطی در سطح جهانی، مجمع عمومی ملل متحد به موجب قطعنامه ای</w:t>
      </w:r>
      <w:r>
        <w:rPr>
          <w:rStyle w:val="FootnoteReference"/>
          <w:rtl w:val="1"/>
        </w:rPr>
        <w:footnoteReference w:id="4"/>
      </w:r>
      <w:r>
        <w:rPr>
          <w:rFonts w:ascii="Times New Roman" w:hAnsi="Times New Roman" w:cs="B Nazanin"/>
          <w:sz w:val="22"/>
          <w:szCs w:val="28"/>
          <w:rtl w:val="1"/>
        </w:rPr>
        <w:t xml:space="preserve"> در سال 1968 پیشنهاد تشکیل کنفرانس جهانی درباره محیط زیست انسانی را به منظور بررسی روابط بین مسائل محیط زیستی، اجتماعی و اقتصادی تصویب کرد که حدود 4 سال بعد در ژوئن 1972، کنفرانس ملل متحد در مورد محیط زیست انسانی در شهر استکهلم، سوئد تشکیل شد. در حالی که ریشه‌های حقوق بین الملل محیط زیست را می‌توان در پایان قرن نوزدهم یافت، تکامل این حوزه تخصصی را به طور جدی می‌توان با این کنفرانس دانست. کنفرانس استکهلم معمولاً به عنوان یک رویداد مهم در نظر گرفته می‌شود که به آغاز دوره جدیدی از دیپلماسی و قانون گذاری فشرده بین المللی محیط زیست کمک کرد. زیرا در آن برای اولین بار مسائل محیط زیستی به طور رسمی در سطح جهانی مطرح شد. اکثریت قریب به اتفاق موافقت نامه‌های چندجانبه محیط زیستی پس از کنفرانس استکهلم به تصویب رسیده اند. در حال حاضر هر ساله پنجم ژوئن 1972، روز افتتاحیه کنفرانس نامبرده، به عنوان روز جهانی محیط زیست جشن گرفته می‌شود. این اقدام، سرآغاز دوره مدرن حقوق بین الملل محیط زیست قلمداد می‌شود.</w:t>
      </w:r>
    </w:p>
    <w:p>
      <w:pPr>
        <w:bidi w:val="1"/>
        <w:spacing w:line="312" w:lineRule="auto" w:before="0" w:after="120"/>
        <w:ind w:firstLine="454"/>
        <w:jc w:val="both"/>
      </w:pPr>
      <w:r>
        <w:rPr>
          <w:rFonts w:ascii="Times New Roman" w:hAnsi="Times New Roman" w:cs="B Nazanin"/>
          <w:sz w:val="22"/>
          <w:szCs w:val="28"/>
          <w:rtl w:val="1"/>
        </w:rPr>
        <w:t>در این کنفرانس چند سند مهم به تصویب رسید که از جمله میتوان به اعلامیه کنفرانس ملل متحد در مورد محیط زیست انسانی</w:t>
      </w:r>
      <w:r>
        <w:rPr>
          <w:rStyle w:val="FootnoteReference"/>
          <w:rtl w:val="1"/>
        </w:rPr>
        <w:footnoteReference w:id="5"/>
      </w:r>
      <w:r>
        <w:rPr>
          <w:rFonts w:ascii="Times New Roman" w:hAnsi="Times New Roman" w:cs="B Nazanin"/>
          <w:sz w:val="22"/>
          <w:szCs w:val="28"/>
          <w:rtl w:val="1"/>
        </w:rPr>
        <w:t xml:space="preserve"> در 26 اصل در راستای حفاظت از محیط زیست و یک برنامه اقدام بلند مدت مشتمل بر 109 توصیه در مورد تمهیدات هماهنگ برای مقابله با مشکلات محیط زیستی اشاره کرد. این کنفرانس نتایج دیگری را نیز هم چون تاسیس برنامه محیط زیست ملل متحد و صندوق محیط زیست را به دنبال داشت. اعلامیه استکهلم اولین سند جهانی با اهمیت در خصوص موضوعات محیط زیستی است. اعلامیه استکهلم قبل از هر چیز بر ماموریت و مسئولیت تاریخی بشر برای حفاظت و انتقال زمین به نسل‌های آینده و مناسب برای زندگی تاکید می‌کند. این اعلامیه همچنین برای اولین بار، حق زندگی یک فرد را تحت شرایط محیطی مساعد اعلام می‌کند. مفاد آن به مواردی هم چون موضوعات زیر اشاره نموده و متعاقباً در اسناد بعدی حقوق بین الملل محیط زیست از جمله در موافقت نامه‌های چند جانبه محیط زیستی نفوذ کردند: منافع نسل حاضر و آینده، منابع تجدیدپذیر در مقابل منابع غیرقابل تجدیدپذیر، اکوسیستم ها، آسیب جدی یا غیرقابل برگشت، توسعه اقتصادی و اجتماعی، انتقال کمک‌های مالی و تکنولوژی به کشورهای در حال توسعه و نیاز به ظرفیت سازی، ادغام توسعه و محیط زیست، نیاز به همکاری بین المللی و حق حاکمیتی برای بهره برداری از منابع داخلی. دیوان بین المللی دادگستری بعداً تایید نمود که «حق حاکمیتی برای بهره برداری از منابع داخلی» در قلمرو حقوق بین الملل عرفی صرف نظر از درج این اصل در موافقت نامه‌های چند جانبه محیط زیستی دیگر قرار دارد.(UNEP,2024,23)</w:t>
      </w:r>
    </w:p>
    <w:p>
      <w:pPr>
        <w:bidi w:val="1"/>
        <w:spacing w:line="312" w:lineRule="auto" w:before="0" w:after="120"/>
        <w:ind w:firstLine="454"/>
        <w:jc w:val="both"/>
      </w:pPr>
      <w:r>
        <w:rPr>
          <w:rFonts w:ascii="Times New Roman" w:hAnsi="Times New Roman" w:cs="B Nazanin"/>
          <w:sz w:val="22"/>
          <w:szCs w:val="28"/>
          <w:rtl w:val="1"/>
        </w:rPr>
        <w:t>اعلامیه استکهلم توانست ضمن جمعآوری برخی از اصول عرفی پراکنده در یک متن حقوقی غیرالزام-آور، باعث توسعه محتوای حقوق بین الملل محیط زیست در طول دهه‌های گذشته و ظهور شمار زیادی از موافقت نامه‌های چندجانبه محیط زیستی، اصول، مفاهیم و هنجارهای حقوقی شود. برای اولینبار این اعلامیه توانست با صراحت بین محیطزیست و حقوق بشر پیوند و ارتباط ناگسستنی ایجاد کند. به گونهای که بدون محیط زیست سالم، حقوق پایهای بشر مثل حق حیات نیز مخدوش و متزلزل خواهد شد. در واقع آنچه محیط زیست در پی آن است این است که انسان‌ها حق دارند که محیط زیست آن‌ها از شرایط مناسب برای زندگی سعادتمندانه توأم با امنیت و سلامت برخوردار باشد. به طور کلی این اعلامیه نگاهی مثبت به فعالیت‌های انسانی برای نیل به توسعه دارد، اما اگر فعالیتی به ضرر سلامت جسمی و روانی بشر و باعث آسیبرسانی به محیط زیست از طریق آلوده کردن آب، هوا، خاک و به هم خوردن تعادل اکولوژیکی شود، آن را رد میکند.</w:t>
      </w:r>
    </w:p>
    <w:p>
      <w:pPr>
        <w:pStyle w:val="GPEHeading3"/>
        <w:bidi w:val="1"/>
        <w:spacing w:line="312" w:lineRule="auto" w:before="200" w:after="120"/>
        <w:jc w:val="right"/>
      </w:pPr>
      <w:r>
        <w:rPr>
          <w:rFonts w:ascii="Times New Roman" w:hAnsi="Times New Roman" w:cs="B Nazanin"/>
          <w:sz w:val="24"/>
          <w:szCs w:val="24"/>
          <w:rtl w:val="1"/>
          <w:b/>
          <w:bCs/>
          <w:color w:val="14203a"/>
        </w:rPr>
        <w:t>۲-۱-۱-۲ منشور جهانی طبیعت 1982</w:t>
      </w:r>
    </w:p>
    <w:p>
      <w:pPr>
        <w:bidi w:val="1"/>
        <w:spacing w:line="312" w:lineRule="auto" w:before="0" w:after="120"/>
        <w:ind w:firstLine="454"/>
        <w:jc w:val="both"/>
      </w:pPr>
      <w:r>
        <w:rPr>
          <w:rFonts w:ascii="Times New Roman" w:hAnsi="Times New Roman" w:cs="B Nazanin"/>
          <w:sz w:val="22"/>
          <w:szCs w:val="28"/>
          <w:rtl w:val="1"/>
        </w:rPr>
        <w:t>پس از کنفرانس استکهلم و در پی افزایش نگرانی‌ها درباره وضعیت محیط زیست، ایده تدوین یک منشور جهانی برای طبیعت</w:t>
      </w:r>
      <w:r>
        <w:rPr>
          <w:rStyle w:val="FootnoteReference"/>
          <w:rtl w:val="1"/>
        </w:rPr>
        <w:footnoteReference w:id="6"/>
      </w:r>
      <w:r>
        <w:rPr>
          <w:rFonts w:ascii="Times New Roman" w:hAnsi="Times New Roman" w:cs="B Nazanin"/>
          <w:sz w:val="22"/>
          <w:szCs w:val="28"/>
          <w:rtl w:val="1"/>
        </w:rPr>
        <w:t xml:space="preserve"> به وجود آمد. این ایده به منظور ارتقاء اصول اخلاقی و قانونی برای حفاظت از جهان طبیعی و تنوع زیستی شکل گرفت. کشورهای در حال توسعه، و به ویژه کشور زئیر (جمهوری دموکراتیک کنگو فعلی)، نقش کلیدی در تدوین منشور جهانی طبیعت ایفا کردند. رئیس‌جمهور موبوتو از زئیر</w:t>
      </w:r>
      <w:r>
        <w:rPr>
          <w:rStyle w:val="FootnoteReference"/>
          <w:rtl w:val="1"/>
        </w:rPr>
        <w:footnoteReference w:id="7"/>
      </w:r>
      <w:r>
        <w:rPr>
          <w:rFonts w:ascii="Times New Roman" w:hAnsi="Times New Roman" w:cs="B Nazanin"/>
          <w:sz w:val="22"/>
          <w:szCs w:val="28"/>
          <w:rtl w:val="1"/>
        </w:rPr>
        <w:t xml:space="preserve"> در سپتامبر 1975 ایده منشور جهانی طبیعت را به دوازدهمین مجمع عمومی اتحادیه بین‌المللی حفاظت از طبیعت</w:t>
      </w:r>
      <w:r>
        <w:rPr>
          <w:rStyle w:val="FootnoteReference"/>
          <w:rtl w:val="1"/>
        </w:rPr>
        <w:footnoteReference w:id="8"/>
      </w:r>
      <w:r>
        <w:rPr>
          <w:rFonts w:ascii="Times New Roman" w:hAnsi="Times New Roman" w:cs="B Nazanin"/>
          <w:sz w:val="22"/>
          <w:szCs w:val="28"/>
          <w:rtl w:val="1"/>
        </w:rPr>
        <w:t xml:space="preserve"> پیشنهاد داد. پیشنهاد وی در مجمع اتحادیه تایید و پیش نویس منشور در نوامبر 1979 تهیه شد. در ژوئن 1980، کشور زئیر پیش‌نویس منشور جهانی طبیعت را به دبیرکل سازمان ملل متحد ارائه نمود. در اکتبر 1980، مجمع عمومی از کشورهای عضو دعوت کرد تا نظرات خود را درباره پیش‌نویس با کمک یک گروه کارشناسی موقت که توسط برنامه محیط زیست سازمان ملل تشکیل شده بود، با یکدیگر به اشتراک بگذارند. مجمع عمومی در نهایت منشور را در اکتبر سال 1982 با 111 رأی در برابر 1 رأی تصویب کرد</w:t>
      </w:r>
      <w:r>
        <w:rPr>
          <w:rStyle w:val="FootnoteReference"/>
          <w:rtl w:val="1"/>
        </w:rPr>
        <w:footnoteReference w:id="9"/>
      </w:r>
      <w:r>
        <w:rPr>
          <w:rFonts w:ascii="Times New Roman" w:hAnsi="Times New Roman" w:cs="B Nazanin"/>
          <w:sz w:val="22"/>
          <w:szCs w:val="28"/>
          <w:rtl w:val="1"/>
        </w:rPr>
        <w:t xml:space="preserve"> که در این رأی‌گیری ایالات متحده تنها رأی مخالف را به خود اختصاص داد. (W.Wood,1985,978-979)</w:t>
      </w:r>
    </w:p>
    <w:p>
      <w:pPr>
        <w:bidi w:val="1"/>
        <w:spacing w:line="312" w:lineRule="auto" w:before="0" w:after="120"/>
        <w:ind w:firstLine="454"/>
        <w:jc w:val="both"/>
      </w:pPr>
      <w:r>
        <w:rPr>
          <w:rFonts w:ascii="Times New Roman" w:hAnsi="Times New Roman" w:cs="B Nazanin"/>
          <w:sz w:val="22"/>
          <w:szCs w:val="28"/>
          <w:rtl w:val="1"/>
        </w:rPr>
        <w:t>منشور جهانی طبیعت شامل چهار بخش مقدمه، اصول کلی، عملکرد و اجرا می‌باشد. نکته قابل توجه در خصوص منشور جهانی طبیعت این است که علی رغم اینکه از اسناد حقوق نرم محسوب میشود، از همان نخستین نسخه، از عبارت دستوری shall در تنظیم قواعد آن به جای should که ماهیت غیردستوری دارد، استفاده شده است. همین موضوع در زمان تصویب نیز محل بحث بود. گروه کارشناسی موقت زبان الزامی اصلی متن پیش‌نویس را حفظ کرد. گروه در گزارش خود، خاطرنشان کرد که "به‌طور طبیعی"، منشور نمی‌تواند هیچ‌گونه الزام قانونی داشته باشد و علاوه براین مکانیسم پایبندی به آن متصل نیست. منشور، هرچند که از نظر تأثیر کاملاً غیرالزام‌آور است، ویژگی اعلامیه ای دارد که دولت‌ها باید آن‌ها را رعایت کنند. (Ibid,982) در آن زمان بسیاری از قطعنامه‌های سازمان ملل از ادبیات الزامی استفاده می‌کردند، در حالی که اساساً الزام آور نبودند. مثال بارز آن، اعلامیه جهانی حقوق بشر بود که در آن نیز shall به کاررفته است. در بخش اجرا، منشور به مسئولیت‌های محیط زیستی نه تنها دولت ها، بلکه سازمان‌های بین المللی، شرکت ها، گروه‌ها و حتی افراد پرداخته است. البته این امر مورد انتقاد برخی از کشورها قرار گرفت. اگر منشور را همانند اعلامیه جهانی حقوق بشر یک آیین نامه اخلاقی</w:t>
      </w:r>
      <w:r>
        <w:rPr>
          <w:rStyle w:val="FootnoteReference"/>
          <w:rtl w:val="1"/>
        </w:rPr>
        <w:footnoteReference w:id="10"/>
      </w:r>
      <w:r>
        <w:rPr>
          <w:rFonts w:ascii="Times New Roman" w:hAnsi="Times New Roman" w:cs="B Nazanin"/>
          <w:sz w:val="22"/>
          <w:szCs w:val="28"/>
          <w:rtl w:val="1"/>
        </w:rPr>
        <w:t xml:space="preserve"> در نظر بگیریم، حوزه به کارگیری آن لزوماً باید گسترده باشد. اهداف منشور برای نوع بشر است و نه صرفاٌ برای سازوکارهای سیاسی. از این رو همه سازوکارهای انسانی- اجتماعی در قبال آسیب‌های محیط زیستی و پتانسیل بهبود محیط زیست، مسئولیت مشترک دارند. (Ibid,990)</w:t>
      </w:r>
    </w:p>
    <w:p>
      <w:pPr>
        <w:bidi w:val="1"/>
        <w:spacing w:line="312" w:lineRule="auto" w:before="0" w:after="120"/>
        <w:ind w:firstLine="454"/>
        <w:jc w:val="both"/>
      </w:pPr>
      <w:r>
        <w:rPr>
          <w:rFonts w:ascii="Times New Roman" w:hAnsi="Times New Roman" w:cs="B Nazanin"/>
          <w:sz w:val="22"/>
          <w:szCs w:val="28"/>
          <w:rtl w:val="1"/>
        </w:rPr>
        <w:t>در مقام تحلیل می‌توان گفت، هدف از تدوین منشور جهانی طبیعت در قالب قطعنامه غیرالزام آور مجمع عمومی، ارائه "آرزوها" است. از این منظر نیز می‌توان منشور جهانی طبیعت را با اعلامیه جهانی حقوق بشر مقایسه نمود که هر دو شامل چندین بخش آرزومندانه هستند که هیچ‌گاه به‌طور مستقیم اجرا نشده‌اند. منشور، به عنوان یک سند بین‌المللی غیرالزام‌آور، هیچ گونه تعهدی را به کشورهای عضو تحمیل نمی‌کند و بنابراین، تأثیر آن بیشتر براساس پذیرش عمومی و آثار اخلاقی آن در سطح جهانی بوده است. با این حال، با توجه به حمایت گسترده‌ای که از سوی دولت‌ها در زمان تصویب آن صورت گرفت، نمی‌توان آن را صرفاً یک اقدام نمادین دانست. در واقع، منشور جهانی طبیعت به عنوان یک سند حقوق نرم شناخته می‌شود که اصولی را برای حفاظت از طبیعت و منابع طبیعی تعیین می‌کند، اما اجرای آن بستگی به قوانین و رویه‌های ملی دارد. اگرچه منشور جهانی طبیعت ممکن است آرزوهایی را مطرح کند که تحقق آن‌ها دشوار باشد، اما هدف آن ترویج آگاهی و مسئولیت‌های اخلاقی در قبال محیط زیست است. مفاد آرزومندانه منشور جهانی طبیعت استانداردهایی را تعیین می‌کنند که بسیاری از کشورها هنوز به آن‌ها نرسیده‌اند، اما باید برای دستیابی به آن‌ها تلاش کنند. این مفاد به‌عنوان راهنمایی برای کشورها عمل می‌کند تا حفاظت از محیط زیست را در برنامه‌های توسعه و فرآیندهای تصمیم‌گیری خود ادغام کنند.</w:t>
      </w:r>
    </w:p>
    <w:p>
      <w:pPr>
        <w:bidi w:val="1"/>
        <w:spacing w:line="312" w:lineRule="auto" w:before="0" w:after="120"/>
        <w:ind w:firstLine="454"/>
        <w:jc w:val="both"/>
      </w:pPr>
      <w:r>
        <w:rPr>
          <w:rFonts w:ascii="Times New Roman" w:hAnsi="Times New Roman" w:cs="B Nazanin"/>
          <w:sz w:val="22"/>
          <w:szCs w:val="28"/>
          <w:rtl w:val="1"/>
        </w:rPr>
        <w:t>در آن برهه زمانی، منشورجهانی طبیعت به عنوان اولین اعلامیه بین المللی در خصوص مسئولیت‌های بشر در قبال طبیعت مستحق توجه رهبران سیاسی، تجاری و اجتماعی زمانه بود. اقدامی هر چند نمادین، اما گام مهمی در جهت حفاظت از منابع طبیعی ارزیابی می‌گردد. «منشور جهانی طبیعت به طور ناگهانی جهان را تغییر نخواهد داد. اعلامیه جهانی حقوق بشر نیز چنین بود. اما این یک گام بزرگ و رو به جلو است که مقوله حفاظت از طبیعت در میان عالی‌ترین اصول سازمان ملل متحد گنجانده شود.» (Ibid,991).</w:t>
      </w:r>
    </w:p>
    <w:p>
      <w:pPr>
        <w:pStyle w:val="GPEHeading3"/>
        <w:bidi w:val="1"/>
        <w:spacing w:line="312" w:lineRule="auto" w:before="200" w:after="120"/>
        <w:jc w:val="right"/>
      </w:pPr>
      <w:r>
        <w:rPr>
          <w:rFonts w:ascii="Times New Roman" w:hAnsi="Times New Roman" w:cs="B Nazanin"/>
          <w:sz w:val="24"/>
          <w:szCs w:val="24"/>
          <w:rtl w:val="1"/>
          <w:b/>
          <w:bCs/>
          <w:color w:val="14203a"/>
        </w:rPr>
        <w:t>۲-۱-۱-۳ برنامه مونته ویدئو 1982</w:t>
      </w:r>
    </w:p>
    <w:p>
      <w:pPr>
        <w:bidi w:val="1"/>
        <w:spacing w:line="312" w:lineRule="auto" w:before="0" w:after="120"/>
        <w:ind w:firstLine="454"/>
        <w:jc w:val="both"/>
      </w:pPr>
      <w:r>
        <w:rPr>
          <w:rFonts w:ascii="Times New Roman" w:hAnsi="Times New Roman" w:cs="B Nazanin"/>
          <w:sz w:val="22"/>
          <w:szCs w:val="28"/>
          <w:rtl w:val="1"/>
        </w:rPr>
        <w:t>برنامه محیط زیست سازمان ملل از سال 1982 مبادرت به اتخاذ فعالیت‌های حقوق محیط زیستی براساس برنامه‌های ده ساله متوالی به نام «برنامه مونته ویدئو» به منظور توسعه و ارزیابی دوره ای از حقوق محیط زیست نمود. این برنامه، برنامه ای بین دولتی در خصوص ترویج و اجرای حقوق محیط زیست است که برنامه محیط زیست ملل متحد به عنوان دبیرخانه آن عمل می‌کند. این برنامه به واقع در توسعه قوانین محیط زیست داخلی و قواعد بین المللی در دهه‌های گذشته نقش اساسی داشته است. برنامه مونته ویدئو جامعه بین المللی را در توسعه حقوق بین الملل محیط زیست به گونه ای که سیاست‌های مبتنی بر علم</w:t>
      </w:r>
      <w:r>
        <w:rPr>
          <w:rStyle w:val="FootnoteReference"/>
          <w:rtl w:val="1"/>
        </w:rPr>
        <w:footnoteReference w:id="11"/>
      </w:r>
      <w:r>
        <w:rPr>
          <w:rFonts w:ascii="Times New Roman" w:hAnsi="Times New Roman" w:cs="B Nazanin"/>
          <w:sz w:val="22"/>
          <w:szCs w:val="28"/>
          <w:rtl w:val="1"/>
        </w:rPr>
        <w:t xml:space="preserve"> را به قواعد و استانداردهای مبتنی بر عمل</w:t>
      </w:r>
      <w:r>
        <w:rPr>
          <w:rStyle w:val="FootnoteReference"/>
          <w:rtl w:val="1"/>
        </w:rPr>
        <w:footnoteReference w:id="12"/>
      </w:r>
      <w:r>
        <w:rPr>
          <w:rFonts w:ascii="Times New Roman" w:hAnsi="Times New Roman" w:cs="B Nazanin"/>
          <w:sz w:val="22"/>
          <w:szCs w:val="28"/>
          <w:rtl w:val="1"/>
        </w:rPr>
        <w:t xml:space="preserve"> تبدیل می‌کند، راهبری می‌کند. علاوه بر این، برخی از موافقت نامه‌های چند جانبه محیط زیستی، مانند کنوانسیون وین در مورد حفاظت از لایه اوزن و کنوانسیون بازل در مورد جابجایی فرامرزی زباله‌های خطرناک، که تحت نظارت برنامه محیط زیست ملل متحد مذاکره شده اند، ریشه‌های خود را در فعالیت هایی که براساس برنامه مونته ویدئو اتخاذ و تقویت شده اند، پیدا می‌کنند. اهداف کلان برنامه مونته ویدئو عبارت است از: حمایت از توسعه قانونگذاری و چارچوب‌های قانونی محیط زیستی کافی و مؤثر در همه سطوح برای رسیدگی به مسائل محیط زیستی؛ تقویت اجرای مؤثر قوانین محیط زیست در سطح ملی؛ تقویت ظرفیت سازی برای اثربخشی بیشتر حقوق محیط زیست برای همه ذی نفعان و در همه سطوح؛ حمایت از دولت‌های ملی بنا به درخواست آن‌ها در توسعه و اجرای قوانین محیط زیستی و ارتقاء نقش حقوق محیط زیست در زمینه حکمرانی موثر محیط زیستی؛ اولین، دومین، سومین و چهارمین برنامه مونته ویدئو به ترتیب در سال‌های 1982، 1993، 2001 و 2009 پذیرفته شد. در مارس 2019 مجمع محیط زیست ملل متحد پنجمین برنامه مونته ویدئو را برای بازه زمانی ژانویه 2020 لغایت دسامبر 2029 با تمرکز بر تغییر اقلیم، تاب آوری در برابر بلایا، اکوسیستم‌های سالم و سازنده، حکمرانی محیط زیست، مواد شیمایی و زباله وکیفیت هوا و بهره وری منابع تصویب نمود. (www.unep.org,14Dec.2024)</w:t>
      </w:r>
    </w:p>
    <w:p>
      <w:pPr>
        <w:pStyle w:val="GPEHeading3"/>
        <w:bidi w:val="1"/>
        <w:spacing w:line="312" w:lineRule="auto" w:before="200" w:after="120"/>
        <w:jc w:val="right"/>
      </w:pPr>
      <w:r>
        <w:rPr>
          <w:rFonts w:ascii="Times New Roman" w:hAnsi="Times New Roman" w:cs="B Nazanin"/>
          <w:sz w:val="24"/>
          <w:szCs w:val="24"/>
          <w:rtl w:val="1"/>
          <w:b/>
          <w:bCs/>
          <w:color w:val="14203a"/>
        </w:rPr>
        <w:t>۲-۱-۱-۴ اعلامیه ریو 1992</w:t>
      </w:r>
    </w:p>
    <w:p>
      <w:pPr>
        <w:bidi w:val="1"/>
        <w:spacing w:line="312" w:lineRule="auto" w:before="0" w:after="120"/>
        <w:ind w:firstLine="454"/>
        <w:jc w:val="both"/>
      </w:pPr>
      <w:r>
        <w:rPr>
          <w:rFonts w:ascii="Times New Roman" w:hAnsi="Times New Roman" w:cs="B Nazanin"/>
          <w:sz w:val="22"/>
          <w:szCs w:val="28"/>
          <w:rtl w:val="1"/>
        </w:rPr>
        <w:t>بعد از تصویب اعلامیه استکهلم، منشور جهانی طبیعت به دنبال تدوین اصول لازم برای حفاظت از منابع طبیعی به ابتکار کشورهای در حال توسعه بود. متاسفانه اقدامات بعد تصویب منشور جهانی طبیعت حاکی از عقب نشینی از اهداف منشور جهانی طبیعت بودند. تنها در سال 1987 گزارشی تحت عنوان «آینده مشترک ما» از سوی کمیسیون جهانی محیط زیست و توسعه</w:t>
      </w:r>
      <w:r>
        <w:rPr>
          <w:rStyle w:val="FootnoteReference"/>
          <w:rtl w:val="1"/>
        </w:rPr>
        <w:footnoteReference w:id="13"/>
      </w:r>
      <w:r>
        <w:rPr>
          <w:rFonts w:ascii="Times New Roman" w:hAnsi="Times New Roman" w:cs="B Nazanin"/>
          <w:sz w:val="22"/>
          <w:szCs w:val="28"/>
          <w:rtl w:val="1"/>
        </w:rPr>
        <w:t xml:space="preserve"> منتشر شد که این گزارش با نام رئیس وقت کمیسیون خانم گرو هارلم بروندلند</w:t>
      </w:r>
      <w:r>
        <w:rPr>
          <w:rStyle w:val="FootnoteReference"/>
          <w:rtl w:val="1"/>
        </w:rPr>
        <w:footnoteReference w:id="14"/>
      </w:r>
      <w:r>
        <w:rPr>
          <w:rFonts w:ascii="Times New Roman" w:hAnsi="Times New Roman" w:cs="B Nazanin"/>
          <w:sz w:val="22"/>
          <w:szCs w:val="28"/>
          <w:rtl w:val="1"/>
        </w:rPr>
        <w:t xml:space="preserve"> (نخست وزیر سابق نروژ) به گزارش بروندلند معروف شد و به صورت بنیادین اصول راهنمای توسعه پایدار را تدوین نمود و خلاصه ای از اصول حقوقی پیشنهادی برای حفاظت از محیط زیست و توسعه پایدار را جمع آوری کرد که الهام بخش اعلان رسمی پیشنهادهایی راجع به ساختار حقوقی حقوق بین الملل محیط زیست گردید. (Canovas,2020 ,13) گزارش بروندلند نقش قابل توجهی را در تحولات آتی حقوق بین الملل محیط زیست و موافقت نامه‌های چندجانبه محیط زیستی ایفا نموده است. این گزارش بیان نمود که مشکلات حیاتی محیط زیست جهانی در درجه اول نتیجه فقر عظیم کشورهای جنوب و الگوهای غیرپایدار مصرف و تولید در شمال است. این کمیسیون خواستار راهبردی شد که توسعه و محیط زیست را متحد کند - که با اصطلاح رایج "توسعه پایدار" توصیف می‌شود. براساس گزارش، توسعه پایدار توسعه ای است که نیازهای زمان حال را بدون به خطر انداختن توانایی نسل‌های آینده برای برآوردن نیازهای خود، برآورده می‌کند. کمیسیون جهانی محیط زیست و توسعه پیشنهاد کرد که مجمع عمومی خود را متعهد به تهیه یک اعلامیه جهانی و بعداً کنوانسیون حفاظت از محیط زیست و توسعه پایدار کند. این گزارش در سال 1989 در مجمع عمومی سازمان ملل متحد مورد بحث قرار گرفت و کنفرانس سازمان ملل در مورد محیط زیست و توسعه معروف به «نشست زمین»</w:t>
      </w:r>
      <w:r>
        <w:rPr>
          <w:rStyle w:val="FootnoteReference"/>
          <w:rtl w:val="1"/>
        </w:rPr>
        <w:footnoteReference w:id="15"/>
      </w:r>
      <w:r>
        <w:rPr>
          <w:rFonts w:ascii="Times New Roman" w:hAnsi="Times New Roman" w:cs="B Nazanin"/>
          <w:sz w:val="22"/>
          <w:szCs w:val="28"/>
          <w:rtl w:val="1"/>
        </w:rPr>
        <w:t xml:space="preserve"> در ژوئن سال 1992 در شهر ریودوژانیرو برزیل برگزار گردید. (Riath,2018,5) بنابراین، این گزارش مبنای اصلی کنفرانس ریو قرار گرفت و باعث شد که تمرکز کنفرانس از محیط زیست انسانی به موضوعات توسعه ای فراتر رود. کنفرانس ریو پایه ریز مفهوم «توسعه پایدار» در حقوق بین الملل گردید. «نتایج این کنفرانس به شرح زیر می‌باشد: پذیرش اعلامیه ریو در خصوص محیط زیست و توسعه، آغاز فرایند امضا کنوانسیون چارچوبی سازمان ملل متحد در خصوص تغییر اقلیم و کنوانسیون تنوع زیستی، تداوم مذاکره در خصوص کنوانسیون سازمان ملل متحد به منظور مقابله با بیابان زایی، پذیرش برنامه اقدام به نام دستور کار 21، بیانیه غیرالزام آور اصول اجماعی در خصوص مدیریت، حفاظت و استفاده پایدار از تمام انواع جنگل‌ها و در نهایت، تاسیس کمیسیون توسعه پایدار» (UNEP,2024,24)</w:t>
      </w:r>
    </w:p>
    <w:p>
      <w:pPr>
        <w:bidi w:val="1"/>
        <w:spacing w:line="312" w:lineRule="auto" w:before="0" w:after="120"/>
        <w:ind w:firstLine="454"/>
        <w:jc w:val="both"/>
      </w:pPr>
      <w:r>
        <w:rPr>
          <w:rFonts w:ascii="Times New Roman" w:hAnsi="Times New Roman" w:cs="B Nazanin"/>
          <w:sz w:val="22"/>
          <w:szCs w:val="28"/>
          <w:rtl w:val="1"/>
        </w:rPr>
        <w:t>اعلامیه‌های استکهلم و ریو نتیجه کنفرانس هایی هستند که زیر نظر سازمان ملل متحد برگزار شدند و به عنوان نخستین گام‌ها در جهت توسعه تدریجی حقوق بین الملل محیطزیست محسوب می‌شوند. همانطور که از نام آن‌ها پیداست در قالب «اعلامیه» تنظیم شده اند. اساساً محتوای اعلامیه‌ها دارای آثار حقوقی الزام آور همانند سایر اسناد بین المللی نیست و به زعم اکثر آموزه‌های حقوقی مفاد این اسناد جزء حقوق قوام نایافته است. هرچند که این دو اعلامیه جملگی جزء اسناد حقوقی الزام آور محسوب نمی‌شوند ولی مبین ظهور اصولی هستند که در عملکرد دولت‌ها مورد توجه قرار گرفته و مبانی شکل گیری سایر کنوانسیون‌های بین المللی محیط زیستی را شکل داده اند. باید توجه داشت که محتوای اصول مذکور در این دو سند دارای ارزش حقوقی یکسانی نیستند؛ بعضی از این اصول در بردارنده ماهیتی اعلامی و بعضی در بردارنده تعهدات بین المللی برای دولت‌ها هستند. این موضوع سبب ایجاد رویکردهای دوگانه نسبت به ماهیت و ارزش حقوقی این اعلامیه‌ها در نظام بین المللی گردید.(Bosselmann,2004,60-64)</w:t>
      </w:r>
    </w:p>
    <w:p>
      <w:pPr>
        <w:bidi w:val="1"/>
        <w:spacing w:line="312" w:lineRule="auto" w:before="0" w:after="120"/>
        <w:ind w:firstLine="454"/>
        <w:jc w:val="both"/>
      </w:pPr>
      <w:r>
        <w:rPr>
          <w:rFonts w:ascii="Times New Roman" w:hAnsi="Times New Roman" w:cs="B Nazanin"/>
          <w:sz w:val="22"/>
          <w:szCs w:val="28"/>
          <w:rtl w:val="1"/>
        </w:rPr>
        <w:t>اعلامیه ریو با تاکید بر توسعه پایدار به عنوان یک راه حل موثر برای مشکلات محیط زیستی، شامل 27 اصل جهت پیشبرد اهداف محیط زیستی و اجتماعی و با رویکرد همکاری بین المللی و تعهد کشورهای توسعه یافته در جهت کمک به کشورهای در حال توسعه و هم چنین پذیرش نیاز به تعادل میان توسعه اقتصادی و حفاظت از محیط زیست نهایی شد. عمدتاً این سند با اعلامیه استکهلم به عنوان یک سندی که بیشتر جنبه عمومی و اخلاقی داشت و در مقام تمرکز بر حق بشر بر محیط زیست سالم، مخاطب قرار دادن کشورهای توسعه یافته و غفلت از توجه کافی به نیازهای کشورهای در حال توسعه و چالش آن ها، پیشگیری، بهبود شرایط زندگی (اشاره به محتوای مفهوم توسعه پایدار)، همکاری بین المللی، آموزش و آگاهی، تحقیق و توسعه فناوری‌های مناسب برای حفظ محیط زیست و حفاظت از منابع طبیعی بود، تفاوت هایی در اصول مندرج دارد. اعلامیه ریو مبادرت طرح موضوعات نوین هم چون توسعه پایدار، حق توسعه، اهمیت مشارکت عمومی و جوامع مدنی، توجه به وضعیت خاص و نیاز کشورهای در حال توسعه به ویژه کشورهای کمتر توسعه یافته، اصل تاریخی مسئولیت مشترک اما متفاوت، حمایت از تنوع زیستی به عنوان بخشی از توسعه پایدار، اصل احتیاط، اصل پرداخت آلوده کننده، ارزیابی تأثیرات محیط زیستی و همکاری کشورها در توسعه بیشتر حقوق بین‌الملل در زمینه توسعه پایدار نمود. این اصول به طور کلی نشان‌دهنده یک تغییر به سوی رویکردی یکپارچه‌ در حکمرانی محیط زیستی هستند که توسعه اقتصادی را با پایداری اکولوژیکی متوازن می‌کند.</w:t>
      </w:r>
    </w:p>
    <w:p>
      <w:pPr>
        <w:bidi w:val="1"/>
        <w:spacing w:line="312" w:lineRule="auto" w:before="0" w:after="120"/>
        <w:ind w:firstLine="454"/>
        <w:jc w:val="both"/>
      </w:pPr>
      <w:r>
        <w:rPr>
          <w:rFonts w:ascii="Times New Roman" w:hAnsi="Times New Roman" w:cs="B Nazanin"/>
          <w:sz w:val="22"/>
          <w:szCs w:val="28"/>
          <w:rtl w:val="1"/>
        </w:rPr>
        <w:t>کنفرانس ریو به توسعه حقوق داخلی و بین المللی محیط زیست کمک شایان توجهی کرد. تمرکز بر توسعه پایدار به پل زدن اختلافات دیرینه بین کشورهای توسعه یافته و در حال توسعه کمک نمود. حتی قبل از کنفرانس استکهلم، کشورهای در حال توسعه بر نیازهای توسعه ای خود، ظرفیت پایین آنها برای اقدام در جهت حفاظت از محیط زیست و مسئولیت تاریخی کشورهای توسعه یافته در قبال مشکلات محیط زیست جهانی تأکید کردند. آنها همچنین استدلال می‌کردند که اگر کشورهای توسعه یافته می‌خواهند کشورهای در حال توسعه استفاده از برخی فناوری‌های آلاینده را کنار بگذارند، باید حمایت مالی و فناوری ارائه کنند. در مجموع، اعلامیه استکهلم 1972 و اعلامیه ریو 1992 هر دو نقاط عطف مهمی در تاریخ حقوق بین الملل محیط‌ زیست هستند و به نوعی نمایانگر تغییرات اساسی در رویکرد جهانی به مسائل محیط زیستی محسوب می‌شوند.</w:t>
      </w:r>
    </w:p>
    <w:p>
      <w:pPr>
        <w:pStyle w:val="GPEHeading3"/>
        <w:bidi w:val="1"/>
        <w:spacing w:line="312" w:lineRule="auto" w:before="200" w:after="120"/>
        <w:jc w:val="right"/>
      </w:pPr>
      <w:r>
        <w:rPr>
          <w:rFonts w:ascii="Times New Roman" w:hAnsi="Times New Roman" w:cs="B Nazanin"/>
          <w:sz w:val="24"/>
          <w:szCs w:val="24"/>
          <w:rtl w:val="1"/>
          <w:b/>
          <w:bCs/>
          <w:color w:val="14203a"/>
        </w:rPr>
        <w:t>۲-۱-۱-۵ منشور زمین 2000</w:t>
      </w:r>
    </w:p>
    <w:p>
      <w:pPr>
        <w:bidi w:val="1"/>
        <w:spacing w:line="312" w:lineRule="auto" w:before="0" w:after="120"/>
        <w:ind w:firstLine="454"/>
        <w:jc w:val="both"/>
      </w:pPr>
      <w:r>
        <w:rPr>
          <w:rFonts w:ascii="Times New Roman" w:hAnsi="Times New Roman" w:cs="B Nazanin"/>
          <w:sz w:val="22"/>
          <w:szCs w:val="28"/>
          <w:rtl w:val="1"/>
        </w:rPr>
        <w:t>متعاقب گزارش بروندلند، فراخوان شکل گیری منشور جدیدی مطرح شد. با برگزاری کنفرانس ریو، زمان مناسبی برای مذاکره در خصوص منشور جدید دیده نشد. تا اینکه در سال 1994 موریس استرانگ (دبیر کل کنفرانس ریو) و میخائیل گورباچف با همکاری برخی از سازمان‌های غیردولتی، ابتکاری را با حمایت دولت هلند به منظور تدوین «منشور زمین»</w:t>
      </w:r>
      <w:r>
        <w:rPr>
          <w:rStyle w:val="FootnoteReference"/>
          <w:rtl w:val="1"/>
        </w:rPr>
        <w:footnoteReference w:id="16"/>
      </w:r>
      <w:r>
        <w:rPr>
          <w:rFonts w:ascii="Times New Roman" w:hAnsi="Times New Roman" w:cs="B Nazanin"/>
          <w:sz w:val="22"/>
          <w:szCs w:val="28"/>
          <w:rtl w:val="1"/>
        </w:rPr>
        <w:t xml:space="preserve"> به عنوان ابتکاری از جانب جامعه مدنی راه اندازی کردند. روند اولیه تهیه پیش نویس و مشاوره‌ها براساس بررسی صدها سند بین المللی موجود صورت گرفت و تلاش‌ها در پی حصول اجماع جهانی بر سر یک سند ادامه داشت. در مارس 1997 اولین پیش نویس منشور زمین منتشر شد. پس از انتشار پیش نویس‌های متعدد و تلاش جهت درج نظرات مردم از تمام مناطق جهان، کمیسیون منشور زمین در خصوص متن نهایی در مارس 2000 به اجماع رسیدند. به صورت رسمی منشور زمین در مراسمی ویژه در 29 ژوئن 2000 در کاخ صلح در لاهه، هلند رونمایی شد. طی پنج سال بعد، بیش از 2000 سازمان غیردولتی اعم از بین المللی و ملی هم چون یونسکو، اتحادیه بین المللی حفاظت از طبیعت و... منشور زمین را تایید کردند. (www.erathcharter.org,16 Dec.2024)</w:t>
      </w:r>
    </w:p>
    <w:p>
      <w:pPr>
        <w:bidi w:val="1"/>
        <w:spacing w:line="312" w:lineRule="auto" w:before="0" w:after="120"/>
        <w:ind w:firstLine="454"/>
        <w:jc w:val="both"/>
      </w:pPr>
      <w:r>
        <w:rPr>
          <w:rFonts w:ascii="Times New Roman" w:hAnsi="Times New Roman" w:cs="B Nazanin"/>
          <w:sz w:val="22"/>
          <w:szCs w:val="28"/>
          <w:rtl w:val="1"/>
        </w:rPr>
        <w:t>منشور زمین سندی با شانزده اصل است که یک جنبش جهانی را تقویت می‌کند. این سند، ارزش‌ها و اصولی را بیان می‌کند که با آنها می‌توان به توسعه پایدار دست یافت و پایه اخلاقی برای اتخاذ اقدامات لازم به منظور ایجاد یک جامعه جهانی عادلانه تر، پایدارتر و صلح آمیزتر در قرن بیست و یکم به حساب می‌آمد. این منشور نتیجه یکی از فراگیرترین و مشارکتی‌ترین فرآیندهای مشاوره‌ای است که تاکنون با یک سند بین‌المللی مرتبط بوده است. محصول یک گفتگوی چندساله ی جهانی و بین فرهنگی در مورد اهداف مشترک و ارزش‌های مشترک است. به عنوان مرجع و سندی در تدوین سیاستها، برنامه ریزی‌ها و تصمیم گیری‌ها ارائه گردید. این منشور به دنبال الهام‌بخشی به مردم برای احساس وابستگی جهانی و مسئولیت مشترک نسبت به رفاه، خانواده انسانی و جامعه بزرگ‌تر جهانی و چشم اندازی از امید و فراخوانی برای اقدام است. سند منشور زمین با مقدمه شروع می‌شود و به دنبال آن چهار ستون «احترام و مراقبت از اجتماع زندگی»، «یکپارچگی محیط زیست»، «عدالت اجتماعی و اقتصادی، دموکراسی، عدم خشونت، و صلح» و با بند «مسیر آینده» به پایان می‌رسد. منشور زمین بر این باور است که حفاظت از محیط زیست، حقوق بشر، توسعه انسانی عادلانه و صلح به طور متقابل وابسته و غیرقابل تفکیک هستند. این سند به عنوان یک راهنما برای تفکر در مورد مسائل جهانی و محلی طراحی شده است و هدف آن ایجاد یک همکاری جهانی در زمان حساسی از تاریخ بشر برای حفاظت از محیط زیست است.</w:t>
      </w:r>
    </w:p>
    <w:p>
      <w:pPr>
        <w:bidi w:val="1"/>
        <w:spacing w:line="312" w:lineRule="auto" w:before="0" w:after="120"/>
        <w:ind w:firstLine="454"/>
        <w:jc w:val="both"/>
      </w:pPr>
      <w:r>
        <w:rPr>
          <w:rFonts w:ascii="Times New Roman" w:hAnsi="Times New Roman" w:cs="B Nazanin"/>
          <w:sz w:val="22"/>
          <w:szCs w:val="28"/>
          <w:rtl w:val="1"/>
        </w:rPr>
        <w:t>از نظر اصول حقوق بین‌الملل، منشور زمین به‌طور ظاهری یک سند چندجانبه بین المللی محسوب می‌شود که علاوه بر سازمان‌های بین المللی دولتی و غیردولتی، چندین دولت نیز آن را تایید نموده اند. بیشتر اصول مندرج در این سند، در موافقت نامه‌های چندجانبه محیط زیستی نیز تکرار شده است. در حال حاضر «ابتکار منشور زمین» در اکثر کشورها به عنوان یک سازوکار غیردولتی با محوریت سند منشور زمین کار خود را ادامه می‌دهد. در خصوص سند منشور زمین، می‌توان گفت اگرچه هنوز به‌عنوان یک سند «حقوق نرم» در میان دولت‌ها شناخته نشده است، اما تمام ویژگی‌های لازم برای نزدیک شدن به این وضعیت را دارد. در فصل آتی به ارتباط نزدیک منشور زمین و پیش نویس پیمان جهانی محیط زیست خواهیم پرداخت.</w:t>
      </w:r>
    </w:p>
    <w:p>
      <w:pPr>
        <w:pStyle w:val="GPEHeading3"/>
        <w:bidi w:val="1"/>
        <w:spacing w:line="312" w:lineRule="auto" w:before="200" w:after="120"/>
        <w:jc w:val="right"/>
      </w:pPr>
      <w:r>
        <w:rPr>
          <w:rFonts w:ascii="Times New Roman" w:hAnsi="Times New Roman" w:cs="B Nazanin"/>
          <w:sz w:val="24"/>
          <w:szCs w:val="24"/>
          <w:rtl w:val="1"/>
          <w:b/>
          <w:bCs/>
          <w:color w:val="14203a"/>
        </w:rPr>
        <w:t>۲-۱-۱-۶ اهداف توسعه هزاره 2000</w:t>
      </w:r>
    </w:p>
    <w:p>
      <w:pPr>
        <w:bidi w:val="1"/>
        <w:spacing w:line="312" w:lineRule="auto" w:before="0" w:after="120"/>
        <w:ind w:firstLine="454"/>
        <w:jc w:val="both"/>
      </w:pPr>
      <w:r>
        <w:rPr>
          <w:rFonts w:ascii="Times New Roman" w:hAnsi="Times New Roman" w:cs="B Nazanin"/>
          <w:sz w:val="22"/>
          <w:szCs w:val="28"/>
          <w:rtl w:val="1"/>
        </w:rPr>
        <w:t>یکی از گردهمایی‌های بزرگ رهبران جهان که نقش تعیین کننده ای در پیشبرد توسعه پایدار داشت، نشست هزاره ملل متحد بود. تشکیل این نشست ناشی از تداوم روندی بود که با کنفرانس سازمان ملل درباره محیط زیست و توسعه (نشست زمین) در سال 1992 آغاز شده بود. رهبران جهان در نشست هزاره که از 6 تا 8 سپتامبر 2000 در نیویورک و به دعوت سازمان ملل متحد تشکیل شد، درمورد مجموعه ای از هدف‌های قابل نیل در زمانی محدود و مشخص و هدف هایی برای مبارزه با فقر، گرسنگی، بی سوادی، ترویج برابری جنسیتی و توانمندسازی زنان، کاهش مرگ و میر کودکان، بهبود سلامت مادران، مبارزه با برخی بیماریها، تضمین محیط زیست پایدار و مشارکت جهانی برای توسعه پایدار معروف به اهداف توسعه هزاره</w:t>
      </w:r>
      <w:r>
        <w:rPr>
          <w:rStyle w:val="FootnoteReference"/>
          <w:rtl w:val="1"/>
        </w:rPr>
        <w:footnoteReference w:id="17"/>
      </w:r>
      <w:r>
        <w:rPr>
          <w:rFonts w:ascii="Times New Roman" w:hAnsi="Times New Roman" w:cs="B Nazanin"/>
          <w:sz w:val="22"/>
          <w:szCs w:val="28"/>
          <w:rtl w:val="1"/>
        </w:rPr>
        <w:t xml:space="preserve"> توافق کردند. نتیجه این اجلاس تصویب اعلامیه هزاره</w:t>
      </w:r>
      <w:r>
        <w:rPr>
          <w:rStyle w:val="FootnoteReference"/>
          <w:rtl w:val="1"/>
        </w:rPr>
        <w:footnoteReference w:id="18"/>
      </w:r>
      <w:r>
        <w:rPr>
          <w:rFonts w:ascii="Times New Roman" w:hAnsi="Times New Roman" w:cs="B Nazanin"/>
          <w:sz w:val="22"/>
          <w:szCs w:val="28"/>
          <w:rtl w:val="1"/>
        </w:rPr>
        <w:t xml:space="preserve"> ملل متحد که سندی راهنما برای سده جدید بود و در آن کشورها متعهد شدند که با یکدیگر در زمینه ارتقاء توسعه و کاهش فقر تا سال 2015 میلادی همکاری نمایند. در این اعلامیه به منظور نیل به توسعه پایدار، هشت آرمان، در قالب 18 هدف، و 48 شاخص تعریف شده است. آرمان هفتم این سند به مقوله «تضمین پایداری محیط زیست» پرداخته است. ذیل این آرمان، در مورد 4 هدف به شرح زیر توافق گردید: گنجاندن اصول توسعه ی پایدار در بین سیاست‌ها و برنامه‌های کشورها، آغاز روند معکوس اتلاف منابع محیط زیست؛ کاستن از روند کاهش تنوع زیستی، کاهش معنی دار در نرخ تلفات تا سال 2010؛ نصف شدن قسمتی از مردم که دسترسی پایدار به آب سالم آشامیدنی و تاسیسات بهداشتی اولیه ندارند و دست یافتن به بهبود معنی دار و قابل توجه در زندگی حداقل 100 میلیون زاغه نشین. (www.un.org,17Dec.2024)</w:t>
      </w:r>
    </w:p>
    <w:p>
      <w:pPr>
        <w:pStyle w:val="GPEHeading3"/>
        <w:bidi w:val="1"/>
        <w:spacing w:line="312" w:lineRule="auto" w:before="200" w:after="120"/>
        <w:jc w:val="right"/>
      </w:pPr>
      <w:r>
        <w:rPr>
          <w:rFonts w:ascii="Times New Roman" w:hAnsi="Times New Roman" w:cs="B Nazanin"/>
          <w:sz w:val="24"/>
          <w:szCs w:val="24"/>
          <w:rtl w:val="1"/>
          <w:b/>
          <w:bCs/>
          <w:color w:val="14203a"/>
        </w:rPr>
        <w:t>۲-۱-۱-۷ اعلامیه ژوهانسبورگ 2002</w:t>
      </w:r>
    </w:p>
    <w:p>
      <w:pPr>
        <w:bidi w:val="1"/>
        <w:spacing w:line="312" w:lineRule="auto" w:before="0" w:after="120"/>
        <w:ind w:firstLine="454"/>
        <w:jc w:val="both"/>
      </w:pPr>
      <w:r>
        <w:rPr>
          <w:rFonts w:ascii="Times New Roman" w:hAnsi="Times New Roman" w:cs="B Nazanin"/>
          <w:sz w:val="22"/>
          <w:szCs w:val="28"/>
          <w:rtl w:val="1"/>
        </w:rPr>
        <w:t>در دسامبر 2000، مجمع عمومی سازمان ملل طی تصویب قطعنامهای تصمیم به بررسی 10 ساله کنفرانس ریو در سال 2002 گرفت.</w:t>
      </w:r>
      <w:r>
        <w:rPr>
          <w:rStyle w:val="FootnoteReference"/>
          <w:rtl w:val="1"/>
        </w:rPr>
        <w:footnoteReference w:id="19"/>
      </w:r>
      <w:r>
        <w:rPr>
          <w:rFonts w:ascii="Times New Roman" w:hAnsi="Times New Roman" w:cs="B Nazanin"/>
          <w:sz w:val="22"/>
          <w:szCs w:val="28"/>
          <w:rtl w:val="1"/>
        </w:rPr>
        <w:t xml:space="preserve"> هدف از این بازنگری پیگیری پیشرفت‌های انجام شده از زمان ریو و برداشتن گام هایی برای پیشبرد اقدامات جهانی در زمینه توسعه پایدار عنوان شد. اجلاس جهانی توسعه پایدار</w:t>
      </w:r>
      <w:r>
        <w:rPr>
          <w:rStyle w:val="FootnoteReference"/>
          <w:rtl w:val="1"/>
        </w:rPr>
        <w:footnoteReference w:id="20"/>
      </w:r>
      <w:r>
        <w:rPr>
          <w:rFonts w:ascii="Times New Roman" w:hAnsi="Times New Roman" w:cs="B Nazanin"/>
          <w:sz w:val="22"/>
          <w:szCs w:val="28"/>
          <w:rtl w:val="1"/>
        </w:rPr>
        <w:t xml:space="preserve"> در سال 2002 در ژوهانسبورگ، آفریقای جنوبی تشکیل شد. این اجلاس تمرکز را از توسعه هنجارهای محیط زیست بین المللی به سمت اجرا، با توسعه پایدار و فقرزدایی به عنوان موضوعات اصلی آن تغییر داد. این اجلاس منجر به تصویب اعلامیه سیاسی ژوهانسبورگ در مورد توسعه پایدار شد که در بند 5، سه رکن توسعه پایدار را تأیید می‌کند: توسعه اقتصادی، توسعه اجتماعی و حفاظت از محیط زیست. کشورها همچنین برنامه اجرایی ژوهانسبورگ را تصویب کردند که اولویت‌ها و اهدافی را در تعدادی از زمینه‌های مورد توجه تعیین می‌کند. متعاقباً اسناد این نشست طی قطعنامه مجمع عمومی به تصویب رسید.</w:t>
      </w:r>
      <w:r>
        <w:rPr>
          <w:rStyle w:val="FootnoteReference"/>
          <w:rtl w:val="1"/>
        </w:rPr>
        <w:footnoteReference w:id="21"/>
      </w:r>
    </w:p>
    <w:p>
      <w:pPr>
        <w:pStyle w:val="GPEHeading3"/>
        <w:bidi w:val="1"/>
        <w:spacing w:line="312" w:lineRule="auto" w:before="200" w:after="120"/>
        <w:jc w:val="right"/>
      </w:pPr>
      <w:r>
        <w:rPr>
          <w:rFonts w:ascii="Times New Roman" w:hAnsi="Times New Roman" w:cs="B Nazanin"/>
          <w:sz w:val="24"/>
          <w:szCs w:val="24"/>
          <w:rtl w:val="1"/>
          <w:b/>
          <w:bCs/>
          <w:color w:val="14203a"/>
        </w:rPr>
        <w:t>۲-۱-۱-۸ کنفرانس توسعه پایدار 2012</w:t>
      </w:r>
    </w:p>
    <w:p>
      <w:pPr>
        <w:bidi w:val="1"/>
        <w:spacing w:line="312" w:lineRule="auto" w:before="0" w:after="120"/>
        <w:ind w:firstLine="454"/>
        <w:jc w:val="both"/>
      </w:pPr>
      <w:r>
        <w:rPr>
          <w:rFonts w:ascii="Times New Roman" w:hAnsi="Times New Roman" w:cs="B Nazanin"/>
          <w:sz w:val="22"/>
          <w:szCs w:val="28"/>
          <w:rtl w:val="1"/>
        </w:rPr>
        <w:t>در مارس 2010، مجمع عمومی سازمان ملل طی تصویب قطعنامه ای تصمیم به بررسی روند 20 ساله پیشرفت اجرای نتایج اجلاس‌های بزرگ در زمینه توسعه پایدار گرفت.</w:t>
      </w:r>
      <w:r>
        <w:rPr>
          <w:rStyle w:val="FootnoteReference"/>
          <w:rtl w:val="1"/>
        </w:rPr>
        <w:footnoteReference w:id="22"/>
      </w:r>
      <w:r>
        <w:rPr>
          <w:rFonts w:ascii="Times New Roman" w:hAnsi="Times New Roman" w:cs="B Nazanin"/>
          <w:sz w:val="22"/>
          <w:szCs w:val="28"/>
          <w:rtl w:val="1"/>
        </w:rPr>
        <w:t xml:space="preserve"> از این رو، کنفرانس سازمان ملل متحد در مورد توسعه پایدار معروف به ریو+20، در سال 2012 در ریودوژانیرو، برزیل با دو هدف اصلی برگزار شد: تضمین تعهد سیاسی مجدد برای توسعه پایدار و ارزیابی خلاءهای باقی مانده در اجرا. نتیجه اصلی این نشست در قطعنامه مجمع عمومی سازمان ملل متحد تحت عنوان «آینده ای که می‌خواهیم» با تاکید بر توسعه، اجرا و لزوم تقویت برنامه محیط زیست ملل متحد منتشر شد.</w:t>
      </w:r>
      <w:r>
        <w:rPr>
          <w:rStyle w:val="FootnoteReference"/>
          <w:rtl w:val="1"/>
        </w:rPr>
        <w:footnoteReference w:id="23"/>
      </w:r>
      <w:r>
        <w:rPr>
          <w:rFonts w:ascii="Times New Roman" w:hAnsi="Times New Roman" w:cs="B Nazanin"/>
          <w:sz w:val="22"/>
          <w:szCs w:val="28"/>
          <w:rtl w:val="1"/>
        </w:rPr>
        <w:t xml:space="preserve"> کنفرانس همچنین 1) دستورالعمل‌هایی را در مورد سیاست‌های اقتصاد سبز تصویب کرد و یک فرآیند بین‌دولتی برای تهیه استراتژی به منظور تأمین مالی توسعه پایدار ایجاد کرد؛ 2) اتخاذ تصمیم‌ در خصوص شماری از حوزه‌های موضوعی که منجر به بیش از 700 تعهد داوطلبانه در مورد توسعه پایدار توسط فعالان مختلف گردید؛ و 3) فرآیندی را برای تدوین اهداف توسعه پایدار، مجموعه‌ای از اهداف و شاخص‌های جهانی برای پیگیری اقدامات بین‌المللی متمرکز و منسجم در مورد توسعه پایدار راه‌اندازی کرد.</w:t>
      </w:r>
    </w:p>
    <w:p>
      <w:pPr>
        <w:bidi w:val="1"/>
        <w:spacing w:line="312" w:lineRule="auto" w:before="0" w:after="120"/>
        <w:ind w:firstLine="454"/>
        <w:jc w:val="both"/>
      </w:pPr>
      <w:r>
        <w:rPr>
          <w:rFonts w:ascii="Times New Roman" w:hAnsi="Times New Roman" w:cs="B Nazanin"/>
          <w:sz w:val="22"/>
          <w:szCs w:val="28"/>
          <w:rtl w:val="1"/>
        </w:rPr>
        <w:t>در این سند پاراگراف‌های 87 لغایت 90 به عنصر محیط زیستی توسعه پایدار پرداخته است. در بند 87 به لزوم تقویت حکمرانی محیط زیستی بین المللی در چارچوب سیستم سازمان ملل و به منظور ارتقاء یکپارچگی ابعاد اقتصادی، اجتماعی و محیط زیستی توسعه پایدار تاکید می‌کند. در بند 88 در مقام تقویت نقش برنامه محیط زیست ملل متحد به عنوان مرجع محیط زیستی پیشرو جهانی مقرر می‌شود که 1) عضویت جهانی در شورای حکام برنامه محیط زیست ملل؛ 2) اختصاص بودجه منظم از منابع مالی سازمان ملل و مشارکت‌های داوطلبانه؛ 3) تقویت مشارکت برنامه محیط زیست در ارکان اصلی سازمان ملل و توانمندسازی آن برای تدوین استراتژی‌های سیستم سازمان ملل در مورد محیط زیست در دستورکار قرار گیرد. نتیجه تدوین این بند، شکل گیری مجمع محیط زیست ملل متحد (یونیا) به‌عنوان بالاترین سطح تصمیم‌گیری جهان در مورد محیط‌زیست بود. مجمع محیط زیست ملل متحد به عنوان پارلمان بالفعل محیط زیست در جهان با حضور وزرای محیط زیست به صورت دو سالانه به منظور تنظیم دستورکار محیط زیست جهانی، بررسی چالش‌های محیط زیستی حیاتی پیش روی جهان، بررسی موضوعات مهم و نوظهور سیاست‌های محیط زیستی، کمک موثر به راه حل‌های جهانی از طریق توسعه حقوق بین الملل محیط زیست و ارائه رهنمودهای سیاستی فراگیر در مورد چالش‌های محیط زیستی عمل می‌کند. این مجمع، فعالیت‌ها و سیاست‌های محیط زیستی سازمان ملل را تدوین و هماهنگ می‌کند و حقوق بین الملل محیط زیست را توسعه می‌دهد. این مجمع با عضویت جهانی، همچنان اولین رکن بین المللی در حوزه مسائل محیط زیستی است، به ویژه مواردی که نیاز به اقدام جمعی جهانی دارند. در حالی که کشورهای عضو سازمان ملل متحد تنها اعضای دارای حق رأی در این مجمع هستند، صدای هزاران نماینده دولت، سازمان‌های بین المللی و جوامع مدنی را در برمی گیرد. طی جلسات مجمع قطعنامه‌های زیادی توسط کشورهای عضو پیشنهاد، مذاکره و تصویب می‌شود. گرچه این قطعنامه‌ها الزام آور نیستند، اما روند مسایل کلیدی و جهانی محیط زیست را تعیین و گامی در فراخوان جهانی برای اقدام هماهنگ جمعی محسوب می‌شود.</w:t>
      </w:r>
    </w:p>
    <w:p>
      <w:pPr>
        <w:pStyle w:val="GPEHeading3"/>
        <w:bidi w:val="1"/>
        <w:spacing w:line="312" w:lineRule="auto" w:before="200" w:after="120"/>
        <w:jc w:val="right"/>
      </w:pPr>
      <w:r>
        <w:rPr>
          <w:rFonts w:ascii="Times New Roman" w:hAnsi="Times New Roman" w:cs="B Nazanin"/>
          <w:sz w:val="24"/>
          <w:szCs w:val="24"/>
          <w:rtl w:val="1"/>
          <w:b/>
          <w:bCs/>
          <w:color w:val="14203a"/>
        </w:rPr>
        <w:t>۲-۱-۱-۹ دستورکار 2030 برای توسعه پایدار و اهداف توسعه پایدار 2015</w:t>
      </w:r>
    </w:p>
    <w:p>
      <w:pPr>
        <w:bidi w:val="1"/>
        <w:spacing w:line="312" w:lineRule="auto" w:before="0" w:after="120"/>
        <w:ind w:firstLine="454"/>
        <w:jc w:val="both"/>
      </w:pPr>
      <w:r>
        <w:rPr>
          <w:rFonts w:ascii="Times New Roman" w:hAnsi="Times New Roman" w:cs="B Nazanin"/>
          <w:sz w:val="22"/>
          <w:szCs w:val="28"/>
          <w:rtl w:val="1"/>
        </w:rPr>
        <w:t>تدوین اهداف توسعه پایدار بر اساس اهداف توسعه هزاره صورت گرفت. تاریخ مقرر برای دستیابی به اهداف توسعه هزاره سال 2015 تعیین شده بود. در حالی که پیشرفت‌های خوبی در راستای اهداف حاصل شده بود، اما تا سال 2015 همه آن‌ها در سطح جهانی محقق نشدند. در سال 2010 مجمع عمومی سازمان ملل نیاز به پیشبرد دستورکار توسعه پس از انقضای اهداف توسعه هزاره را اعلام نمود. از این رو، در نشست ریو+20 در سال 2012، تدوام کار بر مبنای پیشرفت‌های حاصل شده ناشی از اهداف توسعه هزاره به همراه گسترده نمودن مجموعه اهداف در ارتباط با فقرزدایی، پایداری محیط زیست، صلح و مشارکت همگانی برای توسعه مورد توافق کشورها قرار گرفت. در سپتامبر 2015، نشست توسعه پایدار سازمان ملل، سند «تحول دنیای ما: دستورکار 2030 برای توسعه پایدار» را به تصویب رساند. این سند طی قطعنامه 1 /70 مجمع عمومی سازمان ملل تایید گردید.</w:t>
      </w:r>
      <w:r>
        <w:rPr>
          <w:rStyle w:val="FootnoteReference"/>
          <w:rtl w:val="1"/>
        </w:rPr>
        <w:footnoteReference w:id="24"/>
      </w:r>
      <w:r>
        <w:rPr>
          <w:rFonts w:ascii="Times New Roman" w:hAnsi="Times New Roman" w:cs="B Nazanin"/>
          <w:sz w:val="22"/>
          <w:szCs w:val="28"/>
          <w:rtl w:val="1"/>
        </w:rPr>
        <w:t xml:space="preserve"> اجرای دستورکار 2030 برای توسعه پایدار به صورت سالانه توسط مجمع سیاسی عالی رتبه توسعه پایدار</w:t>
      </w:r>
      <w:r>
        <w:rPr>
          <w:rStyle w:val="FootnoteReference"/>
          <w:rtl w:val="1"/>
        </w:rPr>
        <w:footnoteReference w:id="25"/>
      </w:r>
      <w:r>
        <w:rPr>
          <w:rFonts w:ascii="Times New Roman" w:hAnsi="Times New Roman" w:cs="B Nazanin"/>
          <w:sz w:val="22"/>
          <w:szCs w:val="28"/>
          <w:rtl w:val="1"/>
        </w:rPr>
        <w:t xml:space="preserve"> بررسی می‌گردد. تاریخ مقرر جهت دستیابی به اهداف توسعه پایدار سال 2030 میلادی تعیین گردیده است. اهداف توسعه پایدار شامل 17 آرمان جهانی است که هر یک، شاخص‌های دیگری را – مجموعاً 169 هدف- در بر دارد که از طریق 231 شاخص جزئی‌تر ارزیابی می‌گردد.</w:t>
      </w:r>
    </w:p>
    <w:p>
      <w:pPr>
        <w:bidi w:val="1"/>
        <w:spacing w:line="312" w:lineRule="auto" w:before="0" w:after="120"/>
        <w:ind w:firstLine="454"/>
        <w:jc w:val="both"/>
      </w:pPr>
      <w:r>
        <w:rPr>
          <w:rFonts w:ascii="Times New Roman" w:hAnsi="Times New Roman" w:cs="B Nazanin"/>
          <w:sz w:val="22"/>
          <w:szCs w:val="28"/>
          <w:rtl w:val="1"/>
        </w:rPr>
        <w:t>حفاظت از محیط زیست، شامل حفظ و احیاء منابع طبیعی و اکوسیستم ها، برای تحقق اهداف توسعه پایدار اساسی است.این موضوع به طور مستقیم بر آرمان 13 (اقدام اقلیمی)، آرمان (زندگی زیر آب) و آرمان 15 (زندگی در خشکی) تأثیر می‌گذارد، که همگی بر نیاز فوری به کاهش تخریب محیط زیست، حفظ تنوع زیستی و تقویت استفاده پایدار از منابع طبیعی تاکید دارند. علاوه بر این، حفاظت از محیط زیست به طور ذاتی با آرمان 3 (سلامت و رفاه خوب) مرتبط است، زیرا یک محیط سالم خطرات ناشی از آلودگی و ناقلان بیماری را کاهش می‌دهد. همچنین با آرمان 6 (آب پاک و بهداشت) و آرمان 7 (انرژی مقرون به صرفه و پاک) با ترویج منابع آب پاک و انرژی‌های تجدیدپذیر مرتبط است. علاوه بر این، برای دستیابی به آرمان 12(مصرف و تولید مسئولانه)، تاکید بر نیاز به مصرف پایدار و الگوهای تولید که آسیب‌های محیط زیستی را محدود می‌کند، ضروری است.</w:t>
      </w:r>
    </w:p>
    <w:p>
      <w:pPr>
        <w:pStyle w:val="GPEHeading3"/>
        <w:bidi w:val="1"/>
        <w:spacing w:line="312" w:lineRule="auto" w:before="200" w:after="120"/>
        <w:jc w:val="right"/>
      </w:pPr>
      <w:r>
        <w:rPr>
          <w:rFonts w:ascii="Times New Roman" w:hAnsi="Times New Roman" w:cs="B Nazanin"/>
          <w:sz w:val="24"/>
          <w:szCs w:val="24"/>
          <w:rtl w:val="1"/>
          <w:b/>
          <w:bCs/>
          <w:color w:val="14203a"/>
        </w:rPr>
        <w:t>۲-۱-۱-۱۰ کنفرانس استکهلم 2022</w:t>
      </w:r>
    </w:p>
    <w:p>
      <w:pPr>
        <w:bidi w:val="1"/>
        <w:spacing w:line="312" w:lineRule="auto" w:before="0" w:after="120"/>
        <w:ind w:firstLine="454"/>
        <w:jc w:val="both"/>
      </w:pPr>
      <w:r>
        <w:rPr>
          <w:rFonts w:ascii="Times New Roman" w:hAnsi="Times New Roman" w:cs="B Nazanin"/>
          <w:sz w:val="22"/>
          <w:szCs w:val="28"/>
          <w:rtl w:val="1"/>
        </w:rPr>
        <w:t>پنجاه سال پس از کنفرانس سازمان ملل متحد در سال 1972 در مورد محیط زیست انسانی، کشورها بار دیگر در ژوئن 2022 در استکهلم، سوئد گرد هم آمدند تا وضعیت محیط زیست انسانی را با شعار «استکهلم+50: سیاره ای سالم برای رفاه همه - مسئولیت ما، فرصت ما» بررسی کنند. این نشست که در دوران همه‌گیری کووید-19 و بحران سه گانه تغییر اقلیم، آلودگی و از دست دادن تنوع زیستی برگزار شد، در نظر داشت گفتگوی تعاملی سازنده ای با تمرکز بر سه دستورکار اصلی دستیابی به یک سیاره سالم و رفاه برای همه، بهبودی پایدار و فراگیر از همه‌گیری کووید-19و اجرای بعد محیط زیستی توسعه پایدار به نمایش گذارد. نتیجه نشست استکهلم + 50 مجموعه ای از ده توصیه قابل اجرا "برای تسریع اقدام به سوی یک سیاره سالم برای رفاه همه" بود. سایر نتایج نشست عبارتند از بیانیه وزیران به رهبری سوئد در مورد نسلهای آینده، دادخواست جهانی خطاب به سازمان ملل متحد برای تدوین اعلامیه حقوق مادر زمین، اعلامیه گروه اقدام جوانان و بیانیه مشترک ریاستهای کنوانسیونهای ریو. در فصل آتی به تفصیل به بررسی توصیه‌های نشست خواهیم پرداخت.</w:t>
      </w:r>
    </w:p>
    <w:p>
      <w:pPr>
        <w:pStyle w:val="GPEHeading3"/>
        <w:bidi w:val="1"/>
        <w:spacing w:line="312" w:lineRule="auto" w:before="200" w:after="120"/>
        <w:jc w:val="right"/>
      </w:pPr>
      <w:r>
        <w:rPr>
          <w:rFonts w:ascii="Times New Roman" w:hAnsi="Times New Roman" w:cs="B Nazanin"/>
          <w:sz w:val="24"/>
          <w:szCs w:val="24"/>
          <w:rtl w:val="1"/>
          <w:b/>
          <w:bCs/>
          <w:color w:val="14203a"/>
        </w:rPr>
        <w:t>۲-۱-۲ حقوق سخت</w:t>
      </w:r>
    </w:p>
    <w:p>
      <w:pPr>
        <w:bidi w:val="1"/>
        <w:spacing w:line="312" w:lineRule="auto" w:before="0" w:after="120"/>
        <w:ind w:firstLine="454"/>
        <w:jc w:val="both"/>
      </w:pPr>
      <w:r>
        <w:rPr>
          <w:rFonts w:ascii="Times New Roman" w:hAnsi="Times New Roman" w:cs="B Nazanin"/>
          <w:sz w:val="22"/>
          <w:szCs w:val="28"/>
          <w:rtl w:val="1"/>
        </w:rPr>
        <w:t>حقوق سخت همان تعهدات الزام آوری هستند که گاهی اوقات در ارزیابی سختی آن‌ها دو عنصر دیگر نیز در نظر گرفته می‌شود: دقت (عدم ابهام در رابطه با رفتار مورد نیاز، رفتار مجاز یا ممنوع شده) و تفویض اختیار به اشخاص ثالثی به منظور تفسیر و اجرای آن قاعده حقوقی. (C.Shaffer and A.Pollack,2010,714) حقوق سخت می‌تواند در قالب موافقت نامه‌های دو و چند جانبه برای اعضا، حقوق بین الملل عرفی به دلیل باور نهفته در آن رویه، آراء محاکم بین المللی هم چون دیوان بین المللی دادگستری برای طرفین دعوا، قطعنامههای فصل هفتم شورای امنیت سازمان ملل برای دولت‌های عضو به خصوص کشورهای ذی ربط در موضوع دستورکار متبلور شود. در ادامه با توجه به هدف رساله، فقط موافقت نامه‌های چند جانبه محیط زیستی بررسی خواهد شد.</w:t>
      </w:r>
    </w:p>
    <w:p>
      <w:pPr>
        <w:pStyle w:val="GPEHeading3"/>
        <w:bidi w:val="1"/>
        <w:spacing w:line="312" w:lineRule="auto" w:before="200" w:after="120"/>
        <w:jc w:val="right"/>
      </w:pPr>
      <w:r>
        <w:rPr>
          <w:rFonts w:ascii="Times New Roman" w:hAnsi="Times New Roman" w:cs="B Nazanin"/>
          <w:sz w:val="24"/>
          <w:szCs w:val="24"/>
          <w:rtl w:val="1"/>
          <w:b/>
          <w:bCs/>
          <w:color w:val="14203a"/>
        </w:rPr>
        <w:t>۲-۱-۲-۱ موافقت نامه‌های چند جانبه محیط زیست</w:t>
      </w:r>
    </w:p>
    <w:p>
      <w:pPr>
        <w:bidi w:val="1"/>
        <w:spacing w:line="312" w:lineRule="auto" w:before="0" w:after="120"/>
        <w:ind w:firstLine="454"/>
        <w:jc w:val="both"/>
      </w:pPr>
      <w:r>
        <w:rPr>
          <w:rFonts w:ascii="Times New Roman" w:hAnsi="Times New Roman" w:cs="B Nazanin"/>
          <w:sz w:val="22"/>
          <w:szCs w:val="28"/>
          <w:rtl w:val="1"/>
        </w:rPr>
        <w:t>حقوق بین الملل شکل متمایزی از حقوق است که در سطح بین المللی میان دولت‌ها و سازمان‌های بین المللی به کار می‌رود. موافقت نامه‌های چند جانبه محیط زیستی بخشی از حقوق بین الملل و زیرمجموعه تخصصی حقوق بین الملل محیط زیست قرار دارند. موافقتنامههای چندجانبه محیطزیستی نیز به نوبه خود چندین زیرمجموعه تخصصی و بخشی نظیر تغییر اقلیم، تنوع زیستی، حفاظت از لایه اوزن و... دارد. سازمان ملل متحد نقش مهمی در تکامل موافقت نامه‌های چند جانبه محیط زیستی به صورت کلی ایفا نموده است. هر چند همه موافقت نامه‌های چندجانبه محیط زیستی لزوماً در چارچوب سازمان ملل متحد شکل نگرفته اند. به عنوان مثال کنوانسیون راجع به تالاب‌های مهم بین المللی به ویژه به عنوان زیستگاه پرندگان آبزی</w:t>
      </w:r>
      <w:r>
        <w:rPr>
          <w:rStyle w:val="FootnoteReference"/>
          <w:rtl w:val="1"/>
        </w:rPr>
        <w:footnoteReference w:id="26"/>
      </w:r>
      <w:r>
        <w:rPr>
          <w:rFonts w:ascii="Times New Roman" w:hAnsi="Times New Roman" w:cs="B Nazanin"/>
          <w:sz w:val="22"/>
          <w:szCs w:val="28"/>
          <w:rtl w:val="1"/>
        </w:rPr>
        <w:t xml:space="preserve"> معروف به کنوانسیون رامسر مصوب 1971 و کنوانسیون تجارت بین المللی گونه‌های جانوری و گیاهی در خطر انقراض</w:t>
      </w:r>
      <w:r>
        <w:rPr>
          <w:rStyle w:val="FootnoteReference"/>
          <w:rtl w:val="1"/>
        </w:rPr>
        <w:footnoteReference w:id="27"/>
      </w:r>
      <w:r>
        <w:rPr>
          <w:rFonts w:ascii="Times New Roman" w:hAnsi="Times New Roman" w:cs="B Nazanin"/>
          <w:sz w:val="22"/>
          <w:szCs w:val="28"/>
          <w:rtl w:val="1"/>
        </w:rPr>
        <w:t xml:space="preserve"> مصوب 1973در چارچوب اتحادیه جهانی حفاظت از طبیعت تهیه و تصویب گردید.</w:t>
      </w:r>
    </w:p>
    <w:p>
      <w:pPr>
        <w:bidi w:val="1"/>
        <w:spacing w:line="312" w:lineRule="auto" w:before="0" w:after="120"/>
        <w:ind w:firstLine="454"/>
        <w:jc w:val="both"/>
      </w:pPr>
      <w:r>
        <w:rPr>
          <w:rFonts w:ascii="Times New Roman" w:hAnsi="Times New Roman" w:cs="B Nazanin"/>
          <w:sz w:val="22"/>
          <w:szCs w:val="28"/>
          <w:rtl w:val="1"/>
        </w:rPr>
        <w:t>موافقت نامه‌های چند جانبه محیط زیستی در سطوح منطقه ای و بین المللی منبع اصلی حقوق بین الملل محیط زیست به شمار می‌آیند. حسب گزارش دبیرکل تا سال 2018، بیش از 500 موافقت نامه چند جانبه محیط زیستی تصویب شده است. هر موافقت نامه به چالش محیط زیستی خاصی پرداخته است و همین رویکرد بخشی باعث تمایز موافقت نامه‌های محیط زیستی گشته است. روند افزایشی قانون گذاری در حقوق بین الملل محیط زیست به دلیل رویکرد بخشی منجر به تکثر رژیم‌های نظارتی و چارچوب حقوقی بین المللی پراکنده به منظور حفاظت از محیط زیست گردیده است. پراکندگی یکی از پدیده‌های مکرر در حقوق بینالملل و یکی از پیامدهای تصمیم گیری‌های چندجانبه می‌باشد. همین ساختار پراکنده حقوق بین الملل محیط زیست و روند فزاینده ایجاد نظام‌های جدید باعث گردیده است که برخی چالش‌های محیط زیستی مورد توجه و برخی دیگر مغفول واقع شود. (A/73/419,2018, para 2)</w:t>
      </w:r>
    </w:p>
    <w:p>
      <w:pPr>
        <w:bidi w:val="1"/>
        <w:spacing w:line="312" w:lineRule="auto" w:before="0" w:after="120"/>
        <w:ind w:firstLine="454"/>
        <w:jc w:val="both"/>
      </w:pPr>
      <w:r>
        <w:rPr>
          <w:rFonts w:ascii="Times New Roman" w:hAnsi="Times New Roman" w:cs="B Nazanin"/>
          <w:sz w:val="22"/>
          <w:szCs w:val="28"/>
          <w:rtl w:val="1"/>
        </w:rPr>
        <w:t>موافقت نامه‌های چند جانبه محیط زیستی معمولاً اسناد زنده ای هستند که رژیم حقوقی آن‌ها به طور مداوم در حال تحولند. تکامل آن‌ها معمولاً از طریق جلسات اعضای آن سند</w:t>
      </w:r>
      <w:r>
        <w:rPr>
          <w:rStyle w:val="FootnoteReference"/>
          <w:rtl w:val="1"/>
        </w:rPr>
        <w:footnoteReference w:id="28"/>
      </w:r>
      <w:r>
        <w:rPr>
          <w:rFonts w:ascii="Times New Roman" w:hAnsi="Times New Roman" w:cs="B Nazanin"/>
          <w:sz w:val="22"/>
          <w:szCs w:val="28"/>
          <w:rtl w:val="1"/>
        </w:rPr>
        <w:t xml:space="preserve"> در قالب ارکان حاکم بر آن معاهده صورت می‌پذیرد. منطق چنین رویکرد تکاملی در تصمیم سازی حقوق بین الملل محیط زیست، همگامی با پیشرفت‌های علمی و پاسخگویی به شرایط سیاسی، اقتصادی و فناوری در حال تحول است. لذا، ماهیت پویا و در حال تحول رژیم‌های موافقت نامه‌های چندجانبه محیط زیستی اقتضا می‌کند که موضوعات جدید و مهم در دستورکار مذاکره قرار گیرند. نظیر مذاکرات اخیر کشورها جهت شکل گیری سند الزام آور راجع به آلودگی پلاستیکی.</w:t>
      </w:r>
    </w:p>
    <w:p>
      <w:pPr>
        <w:pStyle w:val="GPEHeading3"/>
        <w:bidi w:val="1"/>
        <w:spacing w:line="312" w:lineRule="auto" w:before="200" w:after="120"/>
        <w:jc w:val="right"/>
      </w:pPr>
      <w:r>
        <w:rPr>
          <w:rFonts w:ascii="Times New Roman" w:hAnsi="Times New Roman" w:cs="B Nazanin"/>
          <w:sz w:val="24"/>
          <w:szCs w:val="24"/>
          <w:rtl w:val="1"/>
          <w:b/>
          <w:bCs/>
          <w:color w:val="14203a"/>
        </w:rPr>
        <w:t>۲-۱-۳ حقوق بین الملل محیط زیست+50</w:t>
      </w:r>
    </w:p>
    <w:p>
      <w:pPr>
        <w:bidi w:val="1"/>
        <w:spacing w:line="312" w:lineRule="auto" w:before="0" w:after="120"/>
        <w:ind w:firstLine="454"/>
        <w:jc w:val="both"/>
      </w:pPr>
      <w:r>
        <w:rPr>
          <w:rFonts w:ascii="Times New Roman" w:hAnsi="Times New Roman" w:cs="B Nazanin"/>
          <w:sz w:val="22"/>
          <w:szCs w:val="28"/>
          <w:rtl w:val="1"/>
        </w:rPr>
        <w:t>سال 1972 آغاز دوره جدیدی از قانون گذاری و دیپلماسی بین المللی محیط زیستی به حساب می‌آید. پنجاه سال پس از کنفرانس استکهلم، شاهد گسترش دامنه حقوق بین الملل محیط زیست به طور قابل توجهی هستیم. به گونه ای که بیش از 500 موافقت نامه چند جانبه محیط زیستی در قالب کنوانسیون‌های خاص، چارچوبی، پروتکل و... به تهدیدهای جهانی محیط زیستی به عنوان نگرانی مشترک بشریت پرداخته و موضوعات محیط زیستی را عمدتاً به صورت بخشی</w:t>
      </w:r>
      <w:r>
        <w:rPr>
          <w:rStyle w:val="FootnoteReference"/>
          <w:rtl w:val="1"/>
        </w:rPr>
        <w:footnoteReference w:id="29"/>
      </w:r>
      <w:r>
        <w:rPr>
          <w:rFonts w:ascii="Times New Roman" w:hAnsi="Times New Roman" w:cs="B Nazanin"/>
          <w:sz w:val="22"/>
          <w:szCs w:val="28"/>
          <w:rtl w:val="1"/>
        </w:rPr>
        <w:t xml:space="preserve"> نظیر تغییر اقلیم، تنوع زیستی، تخریب لایه اوزن در این اسناد مورد توجه قرار داده اند. همکاری‌های بین المللی تا حدی پیش رفتند که در مورد چالش‌های مناطقی هم چون قطب جنوب یا جو که قلمرو حاکمیتی هیچ کشوری نیستند، نیز به فکر اقدام جمعی از سوی جامعه بین المللی افتادند.</w:t>
      </w:r>
    </w:p>
    <w:p>
      <w:pPr>
        <w:bidi w:val="1"/>
        <w:spacing w:line="312" w:lineRule="auto" w:before="0" w:after="120"/>
        <w:ind w:firstLine="454"/>
        <w:jc w:val="both"/>
      </w:pPr>
      <w:r>
        <w:rPr>
          <w:rFonts w:ascii="Times New Roman" w:hAnsi="Times New Roman" w:cs="B Nazanin"/>
          <w:sz w:val="22"/>
          <w:szCs w:val="28"/>
          <w:rtl w:val="1"/>
        </w:rPr>
        <w:t>حقوق بین الملل محیط زیست از 1972 تاکنون تحولات چشمگیری را تجربه کرده است. در این بازه زمانی 50 ساله شاهد تلاش‌های بین المللی برای حفاظت از محیط زیست و ایجاد چارچوب‌های قانونی موثر برای آن بوده ایم. برگزاری کنفرانس استکهلم در 1972 و اعلامیه آن نشست و طی فرایند توافق بر حقوق نرم از 1972 به حصول توافق بر حقوق سخت در دهه 90 میلادی جالب توجه می‌نماید. همین امر سبب گردید تا این بخش از حقوق بین الملل به یکی از بخش‌های کلیدی از نظام حقوق بین الملل عمومی تبدیل گردد. پیشرفت‌های حقوق بین الملل محیط زیست از 1972 تاکنون را از منظرهای متفاوتی می‌توان بررسی و تحلیل نمود که در این رساله فرصتی برای تحلیل آن‌ها دست نمی‌دهد. امید است بتوان در مقاله ی مستقلی آنها را رشته تحریر درآورد. با این حال به اختصار به آن‌ها بدین شرح اشاره می‌کنم: 1) توسعه موافقت نامه‌های چند جانبه محیط زیستی مثال اخیر آن تصویب موافقتنامه حفاظت و استفاده پایدار از تنوع زیستی دریایی مناطق فراتر از صلاحیت ملی در مارس 2023 و آغاز فرایند مذاکراتی تدوین سند الزام آور بین المللی در خصوص آلودگی پلاستیکی از جمله در محیط زیست دریایی از 2022 تاکنون؛ 2) تقویت سازوکارهای نهادی هم چون برنامه محیط زیست ملل متحد به طور خاص با راه اندازی مجمع محیط زیست ملل متحد، 3) تاسیس صندوق‌های مالی بین المللی برای حفاظت از محیط زیست هم چون صندوق جهانی محیط زیست (1991)، صندوق چندجانبه لایه اوزن (1991)، صندوق سبز اقلیم (2010)، صندوق ضرر و آسیب تغییر اقلیم (2022)، صندوق جهانی چارجوب تنوع زیستی (2023)، برای کمک به کشورهای درحال توسعه به منظور مقابله با چالش‌های محیط زیستی؛ 4) معرفی ابتکارهای نوآورانه هم چون بازارهای کربن با هدف کاهش انتشار گازهای گلخانه ای و اقتصاد چرخشی با هدف بهره وری منابع؛ و 5) تلفیق موفق حقوق محیط زیست با حوزه‌های دیگری هم چون حقوق بشر و محیط زیست، توسعه پایدار و محیط زیست، فناوری‌های نوین و محیط زیست مثل فناوری‌های سبز و نوآورانه و پاک.</w:t>
      </w:r>
    </w:p>
    <w:p>
      <w:pPr>
        <w:bidi w:val="1"/>
        <w:spacing w:line="312" w:lineRule="auto" w:before="0" w:after="120"/>
        <w:ind w:firstLine="454"/>
        <w:jc w:val="both"/>
      </w:pPr>
      <w:r>
        <w:rPr>
          <w:rFonts w:ascii="Times New Roman" w:hAnsi="Times New Roman" w:cs="B Nazanin"/>
          <w:sz w:val="22"/>
          <w:szCs w:val="28"/>
          <w:rtl w:val="1"/>
        </w:rPr>
        <w:t>پیشرفت‌های صورت گرفته قابل توجه بوده است اما چالش‌ها و موانع همچنان وجود دارند. با توجه به بحران‌های محیط زیستی جهانی به خصوص بحران سه گانه تغییر اقلیم، از دست دادن تنوع زیستی و آلودگی، چالش‌های کمبود منابع مالی برای کمک به کشورهای در حال توسعه، کمتر توسعه یافته به ویژه کشورهای جزیره ای، اهمیت همکاری‌های بین المللی، تقویت قواعد و تعهدات موجود و هم چنین تقویت سازوکارهای نهادی بین المللی بیشتر احساس می‌شود.</w:t>
      </w:r>
    </w:p>
    <w:p>
      <w:pPr>
        <w:pStyle w:val="GPEHeading2"/>
        <w:bidi w:val="1"/>
        <w:spacing w:line="312" w:lineRule="auto" w:before="200" w:after="120"/>
        <w:jc w:val="right"/>
      </w:pPr>
      <w:r>
        <w:rPr>
          <w:rFonts w:ascii="Times New Roman" w:hAnsi="Times New Roman" w:cs="B Nazanin"/>
          <w:sz w:val="24"/>
          <w:szCs w:val="24"/>
          <w:rtl w:val="1"/>
          <w:b/>
          <w:bCs/>
          <w:color w:val="14203a"/>
        </w:rPr>
        <w:t>۲-۲ شکل گیری پیمان جهانی محیط زیست</w:t>
      </w:r>
    </w:p>
    <w:p>
      <w:pPr>
        <w:bidi w:val="1"/>
        <w:spacing w:line="312" w:lineRule="auto" w:before="0" w:after="120"/>
        <w:ind w:firstLine="454"/>
        <w:jc w:val="both"/>
      </w:pPr>
      <w:r>
        <w:rPr>
          <w:rFonts w:ascii="Times New Roman" w:hAnsi="Times New Roman" w:cs="B Nazanin"/>
          <w:sz w:val="22"/>
          <w:szCs w:val="28"/>
          <w:rtl w:val="1"/>
        </w:rPr>
        <w:t>ابتکار شکل گیری پیمان جهانی محیط زیست اولین تلاش جهت تدوین چارچوبی فراگیر برای حقوق بین الملل محیط زیست، تدوین اصول حقوق بین الملل محیط زیست در سندی لازم الاجرا و حکمرانی محیط زیست بین المللی نبود. در سال 2000، «منشور زمین» ادامه روند تدوین مجدد اصول حقوقی در حقوق بین الملل محیط زیست را نشان داد. این سند کاملاً توسط جامعه مدنی تهیه شد و از سوی سازمان آموزشی، علمی و فرهنگی سازمان ملل متحد، اتحادیه بین المللی حفاظت از طبیعت و تعداد محدودی از دولت‌ها تایید شد. در خصوص منشور زمین نظرات گوناگونی مطرح شده است تا جایی که عده ای آن را به سختی متنی تاثیرگذار در حقوق بین الملل محیط زیست می‌دانند و عده ای دیگر آن را جامع‌ترین سند بین المللی در حوزه محیط زیست در آن برهه ی تاریخی می‌داند. (Canovas,2020 ,13)</w:t>
      </w:r>
    </w:p>
    <w:p>
      <w:pPr>
        <w:pStyle w:val="GPEHeading3"/>
        <w:bidi w:val="1"/>
        <w:spacing w:line="312" w:lineRule="auto" w:before="200" w:after="120"/>
        <w:jc w:val="right"/>
      </w:pPr>
      <w:r>
        <w:rPr>
          <w:rFonts w:ascii="Times New Roman" w:hAnsi="Times New Roman" w:cs="B Nazanin"/>
          <w:sz w:val="24"/>
          <w:szCs w:val="24"/>
          <w:rtl w:val="1"/>
          <w:b/>
          <w:bCs/>
          <w:color w:val="14203a"/>
        </w:rPr>
        <w:t>۲-۲-۱ سابقهی ابتکارهای ناکام پیشین</w:t>
      </w:r>
    </w:p>
    <w:p>
      <w:pPr>
        <w:bidi w:val="1"/>
        <w:spacing w:line="312" w:lineRule="auto" w:before="0" w:after="120"/>
        <w:ind w:firstLine="454"/>
        <w:jc w:val="both"/>
      </w:pPr>
      <w:r>
        <w:rPr>
          <w:rFonts w:ascii="Times New Roman" w:hAnsi="Times New Roman" w:cs="B Nazanin"/>
          <w:sz w:val="22"/>
          <w:szCs w:val="28"/>
          <w:rtl w:val="1"/>
        </w:rPr>
        <w:t>با اذعان به عدم موفقیت سه ابتکار مطرح شده در این قسمت، به نظر می‌رسد که اشاره به آن‌ها خالی از لطف نباشد. نکته مشترک این ابتکارات در این است که مبتکر اصلی آن‌ها جوامع مدنی هستند و اینکه توسط دولت‌های معدودی به عنوان واسطه عرضه شده اند. همین موضوع بسیار آموزنده است و حاکی از تمایل به تغییر فرایند قانونگذاری در حقوق بین الملل محیط زیست از دولت‌ها به جوامع مدنی است. البته همین موضوع را می‌توان در تحلیل ناکامی این ابتکارها نیز در نظر داشت. عامل موفقیت ابتکارها از سوی جوامع مدنی، در موفقیت آن‌ها در جلب حمایت سیاسی دولت‌ها نهفته است. لذا، فقدان اراده سیاسی دولت‌ها همواره یکی از موانع جدی تدوین و توسعه مقررات جاه طلبانه در حوزه حفاظت از محیط زیست تلقی می‌گردد.</w:t>
      </w:r>
    </w:p>
    <w:p>
      <w:pPr>
        <w:pStyle w:val="GPEHeading3"/>
        <w:bidi w:val="1"/>
        <w:spacing w:line="312" w:lineRule="auto" w:before="200" w:after="120"/>
        <w:jc w:val="right"/>
      </w:pPr>
      <w:r>
        <w:rPr>
          <w:rFonts w:ascii="Times New Roman" w:hAnsi="Times New Roman" w:cs="B Nazanin"/>
          <w:sz w:val="24"/>
          <w:szCs w:val="24"/>
          <w:rtl w:val="1"/>
          <w:b/>
          <w:bCs/>
          <w:color w:val="14203a"/>
        </w:rPr>
        <w:t>۲-۲-۱-۱ ایده سازمان جهانی حفاظت از محیط زیست</w:t>
      </w:r>
    </w:p>
    <w:p>
      <w:pPr>
        <w:bidi w:val="1"/>
        <w:spacing w:line="312" w:lineRule="auto" w:before="0" w:after="120"/>
        <w:ind w:firstLine="454"/>
        <w:jc w:val="both"/>
      </w:pPr>
      <w:r>
        <w:rPr>
          <w:rFonts w:ascii="Times New Roman" w:hAnsi="Times New Roman" w:cs="B Nazanin"/>
          <w:sz w:val="22"/>
          <w:szCs w:val="28"/>
          <w:rtl w:val="1"/>
        </w:rPr>
        <w:t>در فوریه 2007، 46 کشور در پاریس پیشنهاد مشترکی را برای ارتقاء برنامه محیط زیست سازمان ملل متحد</w:t>
      </w:r>
      <w:r>
        <w:rPr>
          <w:rStyle w:val="FootnoteReference"/>
          <w:rtl w:val="1"/>
        </w:rPr>
        <w:footnoteReference w:id="30"/>
      </w:r>
      <w:r>
        <w:rPr>
          <w:rFonts w:ascii="Times New Roman" w:hAnsi="Times New Roman" w:cs="B Nazanin"/>
          <w:sz w:val="22"/>
          <w:szCs w:val="28"/>
          <w:rtl w:val="1"/>
        </w:rPr>
        <w:t xml:space="preserve"> به یک آژانس تخصصی در چارچوب سازمان ملل متحد ارائه نمودند. البته بحث در مورد یک آژانس ویژه سازمان ملل متحد برای حفاظت از محیط زیست به سال 1970 و پیشنهاد جورج کنان</w:t>
      </w:r>
      <w:r>
        <w:rPr>
          <w:rStyle w:val="FootnoteReference"/>
          <w:rtl w:val="1"/>
        </w:rPr>
        <w:footnoteReference w:id="31"/>
      </w:r>
      <w:r>
        <w:rPr>
          <w:rFonts w:ascii="Times New Roman" w:hAnsi="Times New Roman" w:cs="B Nazanin"/>
          <w:sz w:val="22"/>
          <w:szCs w:val="28"/>
          <w:rtl w:val="1"/>
        </w:rPr>
        <w:t xml:space="preserve"> جهت شکل گیری یک آژانس بین المللی محیط زیست برمی گردد. (Charnovitz, 2005,93) علاوه بر او، میخائیل گورباچف، رئیس جمهور سابق اتحاد جماهیر شوروی و ژاک شیراک، رئیس جمهور فرانسه، نیز بر ایجاد یک سازمان جهانی محیط زیست تاکید کرده بودند. نام‌های مختلفی در طرح‌های پیشنهادی برای ایجاد آژانس جدید استفاده شد، از جمله آژانس بین‌المللی محیط‌زیست</w:t>
      </w:r>
      <w:r>
        <w:rPr>
          <w:rStyle w:val="FootnoteReference"/>
          <w:rtl w:val="1"/>
        </w:rPr>
        <w:footnoteReference w:id="32"/>
      </w:r>
      <w:r>
        <w:rPr>
          <w:rFonts w:ascii="Times New Roman" w:hAnsi="Times New Roman" w:cs="B Nazanin"/>
          <w:sz w:val="22"/>
          <w:szCs w:val="28"/>
          <w:rtl w:val="1"/>
        </w:rPr>
        <w:t>، سازمان جهانی محیط‌زیست</w:t>
      </w:r>
      <w:r>
        <w:rPr>
          <w:rStyle w:val="FootnoteReference"/>
          <w:rtl w:val="1"/>
        </w:rPr>
        <w:footnoteReference w:id="33"/>
      </w:r>
      <w:r>
        <w:rPr>
          <w:rFonts w:ascii="Times New Roman" w:hAnsi="Times New Roman" w:cs="B Nazanin"/>
          <w:sz w:val="22"/>
          <w:szCs w:val="28"/>
          <w:rtl w:val="1"/>
        </w:rPr>
        <w:t>، یا سازمان محیط‌زیست ملل متحد</w:t>
      </w:r>
      <w:r>
        <w:rPr>
          <w:rStyle w:val="FootnoteReference"/>
          <w:rtl w:val="1"/>
        </w:rPr>
        <w:footnoteReference w:id="34"/>
      </w:r>
      <w:r>
        <w:rPr>
          <w:rFonts w:ascii="Times New Roman" w:hAnsi="Times New Roman" w:cs="B Nazanin"/>
          <w:sz w:val="22"/>
          <w:szCs w:val="28"/>
          <w:rtl w:val="1"/>
        </w:rPr>
        <w:t>.</w:t>
      </w:r>
    </w:p>
    <w:p>
      <w:pPr>
        <w:bidi w:val="1"/>
        <w:spacing w:line="312" w:lineRule="auto" w:before="0" w:after="120"/>
        <w:ind w:firstLine="454"/>
        <w:jc w:val="both"/>
      </w:pPr>
      <w:r>
        <w:rPr>
          <w:rFonts w:ascii="Times New Roman" w:hAnsi="Times New Roman" w:cs="B Nazanin"/>
          <w:sz w:val="22"/>
          <w:szCs w:val="28"/>
          <w:rtl w:val="1"/>
        </w:rPr>
        <w:t>ابتکار ایجاد سازمان جهانی محیط زیست به دلایلی هم چون تشدید مشکلات محیط زیستی در قرن 21، ناکارآمدی سیستم حکمرانی محیط زیست جهانی، پراکندگی حقوق بین الملل محیط زیست، کمبود اقتدار برنامه محیط زیست سازمان ملل متحد و مشروعیت ناکافی نظام حقوق بین الملل محیط زیست و ناکامی در ایجاد تعادل میان اولویت‌های کشورهای در حال توسعه و توسعه یافته ضروری به نظر می‌آمد. (Esty and Ivanovai, 2001, 5-10) از این رو، ابتکار ایجاد سازمان جهانی محیط زیست با هدف هماهنگی بهتر و ارتقاء حکمرانی محیط زیست جهانی، توسعه و اجرای بهتر حقوق بین الملل محیط زیست، هموارسازی مسیر سیاست‌های محیط زیستی در دستورکار دولت ها، سازمان‌های بین المللی و سازمان‌های خصوصی، کمک به توسعه ظرفیت‌های سیاست محیط زیست در کشورهای آفریقایی، آسیایی و آمریکای لاتین، بهبود انتقال جریان‌های مالی و فناوری به کشورهای جنوب، تقویت ساختار نهادی برای مذاکره ی اسناد و برنامه اقدام‌های جدید و هم چنین اجرا و هماهنگی اسناد موجود ارائه شد. (Biermann, 2007, p.105)</w:t>
      </w:r>
    </w:p>
    <w:p>
      <w:pPr>
        <w:bidi w:val="1"/>
        <w:spacing w:line="312" w:lineRule="auto" w:before="0" w:after="120"/>
        <w:ind w:firstLine="454"/>
        <w:jc w:val="both"/>
      </w:pPr>
      <w:r>
        <w:rPr>
          <w:rFonts w:ascii="Times New Roman" w:hAnsi="Times New Roman" w:cs="B Nazanin"/>
          <w:sz w:val="22"/>
          <w:szCs w:val="28"/>
          <w:rtl w:val="1"/>
        </w:rPr>
        <w:t>در نهایت، این ابتکار به دلیل منافع ملی و سیاسی بعضاً متضاد کشورها و به عبارتی تعارض منافع کشورهای شمال و جنوب در موضوعات محیط زیستی، نگرانی در خصوص حاکمیت ملی به ویژه از سوی کشورهای در حال توسعه، ابراز تردید در خصوص کارایی چنین سازمانی و در آخر کمبود منابع مالی جهت راه اندازی و مشارکت در سازمانی جدید با شکست رو به رو شد. (Whalley and Zissimos, 2002, p.47) برخی بر این باور بودند که شکل گیری سازمان جهانی محیط زیست به نفع سیاست‌های محیط زیستی و به ضرر سایر سیاست‌های در اولویتی هم چون توسعه اقتصادی و ریشه کنی فقر می‌گردد. لذا، آن‌ها بر لزوم تقویت برنامه محیط زیست سازمان ملل متحد و بهبود حکمرانی محیط زیست جهانی از آن طریق تاکید داشتند. مخالفان استدلال می‌کنند که نه تنها به سازمان بین المللی جدیدی در حوزه محیط زیست نیاز نداریم، بلکه مذاکره در این مورد نیز ما را از اصلاح واقعی ساختارهای موجود نیز باز می‌دارد. آن چه به عنوان بازبینی ساختار مد نظر موافقان است، اصلاحات سازمانی</w:t>
      </w:r>
      <w:r>
        <w:rPr>
          <w:rStyle w:val="FootnoteReference"/>
          <w:rtl w:val="1"/>
        </w:rPr>
        <w:footnoteReference w:id="35"/>
      </w:r>
      <w:r>
        <w:rPr>
          <w:rFonts w:ascii="Times New Roman" w:hAnsi="Times New Roman" w:cs="B Nazanin"/>
          <w:sz w:val="22"/>
          <w:szCs w:val="28"/>
          <w:rtl w:val="1"/>
        </w:rPr>
        <w:t xml:space="preserve"> است. در حالی که آن چه ما به آن نیاز داریم اصلاحات نهادی</w:t>
      </w:r>
      <w:r>
        <w:rPr>
          <w:rStyle w:val="FootnoteReference"/>
          <w:rtl w:val="1"/>
        </w:rPr>
        <w:footnoteReference w:id="36"/>
      </w:r>
      <w:r>
        <w:rPr>
          <w:rFonts w:ascii="Times New Roman" w:hAnsi="Times New Roman" w:cs="B Nazanin"/>
          <w:sz w:val="22"/>
          <w:szCs w:val="28"/>
          <w:rtl w:val="1"/>
        </w:rPr>
        <w:t xml:space="preserve"> است. (Najam, 2001, p.5) مخالفان شکل گیری سازمان جهانی محیط زیست به این نتیجه رسیدند که تغییر کلیدی نه در جزئیات ساختاری سازمان‌های موجود یا جدید، بلکه در حمایت و اراده سیاسی است که دولت‌های ملی مایل به سرمایه گذاری در این سازمان‌ها هستند. آن‌ها برآنند که برنامه محیط زیست سازمان ملل متحد با اختیارات و منابع مالی محدود، دستاوردهای قابل توجهی داشته است. لذا، اصلاحات «نهادی» را در چارچوب برنامه محیط زیست ملل متحد پیشنهاد می‌کند: الف) توانمندسازی برای انجام وظایف، ب) تلاش جهت تحقق توسعه پایدار، ج) مدیریت تکثر موافقت نامه‌های چند جانبه محیط زیستی، د) حمایت از هماهنگی و مخالفت با تمرکز؛ زیرا در عمل تمرکز کامل امور بین المللی محیط زیست در یک سازمان امکان پذیر نخواهد بود، و ه) متمدن سازی حکمرانی جهانی محیط زیستی؛ (Ibid,p.9)</w:t>
      </w:r>
    </w:p>
    <w:p>
      <w:pPr>
        <w:bidi w:val="1"/>
        <w:spacing w:line="312" w:lineRule="auto" w:before="0" w:after="120"/>
        <w:ind w:firstLine="454"/>
        <w:jc w:val="both"/>
      </w:pPr>
      <w:r>
        <w:rPr>
          <w:rFonts w:ascii="Times New Roman" w:hAnsi="Times New Roman" w:cs="B Nazanin"/>
          <w:sz w:val="22"/>
          <w:szCs w:val="28"/>
          <w:rtl w:val="1"/>
        </w:rPr>
        <w:t>در نگاه تحلیلی می‌توان گفت، ابتکار سازمان جهانی محیط زیست که با هدف رسیدگی به چالش‌های محیط زیستی مبرمی که جهان با آن مواجه بود، پیشنهاد شد. علی رغم هدف مطلوب، پسندیده و به موقع، تحقق آن به دلیل چالش‌های ساختاری، سیاسی و عملیاتی به شرح زیر ناکام باقی ماند.. در حالی که فوریت مسائل محیط زیستی مستلزم اقدام جمعی است، ماهیت چند وجهی روابط بین‌الملل و اولویت‌ دهی به حاکمیت ملی همچنان مانع تلاش‌ها برای ایجاد یک ساختار مؤثر و منسجم حکمرانی جهانی محیط زیستی می‌شود.</w:t>
      </w:r>
    </w:p>
    <w:p>
      <w:pPr>
        <w:bidi w:val="1"/>
        <w:spacing w:line="312" w:lineRule="auto" w:before="0" w:after="120"/>
        <w:ind w:firstLine="454"/>
        <w:jc w:val="both"/>
      </w:pPr>
      <w:r>
        <w:rPr>
          <w:rFonts w:ascii="Times New Roman" w:hAnsi="Times New Roman" w:cs="B Nazanin"/>
          <w:sz w:val="22"/>
          <w:szCs w:val="28"/>
          <w:rtl w:val="1"/>
        </w:rPr>
        <w:t>ماهیت پیچیده حکمرانی جهانی مانع مهمی برای ایجاد یک سازمان جهانی محیط زیست ایجاد می‌کند. مسائل محیط زیستی فراتر از مرزهای ملی و نیازمند راه حل‌های مشارکتی است. با این حال، چارچوب‌های بین‌المللی موجود، مانند سازمان ملل متحد، اغلب برای هماهنگی موثر بین بسیاری از دولت‌های حاکم تلاش می‌کنند. چارچوب نهادی موجود می‌تواند منجر به ناکارآمدی بوروکراتیک شود و اثربخشی هر سازمان پیشنهادی را کاهش دهد. علاوه بر این، انبوهی از موافقت‌نامه‌ها و معاهدات ‌محیط زیستی منجر به رویکردی پراکنده به حکمرانی ‌محیط زیستی شده است و ایجاد یک سازمان منحصربه‌فرد را که به این موضوعات اختصاص دارد، پیچیده‌تر کرده است.</w:t>
      </w:r>
    </w:p>
    <w:p>
      <w:pPr>
        <w:bidi w:val="1"/>
        <w:spacing w:line="312" w:lineRule="auto" w:before="0" w:after="120"/>
        <w:ind w:firstLine="454"/>
        <w:jc w:val="both"/>
      </w:pPr>
      <w:r>
        <w:rPr>
          <w:rFonts w:ascii="Times New Roman" w:hAnsi="Times New Roman" w:cs="B Nazanin"/>
          <w:sz w:val="22"/>
          <w:szCs w:val="28"/>
          <w:rtl w:val="1"/>
        </w:rPr>
        <w:t>واگرایی منافع ملی به طور قابل توجهی امکان سنجی شکل گیری سازمان جهانی محیط زیست را تضعیف نمود. کشورها رشد اقتصادی، بهره برداری از منابع و نیازهای خود را در اولویت قرار می‌دهند و اغلب این اهداف را در تضاد با پایداری محیط زیستی می‌دانند. کشورهای در حال توسعه، به ویژه، ممکن است در برابر تعهدات الزام آور که ممکن است مانع توسعه اقتصادی یا تشدید نابرابری‌های موجود شود، مقاومت می‌کنند. فقدان اجماع در مورد اولویت‌ها و مسئولیت‌های محیط زیستی، پتانسیل اقدام مشترک را تضعیف می‌کند؛ زیرا کشورها ممکن است تصور کنند که سازمان جهانی محیط زیست حاکمیت آنها را نقض می‌کند یا اولویت‌های توسعه‌ای آنها را محدود می‌کند.</w:t>
      </w:r>
    </w:p>
    <w:p>
      <w:pPr>
        <w:bidi w:val="1"/>
        <w:spacing w:line="312" w:lineRule="auto" w:before="0" w:after="120"/>
        <w:ind w:firstLine="454"/>
        <w:jc w:val="both"/>
      </w:pPr>
      <w:r>
        <w:rPr>
          <w:rFonts w:ascii="Times New Roman" w:hAnsi="Times New Roman" w:cs="B Nazanin"/>
          <w:sz w:val="22"/>
          <w:szCs w:val="28"/>
          <w:rtl w:val="1"/>
        </w:rPr>
        <w:t>چالش‌های بودجه و منابع را نمی‌توان نادیده گرفت. ایجاد و نگهداری یک سازمان جهانی مستلزم تعهدات مالی قابل توجهی است که نیاز به سرمایه گذاری توامان بخش خصوصی و دولتی دارد. با این حال، در میان اولویت‌های رقابتی، بسیاری از کشورها تمایلی به تخصیص منابع قابل توجه به طرح‌های محیط زیستی ندارند. علاوه بر این، فقدان یک چارچوب روشن و قانع‌کننده برای تامین مالی، پایداری چنین سازمانی را تضعیف می‌کند و جذب سرمایه‌گذاری‌های لازم از سوی ذینفعان مختلف را دشوار می‌سازد.</w:t>
      </w:r>
    </w:p>
    <w:p>
      <w:pPr>
        <w:pStyle w:val="GPEHeading3"/>
        <w:bidi w:val="1"/>
        <w:spacing w:line="312" w:lineRule="auto" w:before="200" w:after="120"/>
        <w:jc w:val="right"/>
      </w:pPr>
      <w:r>
        <w:rPr>
          <w:rFonts w:ascii="Times New Roman" w:hAnsi="Times New Roman" w:cs="B Nazanin"/>
          <w:sz w:val="24"/>
          <w:szCs w:val="24"/>
          <w:rtl w:val="1"/>
          <w:b/>
          <w:bCs/>
          <w:color w:val="14203a"/>
        </w:rPr>
        <w:t>۲-۲-۱-۲ ایده میثاق محیط زیست و توسعه</w:t>
      </w:r>
    </w:p>
    <w:p>
      <w:pPr>
        <w:bidi w:val="1"/>
        <w:spacing w:line="312" w:lineRule="auto" w:before="0" w:after="120"/>
        <w:ind w:firstLine="454"/>
        <w:jc w:val="both"/>
      </w:pPr>
      <w:r>
        <w:rPr>
          <w:rFonts w:ascii="Times New Roman" w:hAnsi="Times New Roman" w:cs="B Nazanin"/>
          <w:sz w:val="22"/>
          <w:szCs w:val="28"/>
          <w:rtl w:val="1"/>
        </w:rPr>
        <w:t>اعلامیه استکهلم در خصوص محیط زیست انسانی در سال 1972، منشور جهانی طبیعت در 1982 و اعلامیه ریو 1992 در خصوص محیط زیست و توسعه هر کدام هنجارهایی در خصوص نحوه مدیریت منابع طبیعی و توسعه پایدار عرضه کردند که از آن جایی که این اسناد در طبقه بندی حقوق نرم قرار دارند، هیچ تعهدی را متوجه دولت‌ها در عرصه جامعه ی بین المللی نمی‌ساختند. تا اینکه نیاز به فراتر رفتن از هنجارهای اعلامیه ای و تبدیل به تعهدات الزام آور به منظور تحقق توسعه پایدار در کمیسیون حقوق محیط زیست اتحادیه بین المللی حفاظت از طبیعت مطرح گردید. علاوه بر آن، توسعه موازی در زمینه حقوق بشر با نگاهی به تعهدات مندرج در اعلامیه جهانی حقوق بشر مصوب 1948 و مقرره‌های الزام آور در میثاق حقوق مدنی و سیاسی و میثاق حقوق اقتصادی، اجتماعی و فرهنگی مصوب 1966 نیز مد نظر قرار گرفت. تا اینکه، پیش نویس میثاق بین المللی محیط زیست و توسعه</w:t>
      </w:r>
      <w:r>
        <w:rPr>
          <w:rStyle w:val="FootnoteReference"/>
          <w:rtl w:val="1"/>
        </w:rPr>
        <w:footnoteReference w:id="37"/>
      </w:r>
      <w:r>
        <w:rPr>
          <w:rFonts w:ascii="Times New Roman" w:hAnsi="Times New Roman" w:cs="B Nazanin"/>
          <w:sz w:val="22"/>
          <w:szCs w:val="28"/>
          <w:rtl w:val="1"/>
        </w:rPr>
        <w:t xml:space="preserve"> به مجمع عمومی سازمان ملل متحد در مارس 1995 تسلیم شد. (Hassan, 2006, p.1) گفتنی است که دومین و سومین نسخه ی ویرایش شده از آن پیش نویس به پنجاه و چهارمین و پنجاه و نهمین نشست مجمع عمومی به ترتیب در سال‌های 2000 و 2004 ارائه گردید. چهارمین نسخه ی ویرایش شده در چارچوب نشست عالی رتبه تنوع زیستی در سال 2010 رو نمایی شد. در نهایت، پنجمین نسخه ی ویرایش شده در جلسات راجع به دستورکار 2030 برای توسعه پایدار در سپتامبر 2015 منتشر شد. (IUCN Environmental Policy and Law Paper, p.1)</w:t>
      </w:r>
    </w:p>
    <w:p>
      <w:pPr>
        <w:bidi w:val="1"/>
        <w:spacing w:line="312" w:lineRule="auto" w:before="0" w:after="120"/>
        <w:ind w:firstLine="454"/>
        <w:jc w:val="both"/>
      </w:pPr>
      <w:r>
        <w:rPr>
          <w:rFonts w:ascii="Times New Roman" w:hAnsi="Times New Roman" w:cs="B Nazanin"/>
          <w:sz w:val="22"/>
          <w:szCs w:val="28"/>
          <w:rtl w:val="1"/>
        </w:rPr>
        <w:t>پیش نویس میثاق بین المللی محیط زیست و توسعه- یک ابتکار بلندپروازانه که سال‌ها در دستور کار جهت مذاکره و ویرایش متن قرار داشت-، به عنوان چارچوبی جامع برای رسیدگی به مسائل مهم جهانی محیط زیست پیشنهاد شده بود، در نهایت نتوانست در صحنه بین المللی مورد توجه قرار گیرد. عوامل متعددی به شرح زیر در این نتیجه دخیل بودند که گویای پویایی سیاسی و اختلافات اساسی بین کشورها بود.</w:t>
      </w:r>
    </w:p>
    <w:p>
      <w:pPr>
        <w:bidi w:val="1"/>
        <w:spacing w:line="312" w:lineRule="auto" w:before="0" w:after="120"/>
        <w:ind w:firstLine="454"/>
        <w:jc w:val="both"/>
      </w:pPr>
      <w:r>
        <w:rPr>
          <w:rFonts w:ascii="Times New Roman" w:hAnsi="Times New Roman" w:cs="B Nazanin"/>
          <w:sz w:val="22"/>
          <w:szCs w:val="28"/>
          <w:rtl w:val="1"/>
        </w:rPr>
        <w:t>فقدان اجماع بین کشورهای عضو به طور قابل توجهی روند مذاکرات را تضعیف کرد. کشورها اولویت‌های متفاوتی را بر اساس شرایط اقتصادی، سیاست‌های محیط زیستی و معیارهای توسعه ای خود نشان دادند. در حالی که کشورهای توسعه یافته اغلب بر حفاظت از محیط زیست سختگیرانه تاکید می‌کردند، کشورهای در حال توسعه از سیاست هایی حمایت می‌کردند که با رشد اقتصادی و کاهش فقر همسو باشد. این برخورد اساسی منافع دو گروه منجر به عدم دستیابی به شرایط قابل قبول برای دو طرف شد. لذا، منافع ملی متفاوت در سایه اولویت‌های اقتصادی و سیاست‌های محیط زیستی متقاوت اولین عامل ناکامی این ابتکار می‌باشد.</w:t>
      </w:r>
    </w:p>
    <w:p>
      <w:pPr>
        <w:bidi w:val="1"/>
        <w:spacing w:line="312" w:lineRule="auto" w:before="0" w:after="120"/>
        <w:ind w:firstLine="454"/>
        <w:jc w:val="both"/>
      </w:pPr>
      <w:r>
        <w:rPr>
          <w:rFonts w:ascii="Times New Roman" w:hAnsi="Times New Roman" w:cs="B Nazanin"/>
          <w:sz w:val="22"/>
          <w:szCs w:val="28"/>
          <w:rtl w:val="1"/>
        </w:rPr>
        <w:t>پیچیدگی موضوعاتی که میثاق به آنها پرداخته بود، مانعی برای گفتگوی مؤثر بود. درهم تنیدگی نگرانی‌های توسعه ای و ‌محیط زیستی نیازمند یک رویکرد پیچیده بود. با این حال پیش‌نویس تلاش می‌کرد تا بین این اهداف اغلب متناقض تعادل برقرار کند. فقدان چارچوب‌های روشن و قابل اجرا، باعث کاهش جذابیت و امکان‌سنجی سند می‌گردید و امضاکنندگان بالقوه را که نگران دغدغه‌های توسعه‌ای بودند را از خود دور کرد. لذا، ماهیت به هم پیوسته مقوله توسعه و حفاظت از محیط زیست مستلزم تدوین رویکردی منسجم‌تر و جامع‌تر به همراه دستورالعمل‌های های واضح و قابل اجرا می‌باشد.</w:t>
      </w:r>
    </w:p>
    <w:p>
      <w:pPr>
        <w:bidi w:val="1"/>
        <w:spacing w:line="312" w:lineRule="auto" w:before="0" w:after="120"/>
        <w:ind w:firstLine="454"/>
        <w:jc w:val="both"/>
      </w:pPr>
      <w:r>
        <w:rPr>
          <w:rFonts w:ascii="Times New Roman" w:hAnsi="Times New Roman" w:cs="B Nazanin"/>
          <w:sz w:val="22"/>
          <w:szCs w:val="28"/>
          <w:rtl w:val="1"/>
        </w:rPr>
        <w:t>فقدان اراده و تعهد سیاسی نقش مهمی در سقوط میثاق داشت. بسیاری از کشورها، که درگیر چالش‌های اقتصادی و بحران‌های داخلی بودند، تمایلی به درگیر شدن با چارچوب‌های حکمرانی محیط زیستی که از نظر آن‌ها به‌عنوان مقوله ی سنگین و پرمسئولیتی بود، نداشتند. ناکامی در تشویق دولت‌ها جهت تخصیص منابع مالی لازم و هم چنین حساس سازی و جلب توجه لازم دولت‌ها به اهمیت ملاحظات بلند مدت محیط زیستی، فرایند حصول توافق در خصوص سند کلیدی در عرصه حقوق بین الملل محیط زیست را متوقف کرد.</w:t>
      </w:r>
    </w:p>
    <w:p>
      <w:pPr>
        <w:bidi w:val="1"/>
        <w:spacing w:line="312" w:lineRule="auto" w:before="0" w:after="120"/>
        <w:ind w:firstLine="454"/>
        <w:jc w:val="both"/>
      </w:pPr>
      <w:r>
        <w:rPr>
          <w:rFonts w:ascii="Times New Roman" w:hAnsi="Times New Roman" w:cs="B Nazanin"/>
          <w:sz w:val="22"/>
          <w:szCs w:val="28"/>
          <w:rtl w:val="1"/>
        </w:rPr>
        <w:t>عدم توازن قدرت در فرایند مذاکراتی این سند به حدی مشهود بود که منتهی به نارضایتی و تشدید مخالفت کشورهای در حال توسعه با نهایی سازی پیش نویس میثاق بعد از ده سال گردید. فرایند شکل گیری مباحث و پیشبرد مذاکرات کاملاً هم سو با منافع کشورهای توسعه یافته بود و این عدم تعادل طرفین مذاکره، عامل دیگری در ناکامی سند گردید.</w:t>
      </w:r>
    </w:p>
    <w:p>
      <w:pPr>
        <w:bidi w:val="1"/>
        <w:spacing w:line="312" w:lineRule="auto" w:before="0" w:after="120"/>
        <w:ind w:firstLine="454"/>
        <w:jc w:val="both"/>
      </w:pPr>
      <w:r>
        <w:rPr>
          <w:rFonts w:ascii="Times New Roman" w:hAnsi="Times New Roman" w:cs="B Nazanin"/>
          <w:sz w:val="22"/>
          <w:szCs w:val="28"/>
          <w:rtl w:val="1"/>
        </w:rPr>
        <w:t>تاثیر بازیگران غیردولتی بر دولت‌ها مانع دیگری بر سر راه حصول توافق بود. با لحاظ این واقعیت که شرکت‌های چند ملیتی که اغلب منافع اقتصادی خود را بر استانداردهای محیط زیستی ترجیح می‌دهند، بر سیاست‌های ملی محیط زیستی نیز تاثیرات قابل توجهی داشتند. همین نکته باعث می‌شد که دولت ملی اقدامی در راستای تضییع منافع صنایع قدرتمند داخلی خود اتخاذ ننماید.</w:t>
      </w:r>
    </w:p>
    <w:p>
      <w:pPr>
        <w:bidi w:val="1"/>
        <w:spacing w:line="312" w:lineRule="auto" w:before="0" w:after="120"/>
        <w:ind w:firstLine="454"/>
        <w:jc w:val="both"/>
      </w:pPr>
      <w:r>
        <w:rPr>
          <w:rFonts w:ascii="Times New Roman" w:hAnsi="Times New Roman" w:cs="B Nazanin"/>
          <w:sz w:val="22"/>
          <w:szCs w:val="28"/>
          <w:rtl w:val="1"/>
        </w:rPr>
        <w:t>در نتیجه، شکست پیش‌نویس میثاق بین‌المللی محیط‌زیست و توسعه را می‌توان به تأثیر منافع ملی متفاوت، ماهیت پیچیده پیشنهادات آن و فقدان تعهد سیاسی دولت‌ها نسبت به حفاظت از محیط زیست نسبت داد. (Bekhechi,1999,301) همان طور که جامعه جهانی همچنان با بحران‌های محیط زیستی دست و پنجه نرم می‌کند، این درس‌ها بر اهمیت تقویت همکاری و سازش در تلاش‌های آینده با هدف توسعه پایدار تأکید می‌کند.</w:t>
      </w:r>
    </w:p>
    <w:p>
      <w:pPr>
        <w:pStyle w:val="GPEHeading3"/>
        <w:bidi w:val="1"/>
        <w:spacing w:line="312" w:lineRule="auto" w:before="200" w:after="120"/>
        <w:jc w:val="right"/>
      </w:pPr>
      <w:r>
        <w:rPr>
          <w:rFonts w:ascii="Times New Roman" w:hAnsi="Times New Roman" w:cs="B Nazanin"/>
          <w:sz w:val="24"/>
          <w:szCs w:val="24"/>
          <w:rtl w:val="1"/>
          <w:b/>
          <w:bCs/>
          <w:color w:val="14203a"/>
        </w:rPr>
        <w:t>۲-۲-۱-۳ ایده دیوان بین المللی محیط زیست</w:t>
      </w:r>
    </w:p>
    <w:p>
      <w:pPr>
        <w:bidi w:val="1"/>
        <w:spacing w:line="312" w:lineRule="auto" w:before="0" w:after="120"/>
        <w:ind w:firstLine="454"/>
        <w:jc w:val="both"/>
      </w:pPr>
      <w:r>
        <w:rPr>
          <w:rFonts w:ascii="Times New Roman" w:hAnsi="Times New Roman" w:cs="B Nazanin"/>
          <w:sz w:val="22"/>
          <w:szCs w:val="28"/>
          <w:rtl w:val="1"/>
        </w:rPr>
        <w:t>ابتکار شکل گیری دیوان بین المللی محیط زیست</w:t>
      </w:r>
      <w:r>
        <w:rPr>
          <w:rStyle w:val="FootnoteReference"/>
          <w:rtl w:val="1"/>
        </w:rPr>
        <w:footnoteReference w:id="38"/>
      </w:r>
      <w:r>
        <w:rPr>
          <w:rFonts w:ascii="Times New Roman" w:hAnsi="Times New Roman" w:cs="B Nazanin"/>
          <w:sz w:val="22"/>
          <w:szCs w:val="28"/>
          <w:rtl w:val="1"/>
        </w:rPr>
        <w:t xml:space="preserve"> با هدف رسیدگی به اختلافات حقوقی و شکایات مربوط به مسائل محیط زیستی (با توجه به تعدد موافقت نامه‌های چندجانبه محیط زیستی) در سطح جهانی به عنوان مرجع مستقل و تخصصی و ابزار موثری در حفاظت از محیط زیست و ضمانت اجرای قوی در رعایت قواعد بین المللی محیط زیستی در دهه 90 میلادی مطرح شد. تصویب اعلامیه استکهلم در 1972 در مورد محیط زیست انسانی، برگزاری اجلاس سران در 1992 در ریودوژانیرو و حصول توافق در خصوص چندین موافقت نامه چندجانبه محیط زیستی هم چون حفاظت از لایه اوزن، تنوع زیستی و تغییر اقلیم ضرورت و نیاز به سازوکار تخصصی برای حل و فصل اختلافات راجع به حفاظت از محیط زیست را برجسته نمود. علاوه بر آن، سوابق حقوقی موجود در حوزه داوری هم چون trail smelter در سال 1928 و در حوزه قضایی هم چون کانال کورفو در سال 1949 جرقه ای برای راه اندازی مرجع تخصصی حل و فصل اختلافات محیط زیستی بود.</w:t>
      </w:r>
    </w:p>
    <w:p>
      <w:pPr>
        <w:bidi w:val="1"/>
        <w:spacing w:line="312" w:lineRule="auto" w:before="0" w:after="120"/>
        <w:ind w:firstLine="454"/>
        <w:jc w:val="both"/>
      </w:pPr>
      <w:r>
        <w:rPr>
          <w:rFonts w:ascii="Times New Roman" w:hAnsi="Times New Roman" w:cs="B Nazanin"/>
          <w:sz w:val="22"/>
          <w:szCs w:val="28"/>
          <w:rtl w:val="1"/>
        </w:rPr>
        <w:t>در نظر بود که این دیوان بستری را برای دولت‌ها، بازیگران غیردولتی و افراد فراهم کند تا به دنبال حل اختلافات ناشی از تخریب فرامرزی محیط زیست مانند از دست رفتن تنوع زیستی، تامین عدالت برای آسیب‌های محیط زیستی، اجرای موافقت نامه‌های چند جانبه محیط زیستی مشابه اجرای قواعد بین المللی توسط دیوان بین المللی دادگستری و ترویج انطباق با استانداردهای جهانی محیط زیستی و شناسایی تمهیدات لازم برای ایجاد ظرفیت در کشورها به منظور ایفاء تعهدات بین المللی محیط زیستی فراهم نماید. این ابتکار نیز حاوی رویکرد حقوق بشری بود و به دنبال به رسمیت شناختن حق برخورداری از محیط زیست پایدار به عنوان بخشی از حقوق بشر بود. علاوه بر این، قابلیت ارائه نظرات مشورتی در مسائل حقوق بین الملل محیط زیست به منظور تبیین و تفسیر قواعد بین المللی محیط زیستی و یکسان سازی قواعد حقوق بین الملل محیط زیست برای این دیوان پیش بینی شده بود. این ابتکار نیز همانند دو ابتکار پیشین گرفتار چالش هایی هم چون نگرانی اغلب کشورهای در حال توسعه از مقوله حاکمیت ملی و احساس خطر در این زمینه، ابهام و اختلاف در دامنه صلاحیت دیوان بین المللی محیط زیست، ناتوانی سازوکار پیشنهادی در اجرای احکام در مقایسه با دیوان بینالمللی دادگستری، فقدان اراده سیاسی اکثر کشورها، پراکندگی حقوق بین الملل محیط زیست و پیچیدگی این امر، و... شد. علی رغم شکست این ابتکار، ما شاهد این هستیم که سازوکارهای دیگری هم چون دیوان بین المللی دادگستری، دیوان بین المللی کیفری، دیوان بین المللی حقوق دریاها، سازمان تجارت جهانی، دیوان دائمی داوری، دادگاه‌های فراملی و منطقه ای متعدی هم چون دیوان دادگستری اروپایی، دادگاه اروپایی حقوق بشر و در نهایت دادگاه‌های ملی و داخلی جور جای خالی این نهاد قضایی محیط زیستی را می‌کشند. اما باید در نظر داشت که سازوکار‌های ملی، منطقه ای و بین المللی موجود قادر به حل اختلافات بین المللی محیط زیستی به طور موثر و تخصصی نیستند و نمی‌توانند عملکرد موثر و مورد قبولی را برای دولت‌ها داشته باشند. (جلالی، 1388، 65)</w:t>
      </w:r>
    </w:p>
    <w:p>
      <w:pPr>
        <w:bidi w:val="1"/>
        <w:spacing w:line="312" w:lineRule="auto" w:before="0" w:after="120"/>
        <w:ind w:firstLine="454"/>
        <w:jc w:val="both"/>
      </w:pPr>
      <w:r>
        <w:rPr>
          <w:rFonts w:ascii="Times New Roman" w:hAnsi="Times New Roman" w:cs="B Nazanin"/>
          <w:sz w:val="22"/>
          <w:szCs w:val="28"/>
          <w:rtl w:val="1"/>
        </w:rPr>
        <w:t>در ارزیابی ابتکار مطرح شده می‌توان گفت، از یک سو در وضعیت عدم توجه دولت‌ها به مسئولیت بین المللی در راستای حفاظت از محیط زیست و ایفاء تعهدات خاص در چارچوب موافقت نامه‌های چندجانبه محیط زیستی، تاسیس مرجع مستقل و تخصصی در سطح بین المللی و با ضمانت اجرایی موثر می‌توانست به عنوان راهکاری موثر برای حفاظت از محیط زیست باشد. از سوی دیگر، با توجه به بی توجهی مکانیسم‌های موجود به حقوق بین الملل محیط زیست، محدودیت صلاحیت دادگاه ها، اطاله دادرسی در مراجع قضایی، عدم اعتماد به دادگاه‌ها و مراجع داخلی لذا ایجاد دیوان بین المللی محیط زیست موجه می‌نمود. (نجفی اسفاد و جلالیان، 1391، 239-236) توجه به افزایش شمار اختلافات مطرح شده در مراجع بین المللی در زمینه محیطزیست از منظر قوانین داخلی، موافقت نامه‌های چندجانبه محیط زیستی و سازوکارهای اقتصادی، چالشهای فراوان در حوزه تعیین مصادیق اختلافات محیط زیستی، فقدان تعریف مشخصی از اختلافات محیط زیستی و پراکندگی حقوق بین الملل محیط زیست از یک سو و از سوی دیگر، ابتنای حقوق بین الملل محیط زیست بر ارزیابی‌های علمی و اطلاعات فنی، قرارگیری مسائل مربوط به محیط زیست ذیل سایر زمینه‌های حقوق بین الملل نظیر حقوق بین الملل تجارت علی رغم سابقه ی مثبت حقوق بین الملل محیط زیست در پیشرفت (مشهدی و رستگار، 1397، 163)، حاکی از این امر است که ابتکار دیوان بین المللی محیط زیست در دهه 90 میلادی ناشی از توجه به موقع مبتکران به اهمیت حقوق بین الملل محیط زیست و چالش‌های محیط زیستی و عواقب آن در دهه‌های بعدی آن است. قطعاً راه اندازی نهاد قضایی تخصصی برای محیط زیست منتهی به اجرای بهتر قواعد مندرج در موافقت نامه‌های چند جانبه محیط زیستی و در سطح کلان حفاظت از محیط زیست می‌گردید.</w:t>
      </w:r>
    </w:p>
    <w:p>
      <w:pPr>
        <w:bidi w:val="1"/>
        <w:spacing w:line="312" w:lineRule="auto" w:before="0" w:after="120"/>
        <w:ind w:firstLine="454"/>
        <w:jc w:val="both"/>
      </w:pPr>
      <w:r>
        <w:rPr>
          <w:rFonts w:ascii="Times New Roman" w:hAnsi="Times New Roman" w:cs="B Nazanin"/>
          <w:sz w:val="22"/>
          <w:szCs w:val="28"/>
          <w:rtl w:val="1"/>
        </w:rPr>
        <w:t>دکتر جلالی در مقاله خود با عنوان «تاسیس دادگاه بین المللی محیط زیست و مشکلات آن» در سال 1388 به خوبی اشاره نموده است که «گرچه جامعه جهانی هنوز آمادگی کامل برای تاسیس دیوان بین المللی محیط زیست را ندارد، اما در سطح جهانی ضرورت راه اندازی و دسترسی به چنین دیوانی برای ایجاد وحدت حقوقی و بالابردن امکان دسترسی به اطلاعات محیط زیستی در زمینه مسائل قضائی جهانی احساس می‌شود. با تاسیس این نهاد بین المللی می‌توان حمایت گسترده ای را از منظر مسئولیت کیفری بین المللی و مسئولیت مدنی بین المللی اعمال کرد و از شکل گیری جرائم محیط زیستی اجتناب و از سازوکارهای بازدارنده در جهت جلوگیری از ارتکاب این جرایم استفاده کرد. تجربه جامعه بین المللی در ایجاد دیوان بین المللی کیفری نشان می‌دهد که تاسیس دیوانی برای حفاظت از محیط زیست شدنی است، گرچه سال‌ها به طول بینجامد.»</w:t>
      </w:r>
    </w:p>
    <w:p>
      <w:pPr>
        <w:pStyle w:val="GPEHeading3"/>
        <w:bidi w:val="1"/>
        <w:spacing w:line="312" w:lineRule="auto" w:before="200" w:after="120"/>
        <w:jc w:val="right"/>
      </w:pPr>
      <w:r>
        <w:rPr>
          <w:rFonts w:ascii="Times New Roman" w:hAnsi="Times New Roman" w:cs="B Nazanin"/>
          <w:sz w:val="24"/>
          <w:szCs w:val="24"/>
          <w:rtl w:val="1"/>
          <w:b/>
          <w:bCs/>
          <w:color w:val="14203a"/>
        </w:rPr>
        <w:t>۲-۲-۲ دیپلماسی فرانسه</w:t>
      </w:r>
    </w:p>
    <w:p>
      <w:pPr>
        <w:bidi w:val="1"/>
        <w:spacing w:line="312" w:lineRule="auto" w:before="0" w:after="120"/>
        <w:ind w:firstLine="454"/>
        <w:jc w:val="both"/>
      </w:pPr>
      <w:r>
        <w:rPr>
          <w:rFonts w:ascii="Times New Roman" w:hAnsi="Times New Roman" w:cs="B Nazanin"/>
          <w:sz w:val="22"/>
          <w:szCs w:val="28"/>
          <w:rtl w:val="1"/>
        </w:rPr>
        <w:t>پیمان جهانی محیط زیست جدیدترین راه حل پیشنهادی برای رفع خلاءهای موجود در حقوق بین الملل محیط زیست است. این سند نیز همانند ابتکارات پیشین از سوی جامعه غیردولتی‌ها تدوین یافت. در نوامبر 2015، کمیته ی محیط زیست اندیشکده حقوقی فرانسوی به نام Club des Juristes که یک انجمن مستقل برای بررسی روندها و پیشنهادات حقوقی است، گزارشی با عنوان «افزایش اثربخشی حقوق بین الملل محیط زیست: وظایف دولت ها، حقوق افراد» در خصوص شناسایی ناکارآمدی‌های حقوق بین الملل محیط زیست، چگونگی تقویت حقوق بین الملل محیط زیست و راه حل‌های پیشنهادی منتشر کرد. این گزارش در آستانه کنفرانس اعضای تغییر اقلیم در دسامبر 2015 در پاریس- در حالی که رهبران جهان بر سر دستیابی به توافقی بر سر تغییر اقلیم در حال مذاکره بودند، منتشر شد.</w:t>
      </w:r>
    </w:p>
    <w:p>
      <w:pPr>
        <w:bidi w:val="1"/>
        <w:spacing w:line="312" w:lineRule="auto" w:before="0" w:after="120"/>
        <w:ind w:firstLine="454"/>
        <w:jc w:val="both"/>
      </w:pPr>
      <w:r>
        <w:rPr>
          <w:rFonts w:ascii="Times New Roman" w:hAnsi="Times New Roman" w:cs="B Nazanin"/>
          <w:sz w:val="22"/>
          <w:szCs w:val="28"/>
          <w:rtl w:val="1"/>
        </w:rPr>
        <w:t>پیشنهاد جدید شامل تصویب متنی بود که اصول کلی حقوق بین الملل محیط زیست را تدوین کند. ایده آنها نوشتن، رسمی کردن و اجرای یک سند کاملاً جدید با بازتاب جهانی با هدف تبدیل شدن به یک معاهده چندجانبه و بین المللی فراگیر و الزام آور برای بهبود کارایی حقوق بین الملل محیط زیست به منظور رسیدگی به چالش‌های محیط زیستی بود. چنین سندی به طور بالقوه می‌تواند حقوق اساسی محیط زیست را برای بشریت تعریف کند. هدف اصلی اندیشکده در طرح این پیشنهاد این بود که با تعریف اصول از پیش موجود و نوظهور که در آن زمان در طیف وسیعی از موافقت ناهه‌های چند جانبه محیط زیستی، به ویژه در اعلامیه‌های حقوق نرم، پراکنده بودند، به قوام حقوق بین الملل محیط زیست و هماهنگی آن بیفزاید. آن‌ها در نظر داشتند که تدوین این سند باعث برقراری هماهنگی و انسجام موافقت نامه‌های چندجانبه محیط زیستی و پاسخهای حقوقی برای خلاءهای موجود در حقوق بین الملل محیط زیست گردد.</w:t>
      </w:r>
    </w:p>
    <w:p>
      <w:pPr>
        <w:bidi w:val="1"/>
        <w:spacing w:line="312" w:lineRule="auto" w:before="0" w:after="120"/>
        <w:ind w:firstLine="454"/>
        <w:jc w:val="both"/>
      </w:pPr>
      <w:r>
        <w:rPr>
          <w:rFonts w:ascii="Times New Roman" w:hAnsi="Times New Roman" w:cs="B Nazanin"/>
          <w:sz w:val="22"/>
          <w:szCs w:val="28"/>
          <w:rtl w:val="1"/>
        </w:rPr>
        <w:t>در حالی که اندیشکده حقوقی از ما حصل کنفرانس اعضای تغییر اقلیم در پاریس استقبال کردند، آن‌ها هشدار دادند که اقدامات قانونی بیشتری برای محافظت از محیط زیست در برابر بحران فعلی مورد نیاز است. این گزارش نسبت به «شکست مضاعف» در حقوق بین‌الملل محیط زیست هشدار می‌دهد: شکست در تدوین و توسعه آن و شکست در اجرای آن. از نظر اندیشکده فرایند تهیه پیش نویس معاهدات بسیار کند و حتی فلج ارزیابی می‌شود. از آنجایی که دولت‌ها گاهی به تعهدات سخت‌گیرانه‌تر اعتراض می‌کنند، پذیرش موافقت‌نامه‌های غیر الزام‌آور رایج شده است. از این رو، با هدف حصول اجماع، قواعد بین المللی تمایل دارند حداقل استانداردهای اساسی را منعکس کنند و مشکل "مخرج مشترک" را نشان دهند. اجرای حقوق بین الملل محیط زیست نیز ناقص ارزیابی شد. اجرای معاهدات پذیرفته شده به دلیل فقدان مکانیسم‌های پایبندی یا اثربخشی مکانیسم‌های موجود، اغلب ضعیف صورت می‌پذیرد. در نتیجه، حقوق بین الملل محیط زیست قادر به حصول نتایج مورد انتظار نمی‌باشد. اولویت قرار دادن رویکرد همکاری به جای رویکرد تنبیهی و مکانیسم عدم پایبندی، راه اندازی کمیته‌های پایبندی بدون اختیارات تصمیم گیری و هم چنین عدم استفاده از سازوکارهای تنبیهی، از عوامل تضعیف اجرای موافقت نامه‌های چند جانبه محیط زیستی عنوان شده است. یان آگیلا</w:t>
      </w:r>
      <w:r>
        <w:rPr>
          <w:rStyle w:val="FootnoteReference"/>
          <w:rtl w:val="1"/>
        </w:rPr>
        <w:footnoteReference w:id="39"/>
      </w:r>
      <w:r>
        <w:rPr>
          <w:rFonts w:ascii="Times New Roman" w:hAnsi="Times New Roman" w:cs="B Nazanin"/>
          <w:sz w:val="22"/>
          <w:szCs w:val="28"/>
          <w:rtl w:val="1"/>
        </w:rPr>
        <w:t xml:space="preserve"> یکی از تدوین کنندگان گزارش اندیشکده و حامی اصلی ایده پیمان جهانی محیط زیست اذعان می‌کند که دولت‌ها به دلیل فقدان مکانیزم‌های کنترلی و تحریم‌های موثر تعمداً تصمیم می‌گیرند که به معاهداتی که به آن‌ها پیوسته اند، احترام نگذارند. (Antonia Tigre, 2020, 50- 51)</w:t>
      </w:r>
    </w:p>
    <w:p>
      <w:pPr>
        <w:bidi w:val="1"/>
        <w:spacing w:line="312" w:lineRule="auto" w:before="0" w:after="120"/>
        <w:ind w:firstLine="454"/>
        <w:jc w:val="both"/>
      </w:pPr>
      <w:r>
        <w:rPr>
          <w:rFonts w:ascii="Times New Roman" w:hAnsi="Times New Roman" w:cs="B Nazanin"/>
          <w:sz w:val="22"/>
          <w:szCs w:val="28"/>
          <w:rtl w:val="1"/>
        </w:rPr>
        <w:t>برای مقابله با شکست مضاعف گزارش اندیشکده 21 توصیه را براساس 3 عنصر اصلی مطرح کرد: دیوان بین المللی دادگستری، سازمان جهانی محیط زیست و منشور جهانی محیط زیست. ایده پیمان جهانی محیط زیست از پیشنهاد شماره 20 گزارش شکل گرفت که مقرر نموده است: «تصویب منشور جهانی محیط زیست در قالب کنوانسیونی بین المللی با ویژگی الزام آوری شامل گنجاندن اصول اساسی حفاظت از سیاره زمین در یک متن بالادستی». در گزارش به محتوای پیشنهاد و مشروح آن اشاره ای نشد. اما بعدها اندیشکده پیشنهاد نمود که متن مورد نظر به حقوق ماهوی و شکلی، ایجاد کمیته پایبندی و حق مراجعه به دادگاه‌های ملی به ویژه توسط جوامع مدنی توجه خاص نماید. در مجموع، کمیته محیط زیست اندیشکده حقوقی معتقد است که باید متنی با دامنه جهانی در مورد مسائل محیط زیستی تصویب شود. این متن سنگ بنای حقوق بین الملل محیط زیست خواهد بود. با تجزیه و تحلیل تنوع و اجرای اصول حقوق بین الملل محیط زیست در زمینه‌های متعدد محیط زیستی، اصول پایه را از همه کنوانسیون‌های محیط زیستی بخشی استخراج کند. همچنین در نظر داشتند که منشور حاوی یک بند تفسیری نهایی باشد تا همه کنوانسیون‌های محیط زیستی بخشی در پرتو اصول اصلی منشور تفسیر شوند.» (Ibid,52) این گزارش تا حد زیادی ایده نفوذ و تاثیرگذاری جامعه مدنی در تعیین دستورکار برای موضوعات محیط زیستی، تاملی بر وضعیت حقوق بین الملل محیط زیست و نقش سایر ذی نفعان در بهبود آن را مطرح کرد و از این طریق نقش فعالان غیردولتی در حکمرانی محیط زیستی و حمایت از حق آن‌ها به منظور مشارکت در مذاکرات محیط زیستی را تقویت نمود. همین نکته بود که پاشنه آشیل تدوین غیرمتعارف سند بین المللی الزام آور برای دولت‌ها توسط فعالان غیردولتی گردید.</w:t>
      </w:r>
    </w:p>
    <w:p>
      <w:pPr>
        <w:bidi w:val="1"/>
        <w:spacing w:line="312" w:lineRule="auto" w:before="0" w:after="120"/>
        <w:ind w:firstLine="454"/>
        <w:jc w:val="both"/>
      </w:pPr>
      <w:r>
        <w:rPr>
          <w:rFonts w:ascii="Times New Roman" w:hAnsi="Times New Roman" w:cs="B Nazanin"/>
          <w:sz w:val="22"/>
          <w:szCs w:val="28"/>
          <w:rtl w:val="1"/>
        </w:rPr>
        <w:t>پیگیری ایده منشور جهانی محیط زیست، با حمایت لوران فابیوس وزیر امور خارجه سابق فرانسه</w:t>
      </w:r>
      <w:r>
        <w:rPr>
          <w:rStyle w:val="FootnoteReference"/>
          <w:rtl w:val="1"/>
        </w:rPr>
        <w:footnoteReference w:id="40"/>
      </w:r>
      <w:r>
        <w:rPr>
          <w:rFonts w:ascii="Times New Roman" w:hAnsi="Times New Roman" w:cs="B Nazanin"/>
          <w:sz w:val="22"/>
          <w:szCs w:val="28"/>
          <w:rtl w:val="1"/>
        </w:rPr>
        <w:t xml:space="preserve"> فوراً شتاب گرفت. آقای فابیوس ریاست مذاکرات موافقت نامه تغییر اقلیم پاریس را برعهده داشت و بعد از آن به عنوان رئیس شورای قانون اساسی فرانسه منصوب شده بود. وی به دنبال ادامه مشارکت در مسائل محیط زیستی در سطح بین المللی بود، از این رو رسماً از ایده منشور جهانی محیط زیست حمایت نمود. سپس، کار حقوقی بر روی سند با راهبری کمیته محیط زیست اندیشکده حقوقی فرانسوی با شکل گیری گروه کارشناسان پیمان</w:t>
      </w:r>
      <w:r>
        <w:rPr>
          <w:rStyle w:val="FootnoteReference"/>
          <w:rtl w:val="1"/>
        </w:rPr>
        <w:footnoteReference w:id="41"/>
      </w:r>
      <w:r>
        <w:rPr>
          <w:rFonts w:ascii="Times New Roman" w:hAnsi="Times New Roman" w:cs="B Nazanin"/>
          <w:sz w:val="22"/>
          <w:szCs w:val="28"/>
          <w:rtl w:val="1"/>
        </w:rPr>
        <w:t xml:space="preserve"> با مشارکت بیش از صد کارشناس، دانشگاهی، قاضی، وکیل و چندین نهاد و شخصیت مهم حقوق بین الملل محیط زیست از بیش از 40 کشورآغاز شد. این گروه متشکل از سیستم‌های حقوقی با دیدگاه‌های حقوقی مختلف بود. در نیمه اول سال 2017، 5 دور مذاکره در خصوص موضوعات مهمی هم چون نیاز به یک معاهده بین المللی جدید، ساختار کلی سند، محتوا و به طور مشخص تر، تدوین اصول برگزار شد. در نهایت، کمیته محیط زیست اندیشکده حقوقی بر جنبه‌های سازمانی، جمع آوری و تجزیه و تحلیل نظرات کارشناسان و تدوین نهایی پیش نویس سند نظارت نمود. در پایان دور پنجم، سندی تحت عنوان white paper منتشر شد که حاوی اطلاعاتی در خصوص منشاء، زمینه و هدف پیمان جهانی محیط زیست بود. گروه کارشناسان برای پیمان به دنبال تهیه متنی با ارزش افزوده مشخص برای توسعه حقوق بین الملل محیط زیست و در عین حال سندی کوتاه، دقیق و قادر به ایجاد اجماع بین کشورها علی رغم اختلافات سیاسی، اقتصادی و محیط زیستی آن‌ها بودند. آنها به دنبال برقراری تعادلی میان واقع بینی و جاه طلبی به منظور تضمین پذیرش سند جدیدی در عرصه حقوق بین الملل محیط زیست بودند.</w:t>
      </w:r>
    </w:p>
    <w:p>
      <w:pPr>
        <w:bidi w:val="1"/>
        <w:spacing w:line="312" w:lineRule="auto" w:before="0" w:after="120"/>
        <w:ind w:firstLine="454"/>
        <w:jc w:val="both"/>
      </w:pPr>
      <w:r>
        <w:rPr>
          <w:rFonts w:ascii="Times New Roman" w:hAnsi="Times New Roman" w:cs="B Nazanin"/>
          <w:sz w:val="22"/>
          <w:szCs w:val="28"/>
          <w:rtl w:val="1"/>
        </w:rPr>
        <w:t>ژوئن 2017، نسخه نخست پیش نویس پیمان جهانی محیط زیست به عنوان working document منتشر شد و به موقع بحث و گفتگو گذاشته شد. سپس، پیش نویس پیمان جهانی محیط زیست متشکل از مقدمه، 26 ماده و 20 اصل حاوی حقوق و تکالیف ماهوی و شکلی، اصول دیرینه و نوظهور حقوق بین الملل محیط زیست نهایی شد و به طور رسمی در نشست دانشگاه سوربن از سوی آقای فابیوس به رئیس جمهور وقت فرانسه، امانوئل مکرون، معرفی شد. در این مراسم شخصیت‌های برجسته ای هم چون بان کی مون، دبیرکل سابق سازمان ملل، وزیر محیط زیست و شهردار فرانسه و شخصیت‌های سیاسی برجسته، کارشناسان، دیپلمات‌ها و... حضور داشتند. در پایان نشست، مقرر شد که رئیس جمهور فرانسه، شخصاً برای پیشبرد اهداف عالی، سند را به منظور تصویب به مجمع عمومی سازمان ملل متحد تسلیم نماید.</w:t>
      </w:r>
    </w:p>
    <w:p>
      <w:pPr>
        <w:bidi w:val="1"/>
        <w:spacing w:line="312" w:lineRule="auto" w:before="0" w:after="120"/>
        <w:ind w:firstLine="454"/>
        <w:jc w:val="both"/>
      </w:pPr>
      <w:r>
        <w:rPr>
          <w:rFonts w:ascii="Times New Roman" w:hAnsi="Times New Roman" w:cs="B Nazanin"/>
          <w:sz w:val="22"/>
          <w:szCs w:val="28"/>
          <w:rtl w:val="1"/>
        </w:rPr>
        <w:t>رئیس جمهور وقت فرانسه ابتکار پیمان جهانی محیط زیست را در هفتاد و دومین نشست مجمع عمومی سازمان ملل متحد در نشست حاشیه ای عالی رتبه تحت عنوان «نشست سران در خصوص پیمان جهانی محیط زیست»</w:t>
      </w:r>
      <w:r>
        <w:rPr>
          <w:rStyle w:val="FootnoteReference"/>
          <w:rtl w:val="1"/>
        </w:rPr>
        <w:footnoteReference w:id="42"/>
      </w:r>
      <w:r>
        <w:rPr>
          <w:rFonts w:ascii="Times New Roman" w:hAnsi="Times New Roman" w:cs="B Nazanin"/>
          <w:sz w:val="22"/>
          <w:szCs w:val="28"/>
          <w:rtl w:val="1"/>
        </w:rPr>
        <w:t xml:space="preserve"> در 19 سپتامبر 2017 به جامعه بین المللی ارائه کرد. وی در سخنرانی خود پیمان جهانی محیط زیست را «مرحله ی بعدی»</w:t>
      </w:r>
      <w:r>
        <w:rPr>
          <w:rStyle w:val="FootnoteReference"/>
          <w:rtl w:val="1"/>
        </w:rPr>
        <w:footnoteReference w:id="43"/>
      </w:r>
      <w:r>
        <w:rPr>
          <w:rFonts w:ascii="Times New Roman" w:hAnsi="Times New Roman" w:cs="B Nazanin"/>
          <w:sz w:val="22"/>
          <w:szCs w:val="28"/>
          <w:rtl w:val="1"/>
        </w:rPr>
        <w:t xml:space="preserve"> در حفاظت از محیط زیست دانست. وی با اشاره به حفاظت از طبیعت به عنوان یک نبرد روزانه برای سازمان ملل متحد و آژانس‌های آن، و ظهور بیانیه ها، کنوانسیون‌ها و پروتکل هایی که تلاش‌های مشترک در حفاظت از محیط زیست را ترویج می‌کند، گفت که این مسئولیت مشترک ماست که گام بعدی و اقدامات قاطعانه برای حفاظت از محیط زیست برداریم. وی در سخنرانی خود، از سند به عنوان «چارچوب»</w:t>
      </w:r>
      <w:r>
        <w:rPr>
          <w:rStyle w:val="FootnoteReference"/>
          <w:rtl w:val="1"/>
        </w:rPr>
        <w:footnoteReference w:id="44"/>
      </w:r>
      <w:r>
        <w:rPr>
          <w:rFonts w:ascii="Times New Roman" w:hAnsi="Times New Roman" w:cs="B Nazanin"/>
          <w:sz w:val="22"/>
          <w:szCs w:val="28"/>
          <w:rtl w:val="1"/>
        </w:rPr>
        <w:t xml:space="preserve"> یاد نموده است که در بحث مربوطه به آن می‌پردازیم. این نشست و هدف از برگزاری آن مورد استقبال طیف وسیعی از کشورها قرار گرفت و متعاقب معرفی پیش نویس پیمان جهانی محیط زیست، کنفرانس‌ها و جلسات رسمی متعددی در کشورهای مختلف به منظور بررسی و هم اندیشی در این خصوص برگزار شد و پیمان جهانی محیط زیست به بوته نقد و بررسی گذارده شد. شخصیت‌های حقوقی مهمی نظرات تخصصی و نگرانی‌های خود را راجع به این سند منتشر نمودند که در این رساله به آن‌ها نیز پرداخته خواهد شد. شایان ذکر است که هدف جاه طلبانه رئیس جمهور فرانسه، نهایی کردن مذاکرات در سال 2020 عنوان شد.</w:t>
      </w:r>
    </w:p>
    <w:p>
      <w:pPr>
        <w:pStyle w:val="GPEHeading3"/>
        <w:bidi w:val="1"/>
        <w:spacing w:line="312" w:lineRule="auto" w:before="200" w:after="120"/>
        <w:jc w:val="right"/>
      </w:pPr>
      <w:r>
        <w:rPr>
          <w:rFonts w:ascii="Times New Roman" w:hAnsi="Times New Roman" w:cs="B Nazanin"/>
          <w:sz w:val="24"/>
          <w:szCs w:val="24"/>
          <w:rtl w:val="1"/>
          <w:b/>
          <w:bCs/>
          <w:color w:val="14203a"/>
        </w:rPr>
        <w:t>۲-۲-۳ قطعنامه 277 /72</w:t>
      </w:r>
    </w:p>
    <w:p>
      <w:pPr>
        <w:bidi w:val="1"/>
        <w:spacing w:line="312" w:lineRule="auto" w:before="0" w:after="120"/>
        <w:ind w:firstLine="454"/>
        <w:jc w:val="both"/>
      </w:pPr>
      <w:r>
        <w:rPr>
          <w:rFonts w:ascii="Times New Roman" w:hAnsi="Times New Roman" w:cs="B Nazanin"/>
          <w:sz w:val="22"/>
          <w:szCs w:val="28"/>
          <w:rtl w:val="1"/>
        </w:rPr>
        <w:t>از سپتامبر 2017 تا می 2018، دولت‌های عضو سازمان ملل مذاکرات تنگاتنگی جهت تدوین پیش نویس قطعنامه ای در این خصوص داشتند. جلسات غیررسمی متعددی میان هیئت‌های دیپلماتیک به منظور تعیین دامنه قطعنامه ی مورد نظر فرانسه برگزار شد. با توجه به عقب نشینی چند هیئت در حمایت از فرانسه به طور خاص ایالات متحده آمریکا، یک گام به عقب برداشته شد و از منظر فرانسه، قطعنامه ای ضعیف</w:t>
      </w:r>
      <w:r>
        <w:rPr>
          <w:rStyle w:val="FootnoteReference"/>
          <w:rtl w:val="1"/>
        </w:rPr>
        <w:footnoteReference w:id="45"/>
      </w:r>
      <w:r>
        <w:rPr>
          <w:rFonts w:ascii="Times New Roman" w:hAnsi="Times New Roman" w:cs="B Nazanin"/>
          <w:sz w:val="22"/>
          <w:szCs w:val="28"/>
          <w:rtl w:val="1"/>
        </w:rPr>
        <w:t xml:space="preserve"> برای تصویب مجمع عمومی تدوین شد. در طول مذاکرات قطعنامه، ایالات متحده امریکا استدلال نمود که هنوز کشورش قانع نشده است که پیشنهاد شکل گیری پیمان جهانی محیط زیست چگونه می‌تواند به نظام محیط زیست کنونی کمک کند و از شکل گیری گروه کاری برای رسیدگی به خلاءهای حقوق بین الملل محیط زیست استقبال نمود. وی با هر گونه اشاره به پیمان جهانی محیط زیست در عنوان قطعنامه و یا هر ادبیاتی که باعث پیش داوری در مورد موضوع مورد بررسی گردد، مخالفت نمود. فیلییپین نیز خواستار فرایند شفاف و مذاکراتی با فرصت کافی برای رایزنی با نهادهای ملی ذی صلاح شد و نسبت به عدم مشورت فرانسه با گروه 77 و چین ابراز نگرانی نمود. فیلیپین رسماً از مخالفان مذاکره در مورد اصول حقوق بین الملل محیط زیست بود. وی معتقد بود که دستور کار 2030 برای توسعه پایدار چارچوب یکپارچه ای را برای گرد هم آوردن جامعه جهانی در مورد محیط زیست فراهم کرده است. روسیه نیز اذعان نمود که روند تهیه پیش نویس قطعنامه مشارکتی نبوده و از اضافه شدن نظرات و پیشنهادات در مراحل بعدی خودداری شده است. در طول مذاکرات قطعنامه، برخی از کشورها قائل به تمرکز بر اجرای موافقت نامه‌های موجود به جای مذاکره برای سند جدید بودند. شایان ذکر است، چین یکی از حامیان جدی ابتکار فرانسه بود. در نهایت، بنا به درخواست ایالات متحده آمریکا به دلیل اینکه فرایند مذاکراتی شفاف و باز برای سند جدید محیط زیستی طی نگردیده است، رای گیری بر این قطعنامه صورت پذیرفت. قطعنامه مورد نظر</w:t>
      </w:r>
      <w:r>
        <w:rPr>
          <w:rStyle w:val="FootnoteReference"/>
          <w:rtl w:val="1"/>
        </w:rPr>
        <w:footnoteReference w:id="46"/>
      </w:r>
      <w:r>
        <w:rPr>
          <w:rFonts w:ascii="Times New Roman" w:hAnsi="Times New Roman" w:cs="B Nazanin"/>
          <w:sz w:val="22"/>
          <w:szCs w:val="28"/>
          <w:rtl w:val="1"/>
        </w:rPr>
        <w:t xml:space="preserve"> با عنوان «به سوی پیمان جهانی محیط زیست»</w:t>
      </w:r>
      <w:r>
        <w:rPr>
          <w:rStyle w:val="FootnoteReference"/>
          <w:rtl w:val="1"/>
        </w:rPr>
        <w:footnoteReference w:id="47"/>
      </w:r>
      <w:r>
        <w:rPr>
          <w:rFonts w:ascii="Times New Roman" w:hAnsi="Times New Roman" w:cs="B Nazanin"/>
          <w:sz w:val="22"/>
          <w:szCs w:val="28"/>
          <w:rtl w:val="1"/>
        </w:rPr>
        <w:t xml:space="preserve"> از سوی مجمع عمومی سازمان ملل متحد با 143 رای مثبت، 5 رای مخالف (فیلیپین، روسیه، سوریه، ترکیه و آمریکا)، 7 رای ممتنع (بلاروس، ایران، مالزی، نیکاراگوئه، نیجریه، عربستان سعودی و تاجیکستان) و 38 غایب تصویب شد.</w:t>
      </w:r>
    </w:p>
    <w:p>
      <w:pPr>
        <w:bidi w:val="1"/>
        <w:spacing w:line="312" w:lineRule="auto" w:before="0" w:after="120"/>
        <w:ind w:firstLine="454"/>
        <w:jc w:val="both"/>
      </w:pPr>
      <w:r>
        <w:rPr>
          <w:rFonts w:ascii="Times New Roman" w:hAnsi="Times New Roman" w:cs="B Nazanin"/>
          <w:sz w:val="22"/>
          <w:szCs w:val="28"/>
          <w:rtl w:val="1"/>
        </w:rPr>
        <w:t>در مقام تحلیل می‌توان گفت، قطعنامه 277 /72، اولین گام تعیین کننده در بسیج جامعه بین المللی به سوی حفاظت از محیط زیست و در عین حال متضمن تعهد دولت‌ها برای بررسی خلاءهای موجود در حقوق بین الملل محیط زیست و راه‌های بالقوه رفع آن‌ها می‌باشد. با این حال، زبان و ادبیات قطعنامه خنثی ارزیابی می‌شود و از پیش نویس پیشنهادی فرانسه بسیار فاصله دارد. به هم دلیل فرانسه این قطعنامه را ضعیف معرفی نمود. علی رغم عنوان قطعنامه، متن آن اشاره ای به پیمان یا پیش نویس فرانسوی پیمان ندارد. تنها به برگزاری نشست عالی رتبه در حاشیه هفتاد و دومین نشست مجمع عمومی در سال 2017 در بندهای مقدماتی اشاره شده است. از نظر سیاسی، روند بحث در مورد یک موافقت نامه بین المللی جدید که به طور یکجانبه توسط یک دولت پیشنهاد شده بود، در میان کشورها چالش برانگیز ارزیابی شد. از همین رو، برخی از کشورها بلافاصله با این ایده مخالفت کردند.</w:t>
      </w:r>
    </w:p>
    <w:p>
      <w:pPr>
        <w:bidi w:val="1"/>
        <w:spacing w:line="312" w:lineRule="auto" w:before="0" w:after="120"/>
        <w:ind w:firstLine="454"/>
        <w:jc w:val="both"/>
      </w:pPr>
      <w:r>
        <w:rPr>
          <w:rFonts w:ascii="Times New Roman" w:hAnsi="Times New Roman" w:cs="B Nazanin"/>
          <w:sz w:val="22"/>
          <w:szCs w:val="28"/>
          <w:rtl w:val="1"/>
        </w:rPr>
        <w:t xml:space="preserve">در بررسی متن قطعنامه در می‌یابیم که، مقدمه قطعنامه به لزوم ادامه رسیدگی به چالش‌های ناشی از تخریب محیط زیست به طور جامع و منسجم اشاره می‌کند. بر این اساس، قطعنامه یک رویکرد روش‌شناختی خطی (ساختارمند و مرحله‌ای) و باز (انعطاف‌پذیری و قابلیت انطباق) </w:t>
      </w:r>
      <w:r>
        <w:rPr>
          <w:rStyle w:val="FootnoteReference"/>
          <w:rtl w:val="1"/>
        </w:rPr>
        <w:footnoteReference w:id="48"/>
      </w:r>
      <w:r>
        <w:rPr>
          <w:rFonts w:ascii="Times New Roman" w:hAnsi="Times New Roman" w:cs="B Nazanin"/>
          <w:sz w:val="22"/>
          <w:szCs w:val="28"/>
          <w:rtl w:val="1"/>
        </w:rPr>
        <w:t>را برای مشکلات و راه‌حل‌های بالقوه در حقوق بین‌الملل محیط زیست تعیین می‌کند. به عنوان اولین قدم، قطعنامه از دبیرکل درخواست می‌نماید تا گزارش فنی و مبتنی بر شواهد را با تمرکز بر شناسایی و ارزیابی خلاءهای احتمالی در حقوق بین الملل محیط زیست و سایر اسناد مرتبط با محیط زیست، البته با نگاهی به تقویت اجرای آن ها، به هفتاد و سومین نشست مجمع عمومی ارائه دهد. دومین قدم، ایجاد گروه کاری موقتی باز</w:t>
      </w:r>
      <w:r>
        <w:rPr>
          <w:rStyle w:val="FootnoteReference"/>
          <w:rtl w:val="1"/>
        </w:rPr>
        <w:footnoteReference w:id="49"/>
      </w:r>
      <w:r>
        <w:rPr>
          <w:rFonts w:ascii="Times New Roman" w:hAnsi="Times New Roman" w:cs="B Nazanin"/>
          <w:sz w:val="22"/>
          <w:szCs w:val="28"/>
          <w:rtl w:val="1"/>
        </w:rPr>
        <w:t xml:space="preserve"> تحت نظارت مجمع عمومی برای بررسی گزارش دبیرکل و مذاکره در خصوص گزینه‌های احتمالی جهت رسیدگی به خلاءهای احتمالی در حقوق بین الملل محیط زیست و سایر اسناد مرتبط در صورت لزوم می‌باشد. 3 وظیفه ی گروه کاری به شرح زیر عبارتند از: لحاظ گزارش دبیرکل به عنوان راهنمای مذاکرات، مذاکره در خصوص گزینه‌های احتمالی برای رسیدگی به خلاءهای احتمالی در حقوق بین الملل محیط زیست و سایر اسناد محیط زیستی مرتبط، در صورت لزوم بررسی دامنه و پارامترها و امکان سنجی سند بین الملل جدید با هدف ارائه توصیه به مجمع عمومی نظیر برگزاری کنفرانس بین الدولی برای تصویب سند جدید، در مهلت مقرر نیمه نخست سال 2019 میلادی. به موجب این قطعنامه گروه کاری اختیارات کامل جهت پیشبرد مذاکرات را دارد و پیش داوری در خصوص خلاءهای حقوق بین الملل محیط زیست صورت نخواهد پذیرفت. در صورت شناسایی خلاء، راه احتمالی تعامل با آن کاملاً در اختیار گروه کاری است. نکته قابل توجه این است که قطعنامه، گروه کاری را موظف به مذاکره در خصوص سند الزام آور نمی‌کند و هیچ گونه پیش داوری در خصوص وظایف گروه کاری و نتایج آن نمی‌کند و این نوع از بی طرفی خصیصه بارز قطعنامه ارزیابی می‌شود. در این قطعنامه مقرر شد که فرایند حاضر نباید اسناد و چارچوب‌های حقوقی موجود و سازوکارهای جهانی، منطقه ای و بخشی مربوطه را تضعیف کند.</w:t>
      </w:r>
    </w:p>
    <w:p>
      <w:pPr>
        <w:pStyle w:val="GPEHeading3"/>
        <w:bidi w:val="1"/>
        <w:spacing w:line="312" w:lineRule="auto" w:before="200" w:after="120"/>
        <w:jc w:val="right"/>
      </w:pPr>
      <w:r>
        <w:rPr>
          <w:rFonts w:ascii="Times New Roman" w:hAnsi="Times New Roman" w:cs="B Nazanin"/>
          <w:sz w:val="24"/>
          <w:szCs w:val="24"/>
          <w:rtl w:val="1"/>
          <w:b/>
          <w:bCs/>
          <w:color w:val="14203a"/>
        </w:rPr>
        <w:t>۲-۲-۴ گزارش دبیرکل 419 /73</w:t>
      </w:r>
    </w:p>
    <w:p>
      <w:pPr>
        <w:bidi w:val="1"/>
        <w:spacing w:line="312" w:lineRule="auto" w:before="0" w:after="120"/>
        <w:ind w:firstLine="454"/>
        <w:jc w:val="both"/>
      </w:pPr>
      <w:r>
        <w:rPr>
          <w:rFonts w:ascii="Times New Roman" w:hAnsi="Times New Roman" w:cs="B Nazanin"/>
          <w:sz w:val="22"/>
          <w:szCs w:val="28"/>
          <w:rtl w:val="1"/>
        </w:rPr>
        <w:t>در نوامبر 2018 گزارش دبیرکل با عنوان «خلاءهای حقوق بین الملل محیط زیست و اسناد مرتبط محیط زیست: به سوی پیمان جهانی محیط زیست»</w:t>
      </w:r>
      <w:r>
        <w:rPr>
          <w:rStyle w:val="FootnoteReference"/>
          <w:rtl w:val="1"/>
        </w:rPr>
        <w:footnoteReference w:id="50"/>
      </w:r>
      <w:r>
        <w:rPr>
          <w:rFonts w:ascii="Times New Roman" w:hAnsi="Times New Roman" w:cs="B Nazanin"/>
          <w:sz w:val="22"/>
          <w:szCs w:val="28"/>
          <w:rtl w:val="1"/>
        </w:rPr>
        <w:t xml:space="preserve"> منتشر شد و این گزارش به کاستی‌ها در سطوح مختلف، عمدتاً در ارتباط با اصول قابل اجرای حقوق بین الملل محیط زیست، محتوای هنجاری و نهادی رژیم‌های نظارتی بخشی و هم چنین اشتراک با رژیم‌های مرتبط با محیط زیست، ساختار حکمرانی حقوق بین الملل محیط زیست و اجرای موثر و پایبندی به حقوق بین الملل محیط زیست اشاره گردیده است. باید توجه داشت که نه در قطعنامه 277/72 و نه در گزارش دبیرکل، علی رغم عنوان شان، اشاره ای مستقیم به پیش نویس پیمان جهانی محیط زیست نشده است. در این اسناد، پیشنهاد جدیدی که در دستور کار سازمان ملل برای بررسی قرار گرفته است، صرفاً به عنوان یک گزینه یا امکان به منظور تقویت حقوق بین الملل محیط زیست در نظر گرفته می‌شود. گزارش دبیرکل شامل 7 بخش به شرح زیر می‌باشد: مقدمه، خلاءهای مرتبط با اصول حقوق بین الملل محیط زیست، خلاءهای مرتبط با رژیم‌های نظارتی موجود، اسناد مرتبط محیطزیستی، خلاءهای مرتبط با ساختار حکمرانی حقوق بین الملل محیط زیست، خلاءهای مرتبط با اجرا و اثربخشی حقوق بین الملل محیط زیست و نتیجه گیری. (این گزارش در فصل آتی به تفصیل بررسی خواهد شد.)</w:t>
      </w:r>
    </w:p>
    <w:p>
      <w:pPr>
        <w:bidi w:val="1"/>
        <w:spacing w:line="312" w:lineRule="auto" w:before="0" w:after="120"/>
        <w:ind w:firstLine="454"/>
        <w:jc w:val="both"/>
      </w:pPr>
      <w:r>
        <w:rPr>
          <w:rFonts w:ascii="Times New Roman" w:hAnsi="Times New Roman" w:cs="B Nazanin"/>
          <w:sz w:val="22"/>
          <w:szCs w:val="28"/>
          <w:rtl w:val="1"/>
        </w:rPr>
        <w:t>پس از انتشار گزارش دبیرکل، بسیاری از هیئت‌های دیپلماتیک از گزارش دبیرکل استقبال کردند. با این وجود، انتقادهایی هم بر گزارش دبیرکل وارد شد که گزارش دبیرکل باید محتوای پیش نویس پیمان جهانی محیط زیست را اطلاع رسانی می‌نمود یا اینکه پیش نویس پیشنهاد شده را به عنوان یک راه حل معرفی می‌کرد. البته از نظر دیپلماتیک این انتقاد قابل قبول نیست؛ زیرا دولت‌ها باید در فرایند تدوین پیش نویس به صورت بین الدولی مشارکت کنند. انتقاد دیگری که وارد شد این بود که گزارش دبیرکل فراتر از ماموریت او بوده است. در این گزارش طیف وسیعی از خلاءها و کاستی هایی که بر اثربخشی حقوق بین الملل محیط زیست تاثیرگذار است، شناسایی شده است. این کاستیها عبارتند از:1. نقاط خالی در پوشش موافقتنامههای چندجانبه محیط زیستی؛ 2. وضعیت و محتوای اصول محیط زیستی؛ 3. خلاء درون موافقت نامه‌های چندجانبه محیط زیستی؛ 4. خلاء میان موافقت نامه‌های چندجانبه محیط زیستی، 5. خلاء میان موافقت نامه‌های چندجانبه محیط زیستی و سایر اسناد حقوق بین الملل و 6. خلاءهای مربوط به اجرای موافقت نامه‌های چندجانبه محیط زیستی؛ این گزارش علاوه بر شناسایی و ارزیابی رژیمهای نظارتی (شکلی و ماهوی) و خلاءهای حکمرانی در حقوق بین الملل محیط زیست، خلاءهای سایر اسناد مرتبط محیط زیستی از جمله تجارت بین الملل، سرمایه گذاری، مالکیت فکری، حقوق بشر، صلح و امنیت، مهاجرت، مدیریت بلایا و مخاصمات مسلحانه را نیز ارزیابی نموده است.</w:t>
      </w:r>
    </w:p>
    <w:p>
      <w:pPr>
        <w:bidi w:val="1"/>
        <w:spacing w:line="312" w:lineRule="auto" w:before="0" w:after="120"/>
        <w:ind w:firstLine="454"/>
        <w:jc w:val="both"/>
      </w:pPr>
      <w:r>
        <w:rPr>
          <w:rFonts w:ascii="Times New Roman" w:hAnsi="Times New Roman" w:cs="B Nazanin"/>
          <w:sz w:val="22"/>
          <w:szCs w:val="28"/>
          <w:rtl w:val="1"/>
        </w:rPr>
        <w:t>این گزارش چندین پیشنهاد و توصیه مهم به طور خاص برای شفاف سازی و تقویت اصول حقوق بین الملل ارائه می‌دهد، که همین موضوع باعث انتقاد برخی از کشورها گردید و این امر را فراتر از ماموریت دبیرکل و در چارچوب وظیفه گروه کاری دانسته اند. انتقادهای دیگری نیز بر گزارش دبیرکل وارد شد از جمله، عدم بررسی نحوه اجرای توصیه‌های دستور کار 21، عدم اشاره به دلایل کاستی‌ها به ویژه موقعیت و منافع متفاوت دولت ها، بده و بستان کشورها و شکل گیری ضعیف اسناد. برخی از کشورها معتقد بودند که در هم افزایی میان موافقت نامه‌های چندجانبه محیط زیستی، به زیربنای هنجاری برای مدیریت چالش‌های محیط زیستی پرداخته نشده است. در این گزارش عدم اجرای تعهدات به عنوان یکی از خلاءهای حقوق بین الملل محیط زیست آمده است، در حالی که پراکندگی سیستم معاهداتی حقوق بین الملل محیط زیست فی نفسه منتهی به بن بستی در حصول نتایج اثربخش می‌گردد.</w:t>
      </w:r>
    </w:p>
    <w:p>
      <w:pPr>
        <w:bidi w:val="1"/>
        <w:spacing w:line="312" w:lineRule="auto" w:before="0" w:after="120"/>
        <w:ind w:firstLine="454"/>
        <w:jc w:val="both"/>
      </w:pPr>
      <w:r>
        <w:rPr>
          <w:rFonts w:ascii="Times New Roman" w:hAnsi="Times New Roman" w:cs="B Nazanin"/>
          <w:sz w:val="22"/>
          <w:szCs w:val="28"/>
          <w:rtl w:val="1"/>
        </w:rPr>
        <w:t>علی رغم انتقادهای وارد شده، باید اذعان نمود که گزارش دبیرکل نخستین گام به سوی به رسمیت شناختن خلاءهای مهم در حقوق بین الملل محیط زیست به حساب می‌آید. به عنوان اولین گزارش تحلیلی از حقوق بین الملل محیط زیست در سطح سازمان ملل متحد، گامی مثبت ارزیابی می‌شود. این گزارش مبنای خوبی برای مذاکرات کشورها در گروه کاری محسوب می‌شود و می‌توان از آن خلاقلانه‌تر بهره مند شد و به سوی جلو قدم نهاد. با توجه به رویکرد بخشی موافقت نامه‌های چندجانبه محیط زیستی، حقوق بین الملل محیط زیست اغلب فاقد نگاه جامع و فراگیر به گذشته و آینده است. از این رو، این گزارش می‌تواند گام هایی در پیشرفت حقوق بین الملل محیط زیست با شناسایی چالش‌های پیش رو و پیشنهادهایی جهت رفع آن‌ها تلقی گردد. این گزارش نشان می‌دهد که حقوق بین الملل محیط زیست به شیوه ای واکنشی و حسب الزامات خاص و لذا به صورت بخشی توسعه یافته است. این ماهیت فزاینده و پراکنده، منجر به گسترش رژیم‌های نظارتی عمدتاً بخشی و یک چارچوب حقوقی- بین‌المللی پراکنده برای حفاظت از محیط زیست شده است. پراکندگی</w:t>
      </w:r>
      <w:r>
        <w:rPr>
          <w:rStyle w:val="FootnoteReference"/>
          <w:rtl w:val="1"/>
        </w:rPr>
        <w:footnoteReference w:id="51"/>
      </w:r>
      <w:r>
        <w:rPr>
          <w:rFonts w:ascii="Times New Roman" w:hAnsi="Times New Roman" w:cs="B Nazanin"/>
          <w:sz w:val="22"/>
          <w:szCs w:val="28"/>
          <w:rtl w:val="1"/>
        </w:rPr>
        <w:t>، به نوبه خود، منجر به کاستی در هماهنگی در سطوح قانونگذاری و اجرا و مستلزم انسجام بهتر، حمایت متقابل و هم افزایی در اجرا می‌باشد. Antonia Tigre,2020, 131) (این گزارش خلاءها و کاستی‌ها را در سطوح مختلف و به صورت خلاصه به شرح زیر ارزیابی می‌کند.</w:t>
      </w:r>
    </w:p>
    <w:p>
      <w:pPr>
        <w:bidi w:val="1"/>
        <w:spacing w:line="312" w:lineRule="auto" w:before="0" w:after="120"/>
        <w:ind w:firstLine="454"/>
        <w:jc w:val="both"/>
      </w:pPr>
      <w:r>
        <w:rPr>
          <w:rFonts w:ascii="Times New Roman" w:hAnsi="Times New Roman" w:cs="B Nazanin"/>
          <w:sz w:val="22"/>
          <w:szCs w:val="28"/>
          <w:rtl w:val="1"/>
        </w:rPr>
        <w:t>اول، هیچ چارچوب هنجاری فراگیر واحدی که بتوان آن را به عنوان قواعد و اصول کاربرد عمومی در حقوق بین‌الملل محیط زیست توصیف کرد، وجود ندارد. وجود چنین اصولی ممکن است به یکپارچگی رویکرد فعلی، رویکرد بخشی حقوق بین‌الملل محیط زیست و به رفع خلاءهای موجود در قواعد مندرج در معاهدات کمک کند. در حالی که برخی از اصول حقوق بین الملل محیط زیست از طریق ادغام آن‌ها در موافقت نامه‌های چندجانبه محیط زیستی به خوبی شناخته شده اند و توسط تعدادی از محاکم و دادگاه‌های بین المللی تایید شده اند، سایر اصول از شفافیت و اجماع قضایی در مورد کاربرد آن‌ها و هم چنین شناسایی در اسناد الزام آور بهره مند نیستند. این امر بر پیش بینی پذیری و اجرای رژیم‌های محیط زیستی بخشی تأثیر دارد. (A/73/419, P.1)</w:t>
      </w:r>
    </w:p>
    <w:p>
      <w:pPr>
        <w:bidi w:val="1"/>
        <w:spacing w:line="312" w:lineRule="auto" w:before="0" w:after="120"/>
        <w:ind w:firstLine="454"/>
        <w:jc w:val="both"/>
      </w:pPr>
      <w:r>
        <w:rPr>
          <w:rFonts w:ascii="Times New Roman" w:hAnsi="Times New Roman" w:cs="B Nazanin"/>
          <w:sz w:val="22"/>
          <w:szCs w:val="28"/>
          <w:rtl w:val="1"/>
        </w:rPr>
        <w:t>دوم، حقوق بین‌الملل محیط‌زیست پراکنده و واکنشی است. مشخصه ی آن پراکندگی و فقدان انسجام و هم افزایی کلی در میان مجموعه بزرگی از چارچوب‌های نظارتی بخشی است. این امر منجر به کاستی مهمی در هماهنگی در سطوح قانون‌گذاری و اجرا می‌شود و مستلزم انسجام بهتر سیاست‌ها، حمایت متقابل و هم افزایی در اجرا می‌باشد. (A/73/419, P.1)</w:t>
      </w:r>
    </w:p>
    <w:p>
      <w:pPr>
        <w:bidi w:val="1"/>
        <w:spacing w:line="312" w:lineRule="auto" w:before="0" w:after="120"/>
        <w:ind w:firstLine="454"/>
        <w:jc w:val="both"/>
      </w:pPr>
      <w:r>
        <w:rPr>
          <w:rFonts w:ascii="Times New Roman" w:hAnsi="Times New Roman" w:cs="B Nazanin"/>
          <w:sz w:val="22"/>
          <w:szCs w:val="28"/>
          <w:rtl w:val="1"/>
        </w:rPr>
        <w:t>سوم، تعامل بین موافقت نامه‌های چندجانبه محیط زیستی و سایر اسناد مرتبط با محیط زیست به دلیل فقدان وضوح، محتوا و وضعیت مبهم بسیاری از اصول محیط زیستی، همچنان مشکل ساز است. (A/73/419, P.2)</w:t>
      </w:r>
    </w:p>
    <w:p>
      <w:pPr>
        <w:bidi w:val="1"/>
        <w:spacing w:line="312" w:lineRule="auto" w:before="0" w:after="120"/>
        <w:ind w:firstLine="454"/>
        <w:jc w:val="both"/>
      </w:pPr>
      <w:r>
        <w:rPr>
          <w:rFonts w:ascii="Times New Roman" w:hAnsi="Times New Roman" w:cs="B Nazanin"/>
          <w:sz w:val="22"/>
          <w:szCs w:val="28"/>
          <w:rtl w:val="1"/>
        </w:rPr>
        <w:t>چهارم، ساختار حکمرانی محیط زیستی بین‌المللی با پراکندگی نهادی و مجموعه‌ای ناهمگون از بازیگران مشخص می‌شود که چالش‌های انسجام و هماهنگی مهمی را آشکار می‌کند. محاکم و دادگاه‌های بین المللی اغلب بر عدم اجماع بین المللی در مورد اصول محیط زیستی تاکید می‌کنند. (A/73/419, P.2)</w:t>
      </w:r>
    </w:p>
    <w:p>
      <w:pPr>
        <w:bidi w:val="1"/>
        <w:spacing w:line="312" w:lineRule="auto" w:before="0" w:after="120"/>
        <w:ind w:firstLine="454"/>
        <w:jc w:val="both"/>
      </w:pPr>
      <w:r>
        <w:rPr>
          <w:rFonts w:ascii="Times New Roman" w:hAnsi="Times New Roman" w:cs="B Nazanin"/>
          <w:sz w:val="22"/>
          <w:szCs w:val="28"/>
          <w:rtl w:val="1"/>
        </w:rPr>
        <w:t>پنجم، اجرای حقوق بین الملل محیط زیست در هر دو سطح ملی و بین المللی چالش برانگیز است. اجرای ملی در بسیاری از کشورها به دلیل فقدان قوانین ملی مناسب، منابع مالی، فناوری‌های سازگار با محیط زیست و ظرفیت‌های نهادی محدود شده است. در سطح بین المللی نیز، اجرا به دلیل عدم وضوح بسیاری از اصول محیط زیستی محدود شده است. (A/73/419, P.2)</w:t>
      </w:r>
    </w:p>
    <w:p>
      <w:pPr>
        <w:bidi w:val="1"/>
        <w:spacing w:line="312" w:lineRule="auto" w:before="0" w:after="120"/>
        <w:ind w:firstLine="454"/>
        <w:jc w:val="both"/>
      </w:pPr>
      <w:r>
        <w:rPr>
          <w:rFonts w:ascii="Times New Roman" w:hAnsi="Times New Roman" w:cs="B Nazanin"/>
          <w:sz w:val="22"/>
          <w:szCs w:val="28"/>
          <w:rtl w:val="1"/>
        </w:rPr>
        <w:t>به موجب این گزارش، حقوق بین‌الملل محیط‌زیست و اجرای مؤثر آن را می‌توان از طریق اقداماتی مانند تبیین و تقویت اصول حقوق بین‌الملل محیط زیست تقویت کرد. این امر می‌تواند از طریق یک سند بین المللی جامع و متحدکننده که تمام اصول حقوق محیط زیست را گردآوری می‌کند، انجام شود. همچنین باید اقدامات موثرتری برای گزارش دهی، بازبینی و راستی آزمایی و مکانیسم‌های پایبندی و اجرای قوی وجود داشته باشد. از اینکه کشورهایی که نیاز به حمایت دارند منابع کافی برای اجرای موثر تعهدات خود در اختیار داشته باشند، اطمینان کافی حاصل شود و نقش بازیگران غیردولتی باید در سطوح مختلف افزایش یابد. (A/73/419, P.2) علاوه بر این، با تکیه بر رویکردهای خلاقانه ای که دولت‌ها تاکنون برای حفاظت از محیط زیست اتخاذ کرده اند، ضروری است که کشورها و سازمان ملل متحد برای رفع خلاءهای موجود در حقوق بین الملل محیط زیست با یکدیگر همکاری کنند. ما باید فرصت استفاده از حقوق بین‌المللی محیط‌زیست را به روش‌های جدید و پویا برای ارائه یک رژیم حکمرانی قوی و مؤثر با هدف حفاظت بهتر از محیط زیست برای نسل‌های آینده، غنیمت بشماریم. (A/73/419, P.2)</w:t>
      </w:r>
    </w:p>
    <w:p>
      <w:pPr>
        <w:bidi w:val="1"/>
        <w:spacing w:line="312" w:lineRule="auto" w:before="0" w:after="120"/>
        <w:ind w:firstLine="454"/>
        <w:jc w:val="both"/>
      </w:pPr>
      <w:r>
        <w:rPr>
          <w:rFonts w:ascii="Times New Roman" w:hAnsi="Times New Roman" w:cs="B Nazanin"/>
          <w:sz w:val="22"/>
          <w:szCs w:val="28"/>
          <w:rtl w:val="1"/>
        </w:rPr>
        <w:t>در پایان می‌توان اینگونه تحلیل نمود که، هدف از انجام این ماموریت و گزارش دهی در این خصوص، تقویت ابزارهای اجرایی موافقت نامه‌های چندجانبه محیط زیستی و پایبندی حداکثری کشورها به رعایت تعهدات مندرج در آن‌ها می‌باشد. گزارش دبیرکل یک گزارش جامع از کلیه سازوکارهای حقوقی محیط زیستی اعم از بین المللی و منطقه ای است و ضمن بررسی آن‌ها و تبیین کارکرد آن ها، به حیطه اجرایی آن و هم چنین میزان تاثیرگذاری این سازوکارها نیز می‌پردازد. در مقام تبیین کارکرد موافقت نامه‌ها به این موضوع پرداخته شده است که بسیاری از اصول و روش‌های به کار گرفته شده در موافقت نامه‌های محیط زیستی ناظر بر اصول کلی حقوق بین الملل محیط زیست هستند و از آن جا که بیشتر به عرف و رویه دولت‌ها بر می‌گردند، لذا قرار گرفتن آن‌ها در قالب موافقت نامه‌ها صرفاً تکرار اصولی است که پیشتر جامعه بین المللی به آن عمل می‌کردند و یا حداقل آن را پذیرفته اند. لذا روا نیست که اجرای آن ناقص صورت گرفته یا در قالب موافقت نامه‌های منطقه ای، حوزه ی اجرایی کوچکی را شامل گردد. به نظر می‌رسد که گزارش دبیرکل به دنبال یکپارچه سازی تمام اصول پذیرفته شده در حوزه محیط زیست در قالب یک مجموعه جامع و لازم الاجرا است که بتواند در آینده نزدیک موافقت نامه‌های چندجانبه محیط زیستی را از شکل داوطلبانه و اختیاری خارج نموده و به آن قالبی لازم الاجرا و ضروری بدهد. تا حدی که عدم پذیرش و یا عدم رعایت آن‌ها واکنش جامعه بین المللی را برانگیزد. آن چه که در حال حاضر از آن تحت عنوان تعهدات عام الشمول یاد می‌شود. ارتباط دادن موضوعات محیط زیستی به حوزه‌های حقوق بشر، اقتصاد و تجارت نشان از سرایت تعهدات محیط زیستی به تعهدات و الزامات حقوق بشری و مولفه‌های گفتمان امنیت انسانی دارد که در فصل بعدی به آن خواهیم پرداخت.</w:t>
      </w:r>
    </w:p>
    <w:p>
      <w:pPr>
        <w:pStyle w:val="GPEHeading3"/>
        <w:bidi w:val="1"/>
        <w:spacing w:line="312" w:lineRule="auto" w:before="200" w:after="120"/>
        <w:jc w:val="right"/>
      </w:pPr>
      <w:r>
        <w:rPr>
          <w:rFonts w:ascii="Times New Roman" w:hAnsi="Times New Roman" w:cs="B Nazanin"/>
          <w:sz w:val="24"/>
          <w:szCs w:val="24"/>
          <w:rtl w:val="1"/>
          <w:b/>
          <w:bCs/>
          <w:color w:val="14203a"/>
        </w:rPr>
        <w:t>۲-۲-۵ گروه کاری موقت باز</w:t>
      </w:r>
    </w:p>
    <w:p>
      <w:pPr>
        <w:bidi w:val="1"/>
        <w:spacing w:line="312" w:lineRule="auto" w:before="0" w:after="120"/>
        <w:ind w:firstLine="454"/>
        <w:jc w:val="both"/>
      </w:pPr>
      <w:r>
        <w:rPr>
          <w:rFonts w:ascii="Times New Roman" w:hAnsi="Times New Roman" w:cs="B Nazanin"/>
          <w:sz w:val="22"/>
          <w:szCs w:val="28"/>
          <w:rtl w:val="1"/>
        </w:rPr>
        <w:t>یکی از نتایج قطعنامه «به سوی پیمان جهانی محیط زیست»، ایجاد گروه کاری موقت باز تحت نظارت مجمع عمومی با سه ماموریت به شرح زیر بود: 1. بررسی گزارش دبیر کل به عنوان راهنمای مذاکرات؛ 2. مذاکره در خصوص گزینه‌های احتمالی برای رسیدگی به خلاءهای احتمالی در حقوق بین الملل محیط زیست و سایر اسناد محیط زیستی مرتبط و 3. در صورت لزوم بررسی دامنه و پارامترها و امکان سنجی سند بین الملل جدید با هدف ارائه توصیه به مجمع عمومی نظیر برگزاری کنفرانس بین الدولی برای تصویب سند جدید، در مهلت مقرر نیمه نخست سال 2019 میلادی.</w:t>
      </w:r>
    </w:p>
    <w:p>
      <w:pPr>
        <w:bidi w:val="1"/>
        <w:spacing w:line="312" w:lineRule="auto" w:before="0" w:after="120"/>
        <w:ind w:firstLine="454"/>
        <w:jc w:val="both"/>
      </w:pPr>
      <w:r>
        <w:rPr>
          <w:rFonts w:ascii="Times New Roman" w:hAnsi="Times New Roman" w:cs="B Nazanin"/>
          <w:sz w:val="22"/>
          <w:szCs w:val="28"/>
          <w:rtl w:val="1"/>
        </w:rPr>
        <w:t>بعد از پذیرش قطعنامه، یک نشست سازمانی</w:t>
      </w:r>
      <w:r>
        <w:rPr>
          <w:rStyle w:val="FootnoteReference"/>
          <w:rtl w:val="1"/>
        </w:rPr>
        <w:footnoteReference w:id="52"/>
      </w:r>
      <w:r>
        <w:rPr>
          <w:rFonts w:ascii="Times New Roman" w:hAnsi="Times New Roman" w:cs="B Nazanin"/>
          <w:sz w:val="22"/>
          <w:szCs w:val="28"/>
          <w:rtl w:val="1"/>
        </w:rPr>
        <w:t xml:space="preserve"> در مقر سازمان ملل در نیویورک و سه نشست ماهوی</w:t>
      </w:r>
      <w:r>
        <w:rPr>
          <w:rStyle w:val="FootnoteReference"/>
          <w:rtl w:val="1"/>
        </w:rPr>
        <w:footnoteReference w:id="53"/>
      </w:r>
      <w:r>
        <w:rPr>
          <w:rFonts w:ascii="Times New Roman" w:hAnsi="Times New Roman" w:cs="B Nazanin"/>
          <w:sz w:val="22"/>
          <w:szCs w:val="28"/>
          <w:rtl w:val="1"/>
        </w:rPr>
        <w:t xml:space="preserve"> در مقر برنامه محیط زیست سازمان ملل در نایروبی برگزار شد. بند 6 اجرایی قطعنامه از دبیرکل می‌خواهد که دو رئیس مشترک گروه کاری، یکی از میان کشورهای توسعه یافته و دیگری از میان کشورهای در حال توسعه به منظور نظارت بر مشورت‌های گروه کاری با هماهنگی و مشورت با تمام دولت ها، گروه‌های منطقه ای و تمام ذی نفعان تعیین و تاکید می‌کند که فعالیت‌های گروه کاری باید باز، شفاف و جامع باشد. به دنبال مذاکرات صورت گرفته در جلسات، نمایندگان دائم پرتغال و لبنان در نیویورک به عنوان دو رئیس مشترک گروه کاری موقت انتخاب شدند. نمایندگان جوامع مدنی نیز به منزله ی دموکراتیزه شدن روند مذاکراتی در جلسات ماهوی مشارکت فعال داشتند. در ادامه جلسات ماهوی نایروبی را به ترتیب زمانی بررسی می‌کنیم.</w:t>
      </w:r>
    </w:p>
    <w:p>
      <w:pPr>
        <w:pStyle w:val="GPEHeading3"/>
        <w:bidi w:val="1"/>
        <w:spacing w:line="312" w:lineRule="auto" w:before="200" w:after="120"/>
        <w:jc w:val="right"/>
      </w:pPr>
      <w:r>
        <w:rPr>
          <w:rFonts w:ascii="Times New Roman" w:hAnsi="Times New Roman" w:cs="B Nazanin"/>
          <w:sz w:val="24"/>
          <w:szCs w:val="24"/>
          <w:rtl w:val="1"/>
          <w:b/>
          <w:bCs/>
          <w:color w:val="14203a"/>
        </w:rPr>
        <w:t>۲-۲-۵-۱ اولین نشست</w:t>
      </w:r>
    </w:p>
    <w:p>
      <w:pPr>
        <w:bidi w:val="1"/>
        <w:spacing w:line="312" w:lineRule="auto" w:before="0" w:after="120"/>
        <w:ind w:firstLine="454"/>
        <w:jc w:val="both"/>
      </w:pPr>
      <w:r>
        <w:rPr>
          <w:rFonts w:ascii="Times New Roman" w:hAnsi="Times New Roman" w:cs="B Nazanin"/>
          <w:sz w:val="22"/>
          <w:szCs w:val="28"/>
          <w:rtl w:val="1"/>
        </w:rPr>
        <w:t>اولین نشست ماهوی از 14 لغایت 18 ژانویه 2019 در نایروبی برگزار شد و کشورها به بررسی گزارش دبیرکل و وضعیت فعلی حقوق بینالملل محیطزیست بر مبنای یافتههای آن گزارش پرداختند. هیئتهای دیپلماتیک، نمایندگان ارکان سازمان ملل، دبیرخانه کنوانسیونها، سازمانهای بینالمللی و برخی از سازمانهای غیردولتی مشارکت نمودند. نظرات کشورها در خصوص گزارش دبیرکل متفاوت بود. بسیاری از کشورها ضمن استقبال از آن، آن را مرور جامعی بر خلاءهای موجود در حقوق بینالملل محیطزیست و مبنای مناسبی برای مذاکره ی بیشتر معرفی کردند. برخی آن را فقط به عنوان راهنمای اولیه برای مذاکره ی بیشتر لحاظ نمودند. برخی از کشورها نسبت به محتوای آن ابراز نگرانی نمودند و خواستار اطلاعات بهروزتر و استفاده از شواهد تجربی برای تایید نتایج آن شدند. تعداد معدودی از کشورها معتقد بودند که گزارش میتوانست تحلیل عمیقتر و عینیتر به همراه توجیههای قابل توجهتری برای برخی از یافتههایش ارائه دهد. یکی از مهمترین انتقادهای مطرح شده، درج توصیههایی برای رسیدگی به خلاءهای شناسایی شده در گزارش بود. زیرا قطعنامه 277 /72 مجمع عمومی به طور خاص از گروهکاری موقت خواسته بود که توصیههایی را ارائه دهد. لذا، این اقدام دبیرکل در گزارش، فراتر از ماموریت ارزیابی میشود.</w:t>
      </w:r>
    </w:p>
    <w:p>
      <w:pPr>
        <w:bidi w:val="1"/>
        <w:spacing w:line="312" w:lineRule="auto" w:before="0" w:after="120"/>
        <w:ind w:firstLine="454"/>
        <w:jc w:val="both"/>
      </w:pPr>
      <w:r>
        <w:rPr>
          <w:rFonts w:ascii="Times New Roman" w:hAnsi="Times New Roman" w:cs="B Nazanin"/>
          <w:sz w:val="22"/>
          <w:szCs w:val="28"/>
          <w:rtl w:val="1"/>
        </w:rPr>
        <w:t>معنا و مفهوم خلاء نکته قابل توجهی در مباحث کشورها بود. نگرانی دیگر، در مورد نتیجه و تاثیر کار گروه کاری موقت بر اسناد موجود، ارکان و فرایندها بود. کشورها خواستار تداوم تعهد و پایبندی به موافقت نامه‌های محیط زیستی موجود، بدون دوباره کاری و تضعیف جایگاه آن‌ها شدند. آن‌ها بر مذاکرات سازنده، باز، شفاف و جامع تاکید داشتند. دستیابی به نتیجه بر مبنای اجماع که هم عمل گرایانه و هم واقع بینانه باشد، بدون هرگونه پیش داوری در مورد نتیجه نهایی خواسته ضروری کشورها بود. در پایان نشست، خلاصه شفاهی و سپس نسخه کتبی آن در 25 ژانویه 2019 منتشر شد.</w:t>
      </w:r>
    </w:p>
    <w:p>
      <w:pPr>
        <w:pStyle w:val="GPEHeading3"/>
        <w:bidi w:val="1"/>
        <w:spacing w:line="312" w:lineRule="auto" w:before="200" w:after="120"/>
        <w:jc w:val="right"/>
      </w:pPr>
      <w:r>
        <w:rPr>
          <w:rFonts w:ascii="Times New Roman" w:hAnsi="Times New Roman" w:cs="B Nazanin"/>
          <w:sz w:val="24"/>
          <w:szCs w:val="24"/>
          <w:rtl w:val="1"/>
          <w:b/>
          <w:bCs/>
          <w:color w:val="14203a"/>
        </w:rPr>
        <w:t>۲-۲-۵-۲ دومین نشست</w:t>
      </w:r>
    </w:p>
    <w:p>
      <w:pPr>
        <w:bidi w:val="1"/>
        <w:spacing w:line="312" w:lineRule="auto" w:before="0" w:after="120"/>
        <w:ind w:firstLine="454"/>
        <w:jc w:val="both"/>
      </w:pPr>
      <w:r>
        <w:rPr>
          <w:rFonts w:ascii="Times New Roman" w:hAnsi="Times New Roman" w:cs="B Nazanin"/>
          <w:sz w:val="22"/>
          <w:szCs w:val="28"/>
          <w:rtl w:val="1"/>
        </w:rPr>
        <w:t>دومین نشست ماهوی از 18 لغایت 20 مارچ 2019 در نایروبی برگزار شد. تمرکز این نشست مشارکت در بحث نتیجه محور در مورد گزینه‌های ممکن برای رسیدگی به خلاءهای احتمالی موجود در حقوق بین الملل محیط زیست و سایر اسناد محیط زیستی مرتبط از جمله در قسمت اصول حقوق بین الملل محیط زیست، ساختار حکمرانی حقوق بین الملل محیط زیست، اجرای حقوق بین الملل محیط زیست و رژیم نظارتی خاص یا اسناد محیط زیستی مرتبط با نگاهی به تقویت اجرای حقوق بین الملل محیط زیست بود. کشورها پیشنهادهای متنوعی از تدوین سند جدید الزام آور، غیرالزام آور، اعلامیه عالی رتبه یا در قالب سند مجمع عمومی سازمان ملل متحد به منظور پاسخ به جاه طلبی فعلی جامعه بین المللی به منظور نوسازی سیستم حقوق بین الملل محیط زیست و اسناد محیط زیستی مرتبط مطرح ساختند. برخی از کشورها معتقد بودند که در خصوص ماهیت سند می‌توان در مراحل بعد، زمانی که فرایند مذاکراتی تدوین سند جدید آغاز گردد، تصمیم گیری نمود. در نهایت، 26 مارچ 2019 گزارش خلاصه تهیه و منتشر شد.</w:t>
      </w:r>
    </w:p>
    <w:p>
      <w:pPr>
        <w:bidi w:val="1"/>
        <w:spacing w:line="312" w:lineRule="auto" w:before="0" w:after="120"/>
        <w:ind w:firstLine="454"/>
        <w:jc w:val="both"/>
      </w:pPr>
      <w:r>
        <w:rPr>
          <w:rFonts w:ascii="Times New Roman" w:hAnsi="Times New Roman" w:cs="B Nazanin"/>
          <w:sz w:val="22"/>
          <w:szCs w:val="28"/>
          <w:rtl w:val="1"/>
        </w:rPr>
        <w:t>بعد از پایان نشست دوم، پیش نویس اولیه توصیه‌های گروه کاری موقت در قالب یک بسته تهیه شد. توصیه‌ها در سه گروه قرار داشتند: 1.عناصر مرتبط با اهداف اطلاع رسانی توصیه ها؛ 2. عناصر مرتبط با توصیه‌های ماهوی؛ و 3. عناصر مرتبط با فرایندها؛ در این پیش نویس به موارد زیر اشاره گردید: درک وسیعی از خلاءها در حقوق بین‌الملل محیط‌زیست، اصول، تفسیر آن ها، و سازگاری در به کارگیری آن ها، گزینه‌هایی برای یک سند جدید با ماهیت الزام آور یا غیر الزام آور، از جمله یک اعلامیه عالی رتبه و/یا یک سند خلاصه مجمع عمومی سازمان ملل متحد در مورد اصول حقوق بین‌الملل محیط زیست، حکمرانی و تقویت همکاری، هم افزایی و هماهنگی موافقت نامه‌های چندجانبه محیط زیستی موجود، تقویت و بازنگری نقش برنامه محیط زیست سازمان ملل متحد و مجمع محیط زیست ملل متحد و سایر ارکانی که مسئول افزایش تأثیر و هماهنگی عناصر در چارچوب رژیم موجود حقوق بین‌الملل محیط زیست هستند، و گزینه هایی برای رسیدگی به خلاء اجرایی ناشی از فقدان ظرفیت سازی، تامین مالی، فناوری و اراده سیاسی. مقرر شد نشست سوم و آخر بر مبنای همین پیش نویس برگزار گردد.</w:t>
      </w:r>
    </w:p>
    <w:p>
      <w:pPr>
        <w:pStyle w:val="GPEHeading3"/>
        <w:bidi w:val="1"/>
        <w:spacing w:line="312" w:lineRule="auto" w:before="200" w:after="120"/>
        <w:jc w:val="right"/>
      </w:pPr>
      <w:r>
        <w:rPr>
          <w:rFonts w:ascii="Times New Roman" w:hAnsi="Times New Roman" w:cs="B Nazanin"/>
          <w:sz w:val="24"/>
          <w:szCs w:val="24"/>
          <w:rtl w:val="1"/>
          <w:b/>
          <w:bCs/>
          <w:color w:val="14203a"/>
        </w:rPr>
        <w:t>۲-۲-۵-۳ سومین نشست</w:t>
      </w:r>
    </w:p>
    <w:p>
      <w:pPr>
        <w:bidi w:val="1"/>
        <w:spacing w:line="312" w:lineRule="auto" w:before="0" w:after="120"/>
        <w:ind w:firstLine="454"/>
        <w:jc w:val="both"/>
      </w:pPr>
      <w:r>
        <w:rPr>
          <w:rFonts w:ascii="Times New Roman" w:hAnsi="Times New Roman" w:cs="B Nazanin"/>
          <w:sz w:val="22"/>
          <w:szCs w:val="28"/>
          <w:rtl w:val="1"/>
        </w:rPr>
        <w:t>سومین نشست ماهوی از 20 لغایت 22 می 2019 در نایروبی متعاقب چندین پیش نشست برگزار شد. در این نشست، کشورها به دنبال جلسات متعدد رسمی و غیررسمی به وظیفه خود عمل نموده و توصیه هایی را جهت ارائه به مجمع عمومی سازمان ملل به تصویب رساندند. توصیه‌های نهایی را می‌توان در سه دسته طبقه بندی نمود: 1. اهداف، از جمله تقویت حفاظت از محیط زیست برای نسل‌های حاضر و آتی و تقویت حقوق بین الملل محیط زیست و اسناد محیط زیستی مرتبط؛ 2. توصیه‌های ماهوی و 3. بررسی کار بیشتر. پیش نویس توصیه‌ها براساس دیدگاه‌های متفاوت کشورها در طول جلسات و با هدف حصول اجماع تدوین گشت. بسیاری از کشورها ضمن استقبال از تدوین سند جدید، نسبت به آغاز کار به منظور یک پارچه سازی اصول حقوق بین الملل محیط زیست اعلام آمادگی کردند. در خصوص ماهیت سند و الزام آوری آن اختلاف نظر جدی وجود داشت. برخی نیز معتقد بودند که توجیه ماهوی برای پیشنهاد شکل گیری سند جدید ارائه نشده است. چندین کشور به ضرورت مذاکره بیشتر در خصوص ارزش افزوده شکل گیری چنین سندی، اعم از الزام آور یا غیرالزام آور و اینکه تدوین آن چگونه می‌تواند به تقویت حفاظت از محیط زیست بیانجامد، اشاره کردند.</w:t>
      </w:r>
    </w:p>
    <w:p>
      <w:pPr>
        <w:bidi w:val="1"/>
        <w:spacing w:line="312" w:lineRule="auto" w:before="0" w:after="120"/>
        <w:ind w:firstLine="454"/>
        <w:jc w:val="both"/>
      </w:pPr>
      <w:r>
        <w:rPr>
          <w:rFonts w:ascii="Times New Roman" w:hAnsi="Times New Roman" w:cs="B Nazanin"/>
          <w:sz w:val="22"/>
          <w:szCs w:val="28"/>
          <w:rtl w:val="1"/>
        </w:rPr>
        <w:t>محور سخنرانی کشورمان در سومین نشست به شرح زیر می‌باشد:</w:t>
      </w:r>
    </w:p>
    <w:p>
      <w:pPr>
        <w:bidi w:val="1"/>
        <w:spacing w:line="312" w:lineRule="auto" w:before="0" w:after="120"/>
        <w:ind w:firstLine="454"/>
        <w:jc w:val="both"/>
      </w:pPr>
      <w:r>
        <w:rPr>
          <w:rFonts w:ascii="Times New Roman" w:hAnsi="Times New Roman" w:cs="B Nazanin"/>
          <w:sz w:val="22"/>
          <w:szCs w:val="28"/>
          <w:rtl w:val="1"/>
        </w:rPr>
        <w:t>لزوم شناسایی خلاء و چالش‌ها در حقوق بین الملل محیط زیست و ترتیبات محیط زیستی مرتبط و اعلام هشدار نسبت به ایجاد سند جدید جامع بدون شناسایی خلاءها؛</w:t>
      </w:r>
    </w:p>
    <w:p>
      <w:pPr>
        <w:bidi w:val="1"/>
        <w:spacing w:line="312" w:lineRule="auto" w:before="0" w:after="120"/>
        <w:ind w:firstLine="454"/>
        <w:jc w:val="both"/>
      </w:pPr>
      <w:r>
        <w:rPr>
          <w:rFonts w:ascii="Times New Roman" w:hAnsi="Times New Roman" w:cs="B Nazanin"/>
          <w:sz w:val="22"/>
          <w:szCs w:val="28"/>
          <w:rtl w:val="1"/>
        </w:rPr>
        <w:t>معرفی نقص در اجرا، منابع ناکافی، ضعف ابزارهای اجرایی، سیاست‌های نادرست محیط زیستی و جهت گیری‌های سیاسی در خصوص محیط زیست به عنوان مهم‌ترین چالش‌های حقوق بین الملل محیط زیست؛</w:t>
      </w:r>
    </w:p>
    <w:p>
      <w:pPr>
        <w:bidi w:val="1"/>
        <w:spacing w:line="312" w:lineRule="auto" w:before="0" w:after="120"/>
        <w:ind w:firstLine="454"/>
        <w:jc w:val="both"/>
      </w:pPr>
      <w:r>
        <w:rPr>
          <w:rFonts w:ascii="Times New Roman" w:hAnsi="Times New Roman" w:cs="B Nazanin"/>
          <w:sz w:val="22"/>
          <w:szCs w:val="28"/>
          <w:rtl w:val="1"/>
        </w:rPr>
        <w:t>تاکید بر تقویت موافقت نامه‌های چندجانبه محیط زیستی از طریق رفع موانع اجرای آن و تاکید بر تقویت ابزارهای اجرا به خصوص برای کشورهای در حال توسعه با تقویت ظرفیت‌های ملی، انتقال تکنولوژی، تبادل دانش و حمایت‌های مالی در جهت اجرای هر چه بهتر تعهدات و به عبارتی خلاقیت در احیای اسناد محیط زیستی موجود؛</w:t>
      </w:r>
    </w:p>
    <w:p>
      <w:pPr>
        <w:bidi w:val="1"/>
        <w:spacing w:line="312" w:lineRule="auto" w:before="0" w:after="120"/>
        <w:ind w:firstLine="454"/>
        <w:jc w:val="both"/>
      </w:pPr>
      <w:r>
        <w:rPr>
          <w:rFonts w:ascii="Times New Roman" w:hAnsi="Times New Roman" w:cs="B Nazanin"/>
          <w:sz w:val="22"/>
          <w:szCs w:val="28"/>
          <w:rtl w:val="1"/>
        </w:rPr>
        <w:t>تاکید بر اصول حقوق بین الملل محیط زیست به خصوص اصل مسئولیت مشترک اما متفاوت و عدم تضعیف اقدامات و سازوکارهای حقوقی و چارچوب‌های حمایتی فعلی؛</w:t>
      </w:r>
    </w:p>
    <w:p>
      <w:pPr>
        <w:bidi w:val="1"/>
        <w:spacing w:line="312" w:lineRule="auto" w:before="0" w:after="120"/>
        <w:ind w:firstLine="454"/>
        <w:jc w:val="both"/>
      </w:pPr>
      <w:r>
        <w:rPr>
          <w:rFonts w:ascii="Times New Roman" w:hAnsi="Times New Roman" w:cs="B Nazanin"/>
          <w:sz w:val="22"/>
          <w:szCs w:val="28"/>
          <w:rtl w:val="1"/>
        </w:rPr>
        <w:t>عدم شتابزدگی در ایجاد سازوکارهای جدید و دامن نزدن به تورم و تکثر موجود در موافقت نامه‌های چندجانبه محیط زیستی فعلی؛</w:t>
      </w:r>
    </w:p>
    <w:p>
      <w:pPr>
        <w:bidi w:val="1"/>
        <w:spacing w:line="312" w:lineRule="auto" w:before="0" w:after="120"/>
        <w:ind w:firstLine="454"/>
        <w:jc w:val="both"/>
      </w:pPr>
      <w:r>
        <w:rPr>
          <w:rFonts w:ascii="Times New Roman" w:hAnsi="Times New Roman" w:cs="B Nazanin"/>
          <w:sz w:val="22"/>
          <w:szCs w:val="28"/>
          <w:rtl w:val="1"/>
        </w:rPr>
        <w:t>در نظر گرفتن ملاحظات و مقررات ملی کشورها و نیز تاکید بر رویکرد منسجم و فعال با مشارکت تمامی ذی نفعان.</w:t>
      </w:r>
    </w:p>
    <w:p>
      <w:pPr>
        <w:bidi w:val="1"/>
        <w:spacing w:line="312" w:lineRule="auto" w:before="0" w:after="120"/>
        <w:ind w:firstLine="454"/>
        <w:jc w:val="both"/>
      </w:pPr>
      <w:r>
        <w:rPr>
          <w:rFonts w:ascii="Times New Roman" w:hAnsi="Times New Roman" w:cs="B Nazanin"/>
          <w:sz w:val="22"/>
          <w:szCs w:val="28"/>
          <w:rtl w:val="1"/>
        </w:rPr>
        <w:t>هند به فقدان اجماع بر روی مفهوم خلاء و مصادیق آن اشاره و اظهار نمود که از این روند در صورتی که موجب ارتقاء توسعه پایدار و محیط زیست شود، حمایت می‌نماید. هم چنین اضافه نمود در صورتی که گروه کاری، خلاء در اصول حقوق بین الملل محیط زیست و چالش در حکمرانی محیط زیستی را بپذیرد، می‌بایست اجماع و درک مشترک در خصوص پذیرش خلاءها و راه حل آن حاصل شود و راه حل تعیین شده بتواند یک ارزش به اقدامات فعلی مربوط به حفاظت از محیط زیست بیفزاید. ایالات متحده آمریکا همواره بر موضوع عدم اجماع در خصوص تعریف خلاء و یا هرگونه کاستی در حقوق بین الملل محیط زیست تاکید نموده و بر این اساس پیش داوری در خصوص ایجاد یک خروجی برای ادامه روند کار (منظور بخش سوم- بررسی کار بیشتر) را مورد انتقاد قرار داد. هم چنین، نسبت به گزارش تهیه شده توسط دبیرکل انتقاد کرد و آن را به نفع شکل گیری پیمان جهانی محیط زیست مغرضانه ارزیابی نمود. مالزی بر اصول برشمرده شده در بیانیه ریو تاکید نمود و اینکه این حق تحفظ را برای خود در نظر می‌گیرد که قائل به ایجاد یک ابزار جدید در حقوق بین الملل محیط زیست نمی‌باشد. عربستان سعودی ضمن استقبال از رسیدن به یک راه حل واقع بینانه و موثر، مخالفت شدید خود را در خصوص روند ایجاد سازوکار جدید یا باز نمودن سازوکارهای قبلی ابراز نمود.</w:t>
      </w:r>
    </w:p>
    <w:p>
      <w:pPr>
        <w:bidi w:val="1"/>
        <w:spacing w:line="312" w:lineRule="auto" w:before="0" w:after="120"/>
        <w:ind w:firstLine="454"/>
        <w:jc w:val="both"/>
      </w:pPr>
      <w:r>
        <w:rPr>
          <w:rFonts w:ascii="Times New Roman" w:hAnsi="Times New Roman" w:cs="B Nazanin"/>
          <w:sz w:val="22"/>
          <w:szCs w:val="28"/>
          <w:rtl w:val="1"/>
        </w:rPr>
        <w:t>چین بر تقویت اجرای حقوق بین الملل محیط زیست و سازوکارهای موجود و لزوم در نظر گرفتن شرایط ملی کشورها در وارد نمودن موضوعات محیط زیستی در برنامه‌ها و سیاست‌های داخلی و نیز احترام به حق حاکمیت دولت‌ها تاکید نمود. کوبا و جمهوری کره نسبت به پاسخگویی چارچوب فراگیر جدید به طیف وسیعی از مشکلات محیط زیستی ابراز تردید نموند. روسیه نیز تاکید کرد که وضع چارچوب جدید در حیطه ماموریت گروه کاری موقت نیست. علاوه بر این، کشورها اعلام کردند که در این مرحله توافقی در مورد نتیجه ی گزارش که «یک سند بین المللی جامع و متحدکننده که تمام اصول حقوق بین الملل محیط‌زیست را روشن می‌کند و به مؤثرتر کردن و تقویت اجرای حقوق بین الملل محیط زیست کمک کند»، وجود ندارد. متعاقب این مخالفت ها، هر گونه اشاره به «توافق راجع به تدوین اصول» در نسخه نهایی توصیه‌ها درج نگردید.</w:t>
      </w:r>
    </w:p>
    <w:p>
      <w:pPr>
        <w:bidi w:val="1"/>
        <w:spacing w:line="312" w:lineRule="auto" w:before="0" w:after="120"/>
        <w:ind w:firstLine="454"/>
        <w:jc w:val="both"/>
      </w:pPr>
      <w:r>
        <w:rPr>
          <w:rFonts w:ascii="Times New Roman" w:hAnsi="Times New Roman" w:cs="B Nazanin"/>
          <w:sz w:val="22"/>
          <w:szCs w:val="28"/>
          <w:rtl w:val="1"/>
        </w:rPr>
        <w:t>توصیه‌های گروه کاری موقت باز</w:t>
      </w:r>
    </w:p>
    <w:p>
      <w:pPr>
        <w:bidi w:val="1"/>
        <w:spacing w:line="312" w:lineRule="auto" w:before="0" w:after="120"/>
        <w:ind w:firstLine="454"/>
        <w:jc w:val="both"/>
      </w:pPr>
      <w:r>
        <w:rPr>
          <w:rFonts w:ascii="Times New Roman" w:hAnsi="Times New Roman" w:cs="B Nazanin"/>
          <w:sz w:val="22"/>
          <w:szCs w:val="28"/>
          <w:rtl w:val="1"/>
        </w:rPr>
        <w:t>توصیه‌های نهایی بر مبنای اجماع، شامل سه بخش اهداف، توصیه‌های ماهوی و بررسی کار بیشتر</w:t>
      </w:r>
      <w:r>
        <w:rPr>
          <w:rStyle w:val="FootnoteReference"/>
          <w:rtl w:val="1"/>
        </w:rPr>
        <w:footnoteReference w:id="54"/>
      </w:r>
      <w:r>
        <w:rPr>
          <w:rFonts w:ascii="Times New Roman" w:hAnsi="Times New Roman" w:cs="B Nazanin"/>
          <w:sz w:val="22"/>
          <w:szCs w:val="28"/>
          <w:rtl w:val="1"/>
        </w:rPr>
        <w:t xml:space="preserve"> از سوی گروه کاری موقت باز در قالب سند مجمع عمومی</w:t>
      </w:r>
      <w:r>
        <w:rPr>
          <w:rStyle w:val="FootnoteReference"/>
          <w:rtl w:val="1"/>
        </w:rPr>
        <w:footnoteReference w:id="55"/>
      </w:r>
      <w:r>
        <w:rPr>
          <w:rFonts w:ascii="Times New Roman" w:hAnsi="Times New Roman" w:cs="B Nazanin"/>
          <w:sz w:val="22"/>
          <w:szCs w:val="28"/>
          <w:rtl w:val="1"/>
        </w:rPr>
        <w:t xml:space="preserve"> در تاریخ 13 ژوئن 2019 منتشر شد که در ادامه بررسی می‌گردد. در بخش اهداف، 5 هدف زیر راهنمای توصیه‌ها و رافع نگرانی‌های برخی از کشورها در طول مذاکرات قرار گرفت.</w:t>
      </w:r>
    </w:p>
    <w:p>
      <w:pPr>
        <w:bidi w:val="1"/>
        <w:spacing w:line="312" w:lineRule="auto" w:before="0" w:after="120"/>
        <w:ind w:firstLine="454"/>
        <w:jc w:val="both"/>
      </w:pPr>
      <w:r>
        <w:rPr>
          <w:rFonts w:ascii="Times New Roman" w:hAnsi="Times New Roman" w:cs="B Nazanin"/>
          <w:sz w:val="22"/>
          <w:szCs w:val="28"/>
          <w:rtl w:val="1"/>
        </w:rPr>
        <w:t>تقویت حفاظت از محیط زیست برای نسل‌های حاضر و اینده؛</w:t>
      </w:r>
    </w:p>
    <w:p>
      <w:pPr>
        <w:bidi w:val="1"/>
        <w:spacing w:line="312" w:lineRule="auto" w:before="0" w:after="120"/>
        <w:ind w:firstLine="454"/>
        <w:jc w:val="both"/>
      </w:pPr>
      <w:r>
        <w:rPr>
          <w:rFonts w:ascii="Times New Roman" w:hAnsi="Times New Roman" w:cs="B Nazanin"/>
          <w:sz w:val="22"/>
          <w:szCs w:val="28"/>
          <w:rtl w:val="1"/>
        </w:rPr>
        <w:t>پایبندی به تعهدات موجود به موجب حقوق بین الملل محیط زیست و عدم تضعیف موافقت نامه‌های پیشین؛</w:t>
      </w:r>
    </w:p>
    <w:p>
      <w:pPr>
        <w:bidi w:val="1"/>
        <w:spacing w:line="312" w:lineRule="auto" w:before="0" w:after="120"/>
        <w:ind w:firstLine="454"/>
        <w:jc w:val="both"/>
      </w:pPr>
      <w:r>
        <w:rPr>
          <w:rFonts w:ascii="Times New Roman" w:hAnsi="Times New Roman" w:cs="B Nazanin"/>
          <w:sz w:val="22"/>
          <w:szCs w:val="28"/>
          <w:rtl w:val="1"/>
        </w:rPr>
        <w:t>تعهد به تقویت اجرای حقوق بین الملل محیط زیست و اسناد مرتبط محیط زیستی؛</w:t>
      </w:r>
    </w:p>
    <w:p>
      <w:pPr>
        <w:bidi w:val="1"/>
        <w:spacing w:line="312" w:lineRule="auto" w:before="0" w:after="120"/>
        <w:ind w:firstLine="454"/>
        <w:jc w:val="both"/>
      </w:pPr>
      <w:r>
        <w:rPr>
          <w:rFonts w:ascii="Times New Roman" w:hAnsi="Times New Roman" w:cs="B Nazanin"/>
          <w:sz w:val="22"/>
          <w:szCs w:val="28"/>
          <w:rtl w:val="1"/>
        </w:rPr>
        <w:t>حمایت از اجرای کامل دستور کار 2030 برای توسعه پایدار و هم چنین سند نهایی کنفرانس سازمان ملل در خصوص توسعه پایدار به نام «آینده ای که ما می‌خواهیم» از جمله بندهای 88 و 89؛</w:t>
      </w:r>
    </w:p>
    <w:p>
      <w:pPr>
        <w:bidi w:val="1"/>
        <w:spacing w:line="312" w:lineRule="auto" w:before="0" w:after="120"/>
        <w:ind w:firstLine="454"/>
        <w:jc w:val="both"/>
      </w:pPr>
      <w:r>
        <w:rPr>
          <w:rFonts w:ascii="Times New Roman" w:hAnsi="Times New Roman" w:cs="B Nazanin"/>
          <w:sz w:val="22"/>
          <w:szCs w:val="28"/>
          <w:rtl w:val="1"/>
        </w:rPr>
        <w:t>توجه به ساختار حکمرانی حقوق بین الملل محیط زیست و عدم تضعیف اسناد و چارچوب‌های حقوقی مرتبط و ارکان جهانی، منطقه ای و بخشی مرتبط. A/AC.289/6/Rev.1,p.9) (</w:t>
      </w:r>
    </w:p>
    <w:p>
      <w:pPr>
        <w:bidi w:val="1"/>
        <w:spacing w:line="312" w:lineRule="auto" w:before="0" w:after="120"/>
        <w:ind w:firstLine="454"/>
        <w:jc w:val="both"/>
      </w:pPr>
      <w:r>
        <w:rPr>
          <w:rFonts w:ascii="Times New Roman" w:hAnsi="Times New Roman" w:cs="B Nazanin"/>
          <w:sz w:val="22"/>
          <w:szCs w:val="28"/>
          <w:rtl w:val="1"/>
        </w:rPr>
        <w:t>این بخش بسیار مهم و سازنده ارزیابی میشود؛ زیرا پنج اصل مورد اشاره به منزلهی پایه‌های توصیه‌های این سند عمل و سطح بالاتری از جاه‌طلبی را هدایت و راهبری می‌کنند، زیرا مخاطب توصیه‌ها کشورهای عضو، در داخل سیستم سازمان ملل متحد، و ارکان حاکم موافقت نامه‌های چندجانبه محیط زیستی هستند. این پنج هدف همچنین برای کمک به مشارکت فعال و معنادار همه ذینفعان مرتبط در همه سطوح برای اجرای حقوق بین‌الملل محیط زیست، اسناد مرتبط با محیط زیست و دستور کار 2030 برای توسعه پایدار ضروری هستند.</w:t>
      </w:r>
    </w:p>
    <w:p>
      <w:pPr>
        <w:bidi w:val="1"/>
        <w:spacing w:line="312" w:lineRule="auto" w:before="0" w:after="120"/>
        <w:ind w:firstLine="454"/>
        <w:jc w:val="both"/>
      </w:pPr>
      <w:r>
        <w:rPr>
          <w:rFonts w:ascii="Times New Roman" w:hAnsi="Times New Roman" w:cs="B Nazanin"/>
          <w:sz w:val="22"/>
          <w:szCs w:val="28"/>
          <w:rtl w:val="1"/>
        </w:rPr>
        <w:t>در بخش توصیه‌های ماهوی، سیزده توصیه به شرح زیر در طول مذاکرات گروه کاری موقت مورد توافق قرار گرفت:</w:t>
      </w:r>
    </w:p>
    <w:p>
      <w:pPr>
        <w:bidi w:val="1"/>
        <w:spacing w:line="312" w:lineRule="auto" w:before="0" w:after="120"/>
        <w:ind w:firstLine="454"/>
        <w:jc w:val="both"/>
      </w:pPr>
      <w:r>
        <w:rPr>
          <w:rFonts w:ascii="Times New Roman" w:hAnsi="Times New Roman" w:cs="B Nazanin"/>
          <w:sz w:val="22"/>
          <w:szCs w:val="28"/>
          <w:rtl w:val="1"/>
        </w:rPr>
        <w:t>تاکید بر نقش برنامه محیط زیست ملل متحد و مجمع محیط زیست ملل متحد به عنوان مرجع راهبری موضوعات جهانی محیط زیست و تقویت نقش آن ها؛</w:t>
      </w:r>
    </w:p>
    <w:p>
      <w:pPr>
        <w:bidi w:val="1"/>
        <w:spacing w:line="312" w:lineRule="auto" w:before="0" w:after="120"/>
        <w:ind w:firstLine="454"/>
        <w:jc w:val="both"/>
      </w:pPr>
      <w:r>
        <w:rPr>
          <w:rFonts w:ascii="Times New Roman" w:hAnsi="Times New Roman" w:cs="B Nazanin"/>
          <w:sz w:val="22"/>
          <w:szCs w:val="28"/>
          <w:rtl w:val="1"/>
        </w:rPr>
        <w:t>دعوت برای تجدید تلاش‌ها در تمام سطوح برای پیشبرد اجرای تعهدات موجود به موجب حقوق بین الملل محیط زیست و اسناد مرتبط با محیط زیست، تاکید بر اهمیت بهبود ابزار اجرا</w:t>
      </w:r>
      <w:r>
        <w:rPr>
          <w:rStyle w:val="FootnoteReference"/>
          <w:rtl w:val="1"/>
        </w:rPr>
        <w:footnoteReference w:id="56"/>
      </w:r>
      <w:r>
        <w:rPr>
          <w:rFonts w:ascii="Times New Roman" w:hAnsi="Times New Roman" w:cs="B Nazanin"/>
          <w:sz w:val="22"/>
          <w:szCs w:val="28"/>
          <w:rtl w:val="1"/>
        </w:rPr>
        <w:t xml:space="preserve"> از جمله بسیج تمام انواع و منابع ابزار اجرا، مطابق با دستورکار آدیس آبابا و دستورکار 2030 برای توسعه پایدار؛</w:t>
      </w:r>
    </w:p>
    <w:p>
      <w:pPr>
        <w:bidi w:val="1"/>
        <w:spacing w:line="312" w:lineRule="auto" w:before="0" w:after="120"/>
        <w:ind w:firstLine="454"/>
        <w:jc w:val="both"/>
      </w:pPr>
      <w:r>
        <w:rPr>
          <w:rFonts w:ascii="Times New Roman" w:hAnsi="Times New Roman" w:cs="B Nazanin"/>
          <w:sz w:val="22"/>
          <w:szCs w:val="28"/>
          <w:rtl w:val="1"/>
        </w:rPr>
        <w:t>به رسمیت شناختن نقش مذاکره در خصوص اصول حقوق بین الملل محیط زیست در بهبود اجرای حقوق بین الملل محیط زیست و توجه نمودن به کار در حال انجام از سوی کمیسیون حقوق بین الملل در خصوص اصول کلی حقوقی؛</w:t>
      </w:r>
    </w:p>
    <w:p>
      <w:pPr>
        <w:bidi w:val="1"/>
        <w:spacing w:line="312" w:lineRule="auto" w:before="0" w:after="120"/>
        <w:ind w:firstLine="454"/>
        <w:jc w:val="both"/>
      </w:pPr>
      <w:r>
        <w:rPr>
          <w:rFonts w:ascii="Times New Roman" w:hAnsi="Times New Roman" w:cs="B Nazanin"/>
          <w:sz w:val="22"/>
          <w:szCs w:val="28"/>
          <w:rtl w:val="1"/>
        </w:rPr>
        <w:t>دعوت از جامعه علمی و ارکان علمی، فنی و فناوری موافقتنامههای چندجانبه محیطزیستی برای کار بر روی موضوعات بین بخشی</w:t>
      </w:r>
      <w:r>
        <w:rPr>
          <w:rStyle w:val="FootnoteReference"/>
          <w:rtl w:val="1"/>
        </w:rPr>
        <w:footnoteReference w:id="57"/>
      </w:r>
      <w:r>
        <w:rPr>
          <w:rFonts w:ascii="Times New Roman" w:hAnsi="Times New Roman" w:cs="B Nazanin"/>
          <w:sz w:val="22"/>
          <w:szCs w:val="28"/>
          <w:rtl w:val="1"/>
        </w:rPr>
        <w:t xml:space="preserve"> و به اشتراکگذاری اطلاعات و تشویق آنها به تقویت همکاری میان خود؛</w:t>
      </w:r>
    </w:p>
    <w:p>
      <w:pPr>
        <w:bidi w:val="1"/>
        <w:spacing w:line="312" w:lineRule="auto" w:before="0" w:after="120"/>
        <w:ind w:firstLine="454"/>
        <w:jc w:val="both"/>
      </w:pPr>
      <w:r>
        <w:rPr>
          <w:rFonts w:ascii="Times New Roman" w:hAnsi="Times New Roman" w:cs="B Nazanin"/>
          <w:sz w:val="22"/>
          <w:szCs w:val="28"/>
          <w:rtl w:val="1"/>
        </w:rPr>
        <w:t>دعوت از ارکان حاکم موافقت نامه‌های چند جانبه برای ارتقاء انسجام سیاست‌ها در اسناد محیط زیستی و بررسی و رسیدگی به چالش‌ها در اجرا با نگاه کلان به تقویت اجرا در سطوح ملی و بین المللی در چارچوب حفظ استقلال و وظایف محول؛</w:t>
      </w:r>
    </w:p>
    <w:p>
      <w:pPr>
        <w:bidi w:val="1"/>
        <w:spacing w:line="312" w:lineRule="auto" w:before="0" w:after="120"/>
        <w:ind w:firstLine="454"/>
        <w:jc w:val="both"/>
      </w:pPr>
      <w:r>
        <w:rPr>
          <w:rFonts w:ascii="Times New Roman" w:hAnsi="Times New Roman" w:cs="B Nazanin"/>
          <w:sz w:val="22"/>
          <w:szCs w:val="28"/>
          <w:rtl w:val="1"/>
        </w:rPr>
        <w:t>تسریع در افزایش همکاری و هماهنگی میان نهادهای حاکم و دبیرخانههای موافقت نامه‌های چندجانبه محیط زیستی با یکدیگر در چارچوب وظایف محول و هم چنین همکاری با برنامه محیط زیست ملل متحد و مجمع محیط زیست ملل متحد؛</w:t>
      </w:r>
    </w:p>
    <w:p>
      <w:pPr>
        <w:bidi w:val="1"/>
        <w:spacing w:line="312" w:lineRule="auto" w:before="0" w:after="120"/>
        <w:ind w:firstLine="454"/>
        <w:jc w:val="both"/>
      </w:pPr>
      <w:r>
        <w:rPr>
          <w:rFonts w:ascii="Times New Roman" w:hAnsi="Times New Roman" w:cs="B Nazanin"/>
          <w:sz w:val="22"/>
          <w:szCs w:val="28"/>
          <w:rtl w:val="1"/>
        </w:rPr>
        <w:t>تشویق ارکان حاکم موافقت نامه‌های چندجانبه محیط زیستی و ارکان علمی، فنی و فناوری به تبادل اطلاعات و تجارب با نگاهی به ساده‌سازی فرآیندهای گزارش‌دهی و/یا فرایند نظارت؛</w:t>
      </w:r>
    </w:p>
    <w:p>
      <w:pPr>
        <w:bidi w:val="1"/>
        <w:spacing w:line="312" w:lineRule="auto" w:before="0" w:after="120"/>
        <w:ind w:firstLine="454"/>
        <w:jc w:val="both"/>
      </w:pPr>
      <w:r>
        <w:rPr>
          <w:rFonts w:ascii="Times New Roman" w:hAnsi="Times New Roman" w:cs="B Nazanin"/>
          <w:sz w:val="22"/>
          <w:szCs w:val="28"/>
          <w:rtl w:val="1"/>
        </w:rPr>
        <w:t>تشویق کشورهای عضو به تصویب موافقت نامه‌های چندجانبه محیط زیستی، در صورتی که قبلاً این کار را نکرده اند، و اجرای آن‌ها به صورت موثر؛</w:t>
      </w:r>
    </w:p>
    <w:p>
      <w:pPr>
        <w:bidi w:val="1"/>
        <w:spacing w:line="312" w:lineRule="auto" w:before="0" w:after="120"/>
        <w:ind w:firstLine="454"/>
        <w:jc w:val="both"/>
      </w:pPr>
      <w:r>
        <w:rPr>
          <w:rFonts w:ascii="Times New Roman" w:hAnsi="Times New Roman" w:cs="B Nazanin"/>
          <w:sz w:val="22"/>
          <w:szCs w:val="28"/>
          <w:rtl w:val="1"/>
        </w:rPr>
        <w:t>تشویق کشورهای عضو سازمان ملل به تقویت حقوق محیط زیست، سیاست‌ها و چارچوب‌های نظارتی در سطح ملی و همچنین تقویت ظرفیت‌ها در تمام بخش‌ها از جمله بخش‌های اداری و قضایی به منظور اجرای موثر حقوق بین الملل محیط زیست؛</w:t>
      </w:r>
    </w:p>
    <w:p>
      <w:pPr>
        <w:bidi w:val="1"/>
        <w:spacing w:line="312" w:lineRule="auto" w:before="0" w:after="120"/>
        <w:ind w:firstLine="454"/>
        <w:jc w:val="both"/>
      </w:pPr>
      <w:r>
        <w:rPr>
          <w:rFonts w:ascii="Times New Roman" w:hAnsi="Times New Roman" w:cs="B Nazanin"/>
          <w:sz w:val="22"/>
          <w:szCs w:val="28"/>
          <w:rtl w:val="1"/>
        </w:rPr>
        <w:t>تشویق دولت‌های عضو سازمان ملل به جریان سازی مقوله محیط زیست در سیاست‌ها و برنامه‌های بخشی خود در تمام سطوح، از جمله در برنامه‌های توسعه ملی و توسعه پایدار، به منظور بهبود اجرای حقوق بین الملل محیط زیست و اسناد مرتبط محیط زیستی قابل اعمال؛</w:t>
      </w:r>
    </w:p>
    <w:p>
      <w:pPr>
        <w:bidi w:val="1"/>
        <w:spacing w:line="312" w:lineRule="auto" w:before="0" w:after="120"/>
        <w:ind w:firstLine="454"/>
        <w:jc w:val="both"/>
      </w:pPr>
      <w:r>
        <w:rPr>
          <w:rFonts w:ascii="Times New Roman" w:hAnsi="Times New Roman" w:cs="B Nazanin"/>
          <w:sz w:val="22"/>
          <w:szCs w:val="28"/>
          <w:rtl w:val="1"/>
        </w:rPr>
        <w:t>ترویج مشارکت فعال و معنادار تمام ذینفعان در تمام سطوح و در مجامع مختلف مرتبط با اجرای حقوق بین‌الملل محیط زیست و اسناد مرتبط با محیط زیست؛</w:t>
      </w:r>
    </w:p>
    <w:p>
      <w:pPr>
        <w:bidi w:val="1"/>
        <w:spacing w:line="312" w:lineRule="auto" w:before="0" w:after="120"/>
        <w:ind w:firstLine="454"/>
        <w:jc w:val="both"/>
      </w:pPr>
      <w:r>
        <w:rPr>
          <w:rFonts w:ascii="Times New Roman" w:hAnsi="Times New Roman" w:cs="B Nazanin"/>
          <w:sz w:val="22"/>
          <w:szCs w:val="28"/>
          <w:rtl w:val="1"/>
        </w:rPr>
        <w:t>بررسی راه‌های بیشتر برای کشورهای عضو به منظور حمایت و استفاده کامل از برنامه پنجم مونته ویدئو- مصوبه چهارمین نشست مجمع محیط زیست ملل متحد، برای تقویت حاکمیت قانون محیط زیستی و پیشبرد اجرای حقوق محیط زیست در تمام سطوح؛</w:t>
      </w:r>
    </w:p>
    <w:p>
      <w:pPr>
        <w:bidi w:val="1"/>
        <w:spacing w:line="312" w:lineRule="auto" w:before="0" w:after="120"/>
        <w:ind w:firstLine="454"/>
        <w:jc w:val="both"/>
      </w:pPr>
      <w:r>
        <w:rPr>
          <w:rFonts w:ascii="Times New Roman" w:hAnsi="Times New Roman" w:cs="B Nazanin"/>
          <w:sz w:val="22"/>
          <w:szCs w:val="28"/>
          <w:rtl w:val="1"/>
        </w:rPr>
        <w:t>تشویق برنامه محیطزیست ملل متحد برای تقویت استراتژیهای کل سیستم سازمان ملل متحد به منظور حمایت از کشورهای عضو در یکپارچه سازی و اجرای حقوق بینالملل محیطزیست؛</w:t>
      </w:r>
    </w:p>
    <w:p>
      <w:pPr>
        <w:bidi w:val="1"/>
        <w:spacing w:line="312" w:lineRule="auto" w:before="0" w:after="120"/>
        <w:ind w:firstLine="454"/>
        <w:jc w:val="both"/>
      </w:pPr>
      <w:r>
        <w:rPr>
          <w:rFonts w:ascii="Times New Roman" w:hAnsi="Times New Roman" w:cs="B Nazanin"/>
          <w:sz w:val="22"/>
          <w:szCs w:val="28"/>
          <w:rtl w:val="1"/>
        </w:rPr>
        <w:t>بخش دوم، با 13 توصیه اساسی، را می‌توان به 6 زیر گروه تقسیم کرد: در مورد نقش برنامه محیط زیست ملل متحد، ابزار اجرا، اصول حقوق بین الملل محیط زیست، تقویت ارتباط علم و سیاست، حکمرانی و موافقت نامه‌های چندجانبه محیط زیستی موثر و چالش‌های اجرایی. از نظر کشورهای در حال توسعه مهم‌ترین نقص سازوکارهای حقوق بین الملل محیط زیست موجود در مقوله اجرا و آن هم نقص در ابزارهای اجرا شامل بحث انتقال تکنولوژی، تبادل دانش فنی، کمک‌های مالی، ظرفیت سازی و... نهفته است. با توجه به اهمیت این موضوع برای کشورهای در حال توسعه، در چند بند به این مهم توجه شده است. موضوع دیگر بحث تقویت نظارت و پایش اعم از اداری و قضایی بر تعهدات مندرج در موافقت نامه‌های چندجانبه محیط زیستی است که با تاکید کشورهای در حال توسعه مطابقت با سیستم‌های حقوقی داخلی کشورها به آن اضافه و نهایی گردید.</w:t>
      </w:r>
    </w:p>
    <w:p>
      <w:pPr>
        <w:bidi w:val="1"/>
        <w:spacing w:line="312" w:lineRule="auto" w:before="0" w:after="120"/>
        <w:ind w:firstLine="454"/>
        <w:jc w:val="both"/>
      </w:pPr>
      <w:r>
        <w:rPr>
          <w:rFonts w:ascii="Times New Roman" w:hAnsi="Times New Roman" w:cs="B Nazanin"/>
          <w:sz w:val="22"/>
          <w:szCs w:val="28"/>
          <w:rtl w:val="1"/>
        </w:rPr>
        <w:t>در بخش بررسی کار بیشتر، به عنوان چالشی‌ترین بحث، در خصوص موارد زیر جهت توصیه گروه کاری به مجمع عمومی توافق حاصل شد:</w:t>
      </w:r>
    </w:p>
    <w:p>
      <w:pPr>
        <w:bidi w:val="1"/>
        <w:spacing w:line="312" w:lineRule="auto" w:before="0" w:after="120"/>
        <w:ind w:firstLine="454"/>
        <w:jc w:val="both"/>
      </w:pPr>
      <w:r>
        <w:rPr>
          <w:rFonts w:ascii="Times New Roman" w:hAnsi="Times New Roman" w:cs="B Nazanin"/>
          <w:sz w:val="22"/>
          <w:szCs w:val="28"/>
          <w:rtl w:val="1"/>
        </w:rPr>
        <w:t>توزیع و گردش توصیه‌های این سند به دولت‌های عضو سازمان ملل، آژانس‌های تخصصی و ارکان حاکم موافقت نامه‌های چندجانبه محیط زیستی برای ملاحظه و اقدام مقتضی؛</w:t>
      </w:r>
    </w:p>
    <w:p>
      <w:pPr>
        <w:bidi w:val="1"/>
        <w:spacing w:line="312" w:lineRule="auto" w:before="0" w:after="120"/>
        <w:ind w:firstLine="454"/>
        <w:jc w:val="both"/>
      </w:pPr>
      <w:r>
        <w:rPr>
          <w:rFonts w:ascii="Times New Roman" w:hAnsi="Times New Roman" w:cs="B Nazanin"/>
          <w:sz w:val="22"/>
          <w:szCs w:val="28"/>
          <w:rtl w:val="1"/>
        </w:rPr>
        <w:t>ارسال توصیه‌های این سند به مجمع محیط زیست ملل متحد برای بررسی و تهیه یک اعلامیه سیاسی برای نشست عالی رتبه سازمان ملل متحد</w:t>
      </w:r>
      <w:r>
        <w:rPr>
          <w:rStyle w:val="FootnoteReference"/>
          <w:rtl w:val="1"/>
        </w:rPr>
        <w:footnoteReference w:id="58"/>
      </w:r>
      <w:r>
        <w:rPr>
          <w:rFonts w:ascii="Times New Roman" w:hAnsi="Times New Roman" w:cs="B Nazanin"/>
          <w:sz w:val="22"/>
          <w:szCs w:val="28"/>
          <w:rtl w:val="1"/>
        </w:rPr>
        <w:t xml:space="preserve"> در چارچوب پنجمین نشست خود در فوریه 2021، با بودجه داوطلبانه و درچارچوب بزرگداشت تاسیس برنامه محیط زیست ملل متحد توسط کنفرانس استکهلم 1972، با نگاهی به تقویت اجرای حقوق بین الملل محیط زیست، حکمرانی بین المللی محیط زیست در راستای بند 88 سند «آینده ای که می‌خواهیم»؛</w:t>
      </w:r>
    </w:p>
    <w:p>
      <w:pPr>
        <w:bidi w:val="1"/>
        <w:spacing w:line="312" w:lineRule="auto" w:before="0" w:after="120"/>
        <w:ind w:firstLine="454"/>
        <w:jc w:val="both"/>
      </w:pPr>
      <w:r>
        <w:rPr>
          <w:rFonts w:ascii="Times New Roman" w:hAnsi="Times New Roman" w:cs="B Nazanin"/>
          <w:sz w:val="22"/>
          <w:szCs w:val="28"/>
          <w:rtl w:val="1"/>
        </w:rPr>
        <w:t>گرچه در پایان، توصیه‌ها با اجماع پذیرفته شد، اما بسیاری از کشورها بیانیه‌های خود را تحت عنوان «توضیح موضع</w:t>
      </w:r>
      <w:r>
        <w:rPr>
          <w:rStyle w:val="FootnoteReference"/>
          <w:rtl w:val="1"/>
        </w:rPr>
        <w:footnoteReference w:id="59"/>
      </w:r>
      <w:r>
        <w:rPr>
          <w:rFonts w:ascii="Times New Roman" w:hAnsi="Times New Roman" w:cs="B Nazanin"/>
          <w:sz w:val="22"/>
          <w:szCs w:val="28"/>
          <w:rtl w:val="1"/>
        </w:rPr>
        <w:t>» پس از تصویب، قرائت نمودند. اکثر کشورهای در حال توسعه به عدم توازن میان اقدام و حمایت در بخش ابزار اجرا انتقاد کردند و خواستار افزایش ابزارهای اجرا با استفاده از تمام منابع موجود بر اساس اصل انصاف گردیدند. باید در نظر داشت که توصیه‌های گروه کاری به منزله پیشنهاد تلقی می‌گردد و تعهدی را متوجه دولت‌ها نمی‌کند.</w:t>
      </w:r>
    </w:p>
    <w:p>
      <w:pPr>
        <w:bidi w:val="1"/>
        <w:spacing w:line="312" w:lineRule="auto" w:before="0" w:after="120"/>
        <w:ind w:firstLine="454"/>
        <w:jc w:val="both"/>
      </w:pPr>
      <w:r>
        <w:rPr>
          <w:rFonts w:ascii="Times New Roman" w:hAnsi="Times New Roman" w:cs="B Nazanin"/>
          <w:sz w:val="22"/>
          <w:szCs w:val="28"/>
          <w:rtl w:val="1"/>
        </w:rPr>
        <w:t>رئیس جمهور فرانسه سال 2020 را به عنوان هدف بلندپروازانه برای تصویب متن پیمان جهانی محیط زیست تعیین کرده بود که با توجه به نتیجه مذاکرات در گروه کاری موقت، ناکام ماند. بسیاری از کشورها از اولین نشست ماهوی به محدودیت زمان کافی برای تهیه و تدوین توصیه‌های لازم به مجمع عمومی اشاره کردند. آن‌ها اذعان کردند که با توجه به جو کنونی چندجانبه گرایی و ریسک همراه با هر تلاشی برای ایجاد اجماع در خصوص هنجار جدیدی، هر بسته ی توصیه ای که آماده می‌شود، از آن چه برای بازنگری کامل رژیم حقوق بین الملل محیط زیست مورد نیاز است، ناگزیر کوتاه‌تر خواهد بود.</w:t>
      </w:r>
    </w:p>
    <w:p>
      <w:pPr>
        <w:bidi w:val="1"/>
        <w:spacing w:line="312" w:lineRule="auto" w:before="0" w:after="120"/>
        <w:ind w:firstLine="454"/>
        <w:jc w:val="both"/>
      </w:pPr>
      <w:r>
        <w:rPr>
          <w:rFonts w:ascii="Times New Roman" w:hAnsi="Times New Roman" w:cs="B Nazanin"/>
          <w:sz w:val="22"/>
          <w:szCs w:val="28"/>
          <w:rtl w:val="1"/>
        </w:rPr>
        <w:t>در تحلیل نشست‌های گروه کاری می‌توان گفت که «ترس» نقش قابل توجهی را ایفا کرده و در نهایت نتیجه فعلی را به ارمغان آورده است. ترس از دست دادن حاکمیت، ترس از پیچیده شدن رژیم موافقت نامه‌های چندجانبه موجود، ترس از فتح باب مذاکره بر سر اصول تثبیت شده و کاربردهای متنوع آن‌ها و به طور قابل توجه برای کشورهای در حال توسعه، ترس از متعهد شدن نسبت به اقداماتی که فاقد ظرفیت‌های لازم برای اجرای آن‌ها هستند. در نتیجه این ترس ها، گروه کاری موقت توصیه ای ضعیف به مجمع عمومی با مهلت زمانی طولانی تری از آن چه در ابتدا پیش بینی شده بود، بدون اشاره به موافقت نامه ای الزام آور، تهیه کرد. در خصوص مهلت پیش بینی شده، به نظر می‌رسد که ضرب الاجل جدید معقول‌تر باشد و امکان مذاکرات عمیق در خصوص راه حل‌های بالقوه را فراهم سازد. سه نشست ماهوی گروه کاری موقت فتح بابی بر طرح سوالات، ابهامات و انتظارات کشورها حول محور حقوق بین الملل محیط زیست بود که در فرایند چندجانبه گرایی و تمهید مقدمات لازم جهت حصول توافق بر سر اصول تاثیرگذار خواهد بود. توصیه‌های گروه کاری موقت نقطه عطف مهمی در جهت دستیابی به چارچوب همکاری میان دولت‌ها و در هماهنگی با سیستم سازمان ملل به منظور تقویت اجرای حقوق بین الملل محیط زیست و حمایت از اجرای کامل دستورکار 2030 برای توسعه پایدار ارزیابی می‌شود. پایبندی گروه کاری موقت به محدوده ی وظایف خود به موجب قطعنامه 277 /72 و انجام وظایف محوله در چارچوب زمانی مورد نظر قابل تحسین ارزیابی می‌شود.</w:t>
      </w:r>
    </w:p>
    <w:p>
      <w:pPr>
        <w:bidi w:val="1"/>
        <w:spacing w:line="312" w:lineRule="auto" w:before="0" w:after="120"/>
        <w:ind w:firstLine="454"/>
        <w:jc w:val="both"/>
      </w:pPr>
      <w:r>
        <w:rPr>
          <w:rFonts w:ascii="Times New Roman" w:hAnsi="Times New Roman" w:cs="B Nazanin"/>
          <w:sz w:val="22"/>
          <w:szCs w:val="28"/>
          <w:rtl w:val="1"/>
        </w:rPr>
        <w:t>در خصوص مسئله مهم اصول حقوق بین الملل محیط زیست با هدف بهبود اجرای حقوق بین الملل محیط زیست ضمن به رسمیت شناختن نقش مذاکره در خصوص اصول، مسیر روشنی در این سند تبیین نشده است. لذا، بحث اصول به طور کلی کنار گذاشته نشده و هنوز درها برای پذیرش احتمالی یک سند جدید باز است. اهمیت توصیه‌های مبتنی بر اجماع - اگرچه هیچ توافقی برای آغاز یک کنفرانس بین‌دولتی برای تصویب یک سند بین‌المللی به منظور تقویت اجرای حقوق بین‌الملل محیط زیست حاصل نشد - این است که اجماع اولین گام در فرآیندیست که منجر به تعهد برای رسیدگی به شیوه ای جامع و منسجم، به چالش‌های ناشی از تخریب محیط زیست در چارچوب توسعه پایدار، می‌باشد. از آنجایی که مشکلات محیط زیستی مرتبط اغلب ماهیت جهانی دارند، راه حل نیز در اقدام جمعی نهفته است.</w:t>
      </w:r>
    </w:p>
    <w:p>
      <w:pPr>
        <w:bidi w:val="1"/>
        <w:spacing w:line="312" w:lineRule="auto" w:before="0" w:after="120"/>
        <w:ind w:firstLine="454"/>
        <w:jc w:val="both"/>
      </w:pPr>
      <w:r>
        <w:rPr>
          <w:rFonts w:ascii="Times New Roman" w:hAnsi="Times New Roman" w:cs="B Nazanin"/>
          <w:sz w:val="22"/>
          <w:szCs w:val="28"/>
          <w:rtl w:val="1"/>
        </w:rPr>
        <w:t xml:space="preserve">در میان ارزیابی‌های علمی اخیر، چشم انداز جهانی محیط زیست 6 </w:t>
      </w:r>
      <w:r>
        <w:rPr>
          <w:rStyle w:val="FootnoteReference"/>
          <w:rtl w:val="1"/>
        </w:rPr>
        <w:footnoteReference w:id="60"/>
      </w:r>
      <w:r>
        <w:rPr>
          <w:rFonts w:ascii="Times New Roman" w:hAnsi="Times New Roman" w:cs="B Nazanin"/>
          <w:sz w:val="22"/>
          <w:szCs w:val="28"/>
          <w:rtl w:val="1"/>
        </w:rPr>
        <w:t>اظهار نموده است: "انتظار نمی‌رود اهداف توسعه پایدار و اهداف مورد توافق بین المللی از جمله تغییرات آب و هوا، از دست دادن تنوع زیستی، مواد مغذی، تخریب زمین و اسیدی شدن اقیانوس‌ها به زودی محقق شود. با این حال، توصیه‌ها عمدتاً به «چه چیزی» نیاز است، می‌پردازند و به اندازه کافی «چگونگی» یا «زمان» بررسی یا پیگیری چنین اقدامات و چالش‌هایی را مورد توجه قرار نمی‌دهند.» (Antonia Tigre,2020, 282)</w:t>
      </w:r>
    </w:p>
    <w:p>
      <w:pPr>
        <w:pStyle w:val="GPEHeading3"/>
        <w:bidi w:val="1"/>
        <w:spacing w:line="312" w:lineRule="auto" w:before="200" w:after="120"/>
        <w:jc w:val="right"/>
      </w:pPr>
      <w:r>
        <w:rPr>
          <w:rFonts w:ascii="Times New Roman" w:hAnsi="Times New Roman" w:cs="B Nazanin"/>
          <w:sz w:val="24"/>
          <w:szCs w:val="24"/>
          <w:rtl w:val="1"/>
          <w:b/>
          <w:bCs/>
          <w:color w:val="14203a"/>
        </w:rPr>
        <w:t>۲-۲-۶ قطعنامه 333 /73</w:t>
      </w:r>
    </w:p>
    <w:p>
      <w:pPr>
        <w:bidi w:val="1"/>
        <w:spacing w:line="312" w:lineRule="auto" w:before="0" w:after="120"/>
        <w:ind w:firstLine="454"/>
        <w:jc w:val="both"/>
      </w:pPr>
      <w:r>
        <w:rPr>
          <w:rFonts w:ascii="Times New Roman" w:hAnsi="Times New Roman" w:cs="B Nazanin"/>
          <w:sz w:val="22"/>
          <w:szCs w:val="28"/>
          <w:rtl w:val="1"/>
        </w:rPr>
        <w:t>بعد از پذیرش توصیه‌های اجماعی از سوی گروه کاری در نایروبی، فرایند مذاکره به نیویورک بازگشت و طی نشست غیررسمی توصیه‌های گروه کاری به رئیس وقت مجمع عمومی تسلیم شد. در این نشست نیز از ماحصل اجماعی مذاکرات نایروبی تقدیر شد. در تاریخ 30 آگوست 2019 مجمع عمومی سازمان ملل قطعنامه 333 /73 را تصویب نمود.</w:t>
      </w:r>
      <w:r>
        <w:rPr>
          <w:rStyle w:val="FootnoteReference"/>
          <w:rtl w:val="1"/>
        </w:rPr>
        <w:footnoteReference w:id="61"/>
      </w:r>
      <w:r>
        <w:rPr>
          <w:rFonts w:ascii="Times New Roman" w:hAnsi="Times New Roman" w:cs="B Nazanin"/>
          <w:sz w:val="22"/>
          <w:szCs w:val="28"/>
          <w:rtl w:val="1"/>
        </w:rPr>
        <w:t xml:space="preserve"> در این قطعنامه، مجمع عمومی از مذاکرات گروه کاری، گزارش جلسه و توصیه‌های مطرح شده استقبال و همه آن‌ها را تایید نمود. (A/RES/73/333, OP 1) در این سند، مقرر گردید دبیرکل اقدامات لازم را در جهت حمایت از فرایند اجرای توصیه‌ها و تسهیل مشارکت نمایندگان کشورها اتخاذ نماید. مقرر شد که هزینه‌های اجرای قطعنامه حاضر و تسهیل مشارکت نمایندگانی از کشورهای در حال توسعه، به ویژه کشورهای کمتر توسعه یافته، کشورهای درحال توسعه محصور در خشکی و جزایر کوچک در حال توسعه در جلسات آتی مرتبط با اجرای توصیه‌های مندرج در گزارش گروه کاری، از محل بودجه‌های داوطلبانه و هم چنین صندوق داوطلبانه خاصی که به موجب قطعنامه 277 /72 ایجاد شده بود، تامین گردد. در همین بند دولت‌های عضو، موسسات مالی بین المللی، آژانس ها، سازمان‌های بین الدولی، سازمان‌های غیردولتی و اشخاص حقیقی و حقوقی را دعوت می‌کند تا در صندوق داوطلبانه خاص مورد اشاره مشارکت مالی نمایند. (A/RES/73/333, OP2) قطعنامه بدون درخواست رای گیری پذیرفته شد. بعد از تصویب آن، ایالات متحده آمریکا طی توضیح موضع تاکید نمود که ادبیات مندرج در بخش ابزار اجرا در مقام تعهد مالی بیشتر برای کشورش نیست و هم چنین ارکان حاکم در موافقتنامههای چندجانبه محیطزیستی، خودشان سیاست‌های مرتبط را تنظیم میکنند. در واقع این سند فاز جدید از ارجاع توصیه‌ها به مجمع محیط زیست ملل متحد برای بررسی و تمهید اعلامیه سیاسی را آغاز نمود.</w:t>
      </w:r>
    </w:p>
    <w:p>
      <w:pPr>
        <w:bidi w:val="1"/>
        <w:spacing w:line="312" w:lineRule="auto" w:before="0" w:after="120"/>
        <w:ind w:firstLine="454"/>
        <w:jc w:val="both"/>
      </w:pPr>
      <w:r>
        <w:rPr>
          <w:rFonts w:ascii="Times New Roman" w:hAnsi="Times New Roman" w:cs="B Nazanin"/>
          <w:sz w:val="22"/>
          <w:szCs w:val="28"/>
          <w:rtl w:val="1"/>
        </w:rPr>
        <w:t>بررسی مفاهیم</w:t>
      </w:r>
    </w:p>
    <w:p>
      <w:pPr>
        <w:bidi w:val="1"/>
        <w:spacing w:line="312" w:lineRule="auto" w:before="0" w:after="120"/>
        <w:ind w:firstLine="454"/>
        <w:jc w:val="both"/>
      </w:pPr>
      <w:r>
        <w:rPr>
          <w:rFonts w:ascii="Times New Roman" w:hAnsi="Times New Roman" w:cs="B Nazanin"/>
          <w:sz w:val="22"/>
          <w:szCs w:val="28"/>
          <w:rtl w:val="1"/>
        </w:rPr>
        <w:t>در این قسمت مفاهیم به کار رفته در عنوان پیش نویس پیمان جهانی محیط زیست، موافقت نامه‌های چند جانبه محیط زیستی، الزام آوری، حقوق نرم و سخت و آینده پژوهی بررسی می‌گردد. بررسی این مفاهیم ما را در درک عمیق تری از اهداف و هم چنین چالش‌های شکل گیری این سند و هم چنین تحلیل و ارزیابی بهتر فرایند مذاکرات، توافق‌ها و نتیجه آن کمک می‌نماید.</w:t>
      </w:r>
    </w:p>
    <w:p>
      <w:pPr>
        <w:pStyle w:val="GPEHeading3"/>
        <w:bidi w:val="1"/>
        <w:spacing w:line="312" w:lineRule="auto" w:before="200" w:after="120"/>
        <w:jc w:val="right"/>
      </w:pPr>
      <w:r>
        <w:rPr>
          <w:rFonts w:ascii="Times New Roman" w:hAnsi="Times New Roman" w:cs="B Nazanin"/>
          <w:sz w:val="24"/>
          <w:szCs w:val="24"/>
          <w:rtl w:val="1"/>
          <w:b/>
          <w:bCs/>
          <w:color w:val="14203a"/>
        </w:rPr>
        <w:t>۲-۳-۱ پیمان جهانی محیط زیست</w:t>
      </w:r>
    </w:p>
    <w:p>
      <w:pPr>
        <w:bidi w:val="1"/>
        <w:spacing w:line="312" w:lineRule="auto" w:before="0" w:after="120"/>
        <w:ind w:firstLine="454"/>
        <w:jc w:val="both"/>
      </w:pPr>
      <w:r>
        <w:rPr>
          <w:rFonts w:ascii="Times New Roman" w:hAnsi="Times New Roman" w:cs="B Nazanin"/>
          <w:sz w:val="22"/>
          <w:szCs w:val="28"/>
          <w:rtl w:val="1"/>
        </w:rPr>
        <w:t>عنوان پیش نویس پیشنهادی به شرح «پیمان جهانی محیط زیست» تفاوت قابل توجهی با اسناد راجع به حقوق بین الملل محیط زیست اعم از اسناد اولیه حقوق نرم و اسناد حقوق سخت دارد. اصطلاح به کاررفته در عنوان سند، ماهیت حقوقی سند را تعریف نمی‌کند. هدف اولیه این ابتکار ایجاد یک معاهده قانونی الزام آور فراگیر است که شامل اصول اساسی حقوق بین الملل محیط زیست شود. از همان ابتدا قرار بود سند رویکرد حقوق بشری داشته باشد و حق بشر در رابطه با محیط زیست را به رسمیت بشناسد. لذا، مقرر بود ادامه دهنده راه میثاقین 1966 باشد. از این رو، ابتدا این سه واژه را از منظر مفهومی بررسی می‌کنیم.</w:t>
      </w:r>
    </w:p>
    <w:p>
      <w:pPr>
        <w:pStyle w:val="GPEHeading3"/>
        <w:bidi w:val="1"/>
        <w:spacing w:line="312" w:lineRule="auto" w:before="200" w:after="120"/>
        <w:jc w:val="right"/>
      </w:pPr>
      <w:r>
        <w:rPr>
          <w:rFonts w:ascii="Times New Roman" w:hAnsi="Times New Roman" w:cs="B Nazanin"/>
          <w:sz w:val="24"/>
          <w:szCs w:val="24"/>
          <w:rtl w:val="1"/>
          <w:b/>
          <w:bCs/>
          <w:color w:val="14203a"/>
        </w:rPr>
        <w:t>۲-۳-۱-۱ پیمان</w:t>
      </w:r>
    </w:p>
    <w:p>
      <w:pPr>
        <w:bidi w:val="1"/>
        <w:spacing w:line="312" w:lineRule="auto" w:before="0" w:after="120"/>
        <w:ind w:firstLine="454"/>
        <w:jc w:val="both"/>
      </w:pPr>
      <w:r>
        <w:rPr>
          <w:rFonts w:ascii="Times New Roman" w:hAnsi="Times New Roman" w:cs="B Nazanin"/>
          <w:sz w:val="22"/>
          <w:szCs w:val="28"/>
          <w:rtl w:val="1"/>
        </w:rPr>
        <w:t>پیام انتخاب عنوان پیمان برای این سند قابل توجه است. تنظیم کنندگان به دنبال اجتناب از عاقبت اعلامیه استکهلم و ریو و انحصار در حقوق نرم و ویژگی غیرالزام آوری بودند. آن‌ها به دنبال ارائه یک سند بین المللی الزام آور برای تدوین اصول اساسی حقوق بین الملل محیط زیست در پاسخ به انتظار جامعه حقوقی از نظام مند شدن مبانی حقوق بین الملل محیط زیست در یک سند واحد در سطح بین المللی بودند. از این رو، به کارگیری واژه پیمان، تعمدی و در مقام یادآوری اصطلاحات مرتبط هم چون منشور و میثاق است که در گذشته در پاسخ به بحران‌های مشابه به کاررفته است. در منشور، میثاق و پیمان علاوه بر تعهدات حقوقی، تعهدات اخلاقی هم برای اعضا پیش بینی می‌شود و این نکته خصیصه بارز این سه گونه سند در حقوق بین الملل است. با توجه به ماهیت بده و بستان معاهدات بین المللی، واژه پیمان درکنار واژه منشور با اذعان به اینکه در جامعه بین المللی روش و شکل خاصی برای قانونگذاری صریح وجود ندارد، به دنبال برجسته سازی اهمیت موضوع خاصی هستند. با توجه به اهمیت سیاسی، دیپلماتیک، اخلاقی و حقوقی عنوان پیمان، می‌توان به استدلال آمریکا بر مخالفت با نامگذاری «اعلامیه ریو» تحت عنوان «منشور» اشاره نمود: «عنوان منشور انتظارات غیرواقعی را در مورد محتوای حقوقی سند مطرح می‌سازد.» (منبع الزامی ست)</w:t>
      </w:r>
    </w:p>
    <w:p>
      <w:pPr>
        <w:bidi w:val="1"/>
        <w:spacing w:line="312" w:lineRule="auto" w:before="0" w:after="120"/>
        <w:ind w:firstLine="454"/>
        <w:jc w:val="both"/>
      </w:pPr>
      <w:r>
        <w:rPr>
          <w:rFonts w:ascii="Times New Roman" w:hAnsi="Times New Roman" w:cs="B Nazanin"/>
          <w:sz w:val="22"/>
          <w:szCs w:val="28"/>
          <w:rtl w:val="1"/>
        </w:rPr>
        <w:t>در مقام بررسی سوابق موجود می‌توان گفت که منشور سازمان ملل متحد که نظم جهانی جدیدی را معرفی نمود و همینطور میثاق‌های حقوق مدنی و سیاسی و حقوق اقتصادی، اجتماعی و فرهنگی مصوب 1966 نمونه هایی از اسناد الزام آور بین المللی و منشور جهانی طبیعت و منشور زمین از نمونه‌های برجسته حقوق نرم در عرصه بین المللی هستند. پیش از این، واژه پیمان در اسناد مهم و با اهمیتی هم چون پیمان بوگوتا 1948 به منظور حل و فصل مسالمت آمیز اختلافات در منطقه اقیانوس آرام و پیمان کلوگ - بریاند 1928 به منظور دست کشیدن از جنگ در عرصه روابط بین الملل موجود هستند. اغلب پیمان‌ها به حوزه روابط بین الملل و جنگ‌های جهانی اول و دوم بر می‌گردد. سابقه ای از پیمان در حقوق بین الملل و به ویژه در چارچوب سازمان ملل متحد در دست نیست. به تازگی در اکتبر 2024 برابر با مهر ماه 1403 سندی در مجمع عمومی تحت عنوان «پیمان آینده» به همراه ضمایمی شامل یک پیمان جهانی دیجیتال و یک اعلامیه در مورد نسل‌های آینده</w:t>
      </w:r>
      <w:r>
        <w:rPr>
          <w:rStyle w:val="FootnoteReference"/>
          <w:rtl w:val="1"/>
        </w:rPr>
        <w:footnoteReference w:id="62"/>
      </w:r>
      <w:r>
        <w:rPr>
          <w:rFonts w:ascii="Times New Roman" w:hAnsi="Times New Roman" w:cs="B Nazanin"/>
          <w:sz w:val="22"/>
          <w:szCs w:val="28"/>
          <w:rtl w:val="1"/>
        </w:rPr>
        <w:t xml:space="preserve"> از سوی دولت‌ها با اجماع پذیرفته شد که در قلمرو حقوق نرم قرار دارد.</w:t>
      </w:r>
    </w:p>
    <w:p>
      <w:pPr>
        <w:bidi w:val="1"/>
        <w:spacing w:line="312" w:lineRule="auto" w:before="0" w:after="120"/>
        <w:ind w:firstLine="454"/>
        <w:jc w:val="both"/>
      </w:pPr>
      <w:r>
        <w:rPr>
          <w:rFonts w:ascii="Times New Roman" w:hAnsi="Times New Roman" w:cs="B Nazanin"/>
          <w:sz w:val="22"/>
          <w:szCs w:val="28"/>
          <w:rtl w:val="1"/>
        </w:rPr>
        <w:t>برخی بر این باورند که نام گذاری پیمان برای این سند به منظور حفاظت از محیط زیست و حکمرانی محیط زیستی از این منظر قابل قبول می‌نماید که تنظیم کنندگان درصدد درج اصول موجود در سایر اسناد و ترکیب آن با مقوله اخلاق و اعطای مشروعیت بیشتری به سند بودند و در این میان منافع دولت‌ها و جامعه مدنی توامان تامین گردد و هر دو در قبال مراقبت از سیستم زمین متعهد گردند. شواهدی در متن وجود دارد که حاکی از انتخاب آگاهانه پیمان است. ما در این سند شاهد حضور و مشارکت بازیگران غیردولتی و حتی درج این مطلب در پیش نویس - ماده 14 پیش نویس- هستیم. نکته قابل توجه این است که پیش نویس پیمان توسط جامعه مدنی خارج از سیستم تدوین معاهدات دولت محور تدوین و منتشر شده است. لذا، برای مشارکت جامعه مدنی در تعهدات البته نه به صورت رسمی، بلکه به صورت اخلاقی و توجه به نگرانی آن‌ها فراتر از نگرانی دولت‌ها به تنهایی، اقتضا می‌نمود که عنوان سند متفاوت از اسناد دیگر حقوق بین الملل محیط زیست که در آن‌ها فقط دولت‌ها متعهد اصلی هستند و جوامع مدنی به رسمیت شناخته نشده اند، باشد. (منبع الزامی ست)</w:t>
      </w:r>
    </w:p>
    <w:p>
      <w:pPr>
        <w:pStyle w:val="GPEHeading3"/>
        <w:bidi w:val="1"/>
        <w:spacing w:line="312" w:lineRule="auto" w:before="200" w:after="120"/>
        <w:jc w:val="right"/>
      </w:pPr>
      <w:r>
        <w:rPr>
          <w:rFonts w:ascii="Times New Roman" w:hAnsi="Times New Roman" w:cs="B Nazanin"/>
          <w:sz w:val="24"/>
          <w:szCs w:val="24"/>
          <w:rtl w:val="1"/>
          <w:b/>
          <w:bCs/>
          <w:color w:val="14203a"/>
        </w:rPr>
        <w:t>۲-۳-۱-۲ جهانی</w:t>
      </w:r>
    </w:p>
    <w:p>
      <w:pPr>
        <w:bidi w:val="1"/>
        <w:spacing w:line="312" w:lineRule="auto" w:before="0" w:after="120"/>
        <w:ind w:firstLine="454"/>
        <w:jc w:val="both"/>
      </w:pPr>
      <w:r>
        <w:rPr>
          <w:rFonts w:ascii="Times New Roman" w:hAnsi="Times New Roman" w:cs="B Nazanin"/>
          <w:sz w:val="22"/>
          <w:szCs w:val="28"/>
          <w:rtl w:val="1"/>
        </w:rPr>
        <w:t>با در نظر گرفتن دامنه جغرافیایی یا صلاحیتی حقوق، حقوق بین الملل به یک دیدگاه جهانی یا فراملی تبدیل شده است. در این میان، حقوق بین الملل محیط زیست به دلیل خلاءهایش، پراکندگی و متدولوژی بخشی آن، مورد انتقاد قرار گرفته است. در این میان، هدف متعالی توافق بر سر یک سند الزام آور برای مجموعه حقوق بین الملل محیط زیست، انسجام زیرمجموعههای حقوق بین الملل محیط زیست را که منتهی به حفاظت از محیط زیست در سطح کلان خواهد شد، تضمین می‌کند. از آن جایی که سند بنیادینی در حقوق بین الملل محیط زیست وجود ندارد، علاقه به اساسی گرایی</w:t>
      </w:r>
      <w:r>
        <w:rPr>
          <w:rStyle w:val="FootnoteReference"/>
          <w:rtl w:val="1"/>
        </w:rPr>
        <w:footnoteReference w:id="63"/>
      </w:r>
      <w:r>
        <w:rPr>
          <w:rFonts w:ascii="Times New Roman" w:hAnsi="Times New Roman" w:cs="B Nazanin"/>
          <w:sz w:val="22"/>
          <w:szCs w:val="28"/>
          <w:rtl w:val="1"/>
        </w:rPr>
        <w:t xml:space="preserve"> به منظور مفهوم سازی مجدد حقوق بین الملل محیط زیست و حکمرانی بین المللی محیط زیست مطرح گردید. در مقوله اساسی گرایی، توسعه و اجرا و اثربخشی درج حقوق، رویه‌ها و سیاست‌های محیط زیستی در قوانین اساسی سراسر جهان بررسی می‌گردد. از این رو، می‌توان پیمان جهانی محیط زیست را نیروی محرکه بالقوه برای تبدیل به قانون اساسی جهانی محیط زیست دانست. البته این امر ناشی از نیاز به توافق بر سر هنجار محیط زیستی یا هدف مشترک است. (Canovas,2020 ,42) لذا، به نظر می‌رسد واژه «جهانی» نیز با هدف قرار دادن وابستگی متقابل در برابر پراکندگی با تعمد به کار رفته است.</w:t>
      </w:r>
    </w:p>
    <w:p>
      <w:pPr>
        <w:bidi w:val="1"/>
        <w:spacing w:line="312" w:lineRule="auto" w:before="0" w:after="120"/>
        <w:ind w:firstLine="454"/>
        <w:jc w:val="both"/>
      </w:pPr>
      <w:r>
        <w:rPr>
          <w:rFonts w:ascii="Times New Roman" w:hAnsi="Times New Roman" w:cs="B Nazanin"/>
          <w:sz w:val="22"/>
          <w:szCs w:val="28"/>
          <w:rtl w:val="1"/>
        </w:rPr>
        <w:t>برخی از نویسندگان معتقدند که با توجه به شکست حکمرانی جهانی محیط زیست در راهبری اقدامات اقلیمی، سازماندهی مجدد هرج و مرج ناشی از کثرت هنجارهای مختلف و اغلب متناقض ضروری است. آن‌ها استدلال نموده اند که در فرض تصویب پیمان جهانی محیط زیست، شاهد خواهیم بود که پیمان جهانی محیط زیست با قوانین اساسی ملی پیوند برقرار خواهد کرد و با تقویت و تضمین جایگاه اصول در قوانین داخلی و همچنین تسهیل اجرای جهانی آن از طریق تعهدات قابل اجرا، «به عنوان عنصر قطعی تحول قانون اساسی در سراسر جهان ظاهر خواهد شد». باید در نظر داشت که تقلیل جایگاه پیمان جهانی محیط زیست به سندی در عرصه حقوق نرم، مانع چنین کارایی خواهد شد. (Ibid.,42)</w:t>
      </w:r>
    </w:p>
    <w:p>
      <w:pPr>
        <w:pStyle w:val="GPEHeading3"/>
        <w:bidi w:val="1"/>
        <w:spacing w:line="312" w:lineRule="auto" w:before="200" w:after="120"/>
        <w:jc w:val="right"/>
      </w:pPr>
      <w:r>
        <w:rPr>
          <w:rFonts w:ascii="Times New Roman" w:hAnsi="Times New Roman" w:cs="B Nazanin"/>
          <w:sz w:val="24"/>
          <w:szCs w:val="24"/>
          <w:rtl w:val="1"/>
          <w:b/>
          <w:bCs/>
          <w:color w:val="14203a"/>
        </w:rPr>
        <w:t>۲-۳-۱-۳ محیط زیست</w:t>
      </w:r>
    </w:p>
    <w:p>
      <w:pPr>
        <w:bidi w:val="1"/>
        <w:spacing w:line="312" w:lineRule="auto" w:before="0" w:after="120"/>
        <w:ind w:firstLine="454"/>
        <w:jc w:val="both"/>
      </w:pPr>
      <w:r>
        <w:rPr>
          <w:rFonts w:ascii="Times New Roman" w:hAnsi="Times New Roman" w:cs="B Nazanin"/>
          <w:sz w:val="22"/>
          <w:szCs w:val="28"/>
          <w:rtl w:val="1"/>
        </w:rPr>
        <w:t>انتخاب واژه «محیط زیست» به عنوان توصیف‌کننده این پیمان، اگرچه به ظاهر بی‌ضرر می‌رسد، اما از دو جنبه مناقشه برانگیز است. نخست، به عنوان یک مسئله مفهومی و ارزشی در تنظیم مقررات، انتقادات بسیاری به ایده «حفاظت از محیط زیست» وارد می‌شود که به طور سنتی شامل جنبه‌های خاصی مانند حفاظت از حیات وحش، کنترل آلودگی و مدیریت پسماند بوده و اغلب به صورت تصادفی هم این موارد را نادیده می‌گیرند. در کنار تلاش‌های معرفت شناختی که ما را به بازاندیشی در مورد مشکلات "محیط زیستی" به شیوه‌های جامع‌تر، متقابل و کل‌نگر ترغیب می‌کند، استدلال نموده اند که باید اصطلاح «محیط زیست» (و بار معنایی همراه آن از "توسعه پایدار") را کنار گذاشت، زیرا این اصطلاح تاریخچه‌ای پرچالش دارد و قادر نیست از نظر معنایی، مفهومی و معرفتی به نیازهای کنونی پاسخ دهد. (kotze and French,2018,819) برخی از نویسندگان «حقوق سیستم زمین و حاکمیت حقوق اکولوژی» را پیشنهاد می‌دهند. از نظر آن ها، دیدگاه «سیستم زمین» تنها به نگرانی‌های محیطی مربوط نمی‌شود، بلکه به طور گسترده به تمام جنبه‌های سیستم زمین مربوط می‌شود، از جمله جنبه‌های اجتماعی- اکولوژیکی پیچیده زمین که انسان‌ها نیز بخشی از آن هستند. از این رو در عنوان و مفاد آن می‌بایستی رویکرد سیستمی به زمین مشخص باشد. باید در نظر داشت که مفاهیم جدید باید بر شکل، محتوا و هدف حقوق بین الملل محیط زیست و حکمرانی جهانی محیط زیست تاثیر بگذارد. (Ibid,820) به عنوان مثال، گزارش دبیرکل در خصوص هماهنگی با طبیعت مقرر نموده است که «علم سیستم زمین راه را برای حکمرانی سیستم زمین، قوانین مبتنی بر زمین و اقتصاد مبتنی بر زمین هموار نموده است. هر یک از این تغییرات تکاملی، به صورت جداگانه و با هم، مسیر جدیدی را برای ما به منظور تضمین رفاه سیاره و مردمانش نشان می‌دهد.» (A/69/322,2014, p3) دوم، از منظر اخلاقی و رویکرد انسان محور در حقوق بین الملل محیط زیست، اصطلاح «محیط زیست» اصطلاحی است که در سایر اسناد محیط زیستی هم چون اعلامیه‌های استکهلم و ریو، محور اصلی قرار داشت. این در حالی است که هر دو سند در گسترش مراقبت به دنیای غیرانسانی ناموفق بودند. ناگفته نماند که دولت‌ها تمایل بیشتری به حمایت از اسنادی با محتوایی دور از بوم محور</w:t>
      </w:r>
      <w:r>
        <w:rPr>
          <w:rStyle w:val="FootnoteReference"/>
          <w:rtl w:val="1"/>
        </w:rPr>
        <w:footnoteReference w:id="64"/>
      </w:r>
      <w:r>
        <w:rPr>
          <w:rFonts w:ascii="Times New Roman" w:hAnsi="Times New Roman" w:cs="B Nazanin"/>
          <w:sz w:val="22"/>
          <w:szCs w:val="28"/>
          <w:rtl w:val="1"/>
        </w:rPr>
        <w:t xml:space="preserve"> دارند. برخی از نویسندگان معتقدند که استفاده از کلماتی مانند «طبیعت» یا «زمین» که در عنوان «منشور جهانی طبیعت» و «منشور زمین» قرار دارد، حس کاملاً جدی‌تری از تقدس و قرارگیری انسان‌ها به عنوان بخشی از سیستم زمین را به آن‌ها القا می‌کند. چنانچه در عنوان پیش نویس این سند به زمین اشاره می‌شد، طی نمودن مسیر رسیدن به هدف مراقبت از سیستم زمین و حفاظت از یکپارچکی این سیستم هموارتر می‌شد. علاوه بر این، انتظار می‌رود که روندهای سیاسی و دیپلماتیک در هماهنگی با هم جلو بروند تا جایی که مجمع عمومی در اولین قطعنامه در خصوص «هماهنگی با طبیعت»، اذعان به پذیرش چارچوب‌های بوم محور</w:t>
      </w:r>
      <w:r>
        <w:rPr>
          <w:rStyle w:val="FootnoteReference"/>
          <w:rtl w:val="1"/>
        </w:rPr>
        <w:footnoteReference w:id="65"/>
      </w:r>
      <w:r>
        <w:rPr>
          <w:rFonts w:ascii="Times New Roman" w:hAnsi="Times New Roman" w:cs="B Nazanin"/>
          <w:sz w:val="22"/>
          <w:szCs w:val="28"/>
          <w:rtl w:val="1"/>
        </w:rPr>
        <w:t xml:space="preserve"> نموده است. (A/RES/64/196,2010, p.1) از این رو، پیشنهاد «پیمان جهانی برای زمین» یا «پیمان جهانی برای یکپارچکی سیستم زمین» مطرح گردید که حاکی از رویکرد علمی آگاهانه و در عین حال اخلاقی به منظور حل مشکلات اجتماعی- اکولوژیکی و هم چنین مبتنی بر بوم شناسی است و شامل دغدغه‌های انسانی و غیرانسانی می‌شود. (Kotze and French,2018,820) ارزیابی برخی بر این است که پیش نویس پیمان حتی از منظر عنوان نیز باعث ناهماهنگی میان آن چه ارائه می‌شود با آن چه که از منظر سیاسی، علمی و دیپلماتیک مورد نیاز است، می‌گردد. از این منظر هیچ پیشرفت قابل توجهی نسبت به اعلامیه‌های استکهلم و ریو صورت نگرفته است. (Ibid,821) در مقام توجیه می‌توان گفت، از آن جایی که کل ساختار حقوق بین الملل محیط زیست و حکمرانی محیط زیست بر اساس دو عنصر دولت محوری و انسان محوری با توجه به مفهوم توسعه پایدار هدایت می‌شود، به نظر می‌رسد که به کارگیری واژه محیط زیست برای این سند به منظور دوری از جاه طلبی برای دولت و انسان صورت گرفته است.</w:t>
      </w:r>
    </w:p>
    <w:p>
      <w:pPr>
        <w:bidi w:val="1"/>
        <w:spacing w:line="312" w:lineRule="auto" w:before="0" w:after="120"/>
        <w:ind w:firstLine="454"/>
        <w:jc w:val="both"/>
      </w:pPr>
      <w:r>
        <w:rPr>
          <w:rFonts w:ascii="Times New Roman" w:hAnsi="Times New Roman" w:cs="B Nazanin"/>
          <w:sz w:val="22"/>
          <w:szCs w:val="28"/>
          <w:rtl w:val="1"/>
        </w:rPr>
        <w:t>به عنوان تحلیل نهایی بر عنوان «پیمان جهانی محیط زیست» گفته شده است، در حالی که تاثیر مخرب فعالیت‌های انسانی بر محیط زیست به طور گسترده تایید شده است و اقدام در راستای حفاظت از محیط زیست همواره مورد ترغیب و تشویق قرار دارد، به نظر می‌رسد که پیش نویس فعلی پیمان جهانی محیط زیست بنیان محکمی برای استقرار رژیم حقوقی جدید با هدف تغییر پارادایم‌های مورد نیاز را ایجاد نمی‌کند. صرف به کارگیری کلمه جهانی در عنوان پیمان جهانی محیط زیست باعث پایه گذاری اساسیگرایی محیط زیست جهانی با استفاده از هنجارهای متعالی مندرج در آن نمی‌گردد. در حالی که پیمان ممکن است مبین حق بشر به داشتن محیط زیست سالم باشد، اما هم چنان نشانگر آسیب پذیری‌ها و بی عدالتی‌ها در ساختار نهادی اقتصادی – اجتماعی می‌باشد. در حالی که پیمان جهانی محیط زیست برای محیط زیست است، اما عاری از اخلاق طبیعت محوری و مراقبت‌های اجتماعی و اکولوژیکی است. بنابراین هیچ چیز به‌طور چشمگیری متفاوت از آنچه در حال حاضر وجود دارد را نشان نمی‌دهد. لذا، پتانسیل آن به ‌عنوان یک قانون اساسی محیط زیست جهانی به‌طور قطع منتفی است. (Canovas,2020 ,45)</w:t>
      </w:r>
    </w:p>
    <w:p>
      <w:pPr>
        <w:pStyle w:val="GPEHeading3"/>
        <w:bidi w:val="1"/>
        <w:spacing w:line="312" w:lineRule="auto" w:before="200" w:after="120"/>
        <w:jc w:val="right"/>
      </w:pPr>
      <w:r>
        <w:rPr>
          <w:rFonts w:ascii="Times New Roman" w:hAnsi="Times New Roman" w:cs="B Nazanin"/>
          <w:sz w:val="24"/>
          <w:szCs w:val="24"/>
          <w:rtl w:val="1"/>
          <w:b/>
          <w:bCs/>
          <w:color w:val="14203a"/>
        </w:rPr>
        <w:t>۲-۳-۲ موافقت نامه‌های چندجانبه محیط زیستی</w:t>
      </w:r>
    </w:p>
    <w:p>
      <w:pPr>
        <w:bidi w:val="1"/>
        <w:spacing w:line="312" w:lineRule="auto" w:before="0" w:after="120"/>
        <w:ind w:firstLine="454"/>
        <w:jc w:val="both"/>
      </w:pPr>
      <w:r>
        <w:rPr>
          <w:rFonts w:ascii="Times New Roman" w:hAnsi="Times New Roman" w:cs="B Nazanin"/>
          <w:sz w:val="22"/>
          <w:szCs w:val="28"/>
          <w:rtl w:val="1"/>
        </w:rPr>
        <w:t>موافقت نامه‌های چندجانبه محیط زیستی، معاهدات یا توافق نامه هایی هستند که میان چندین دولت مذاکره و شکل گرفته اند و به یک موضوع یا چالش خاص محیط زیستی می‌پردازند و از این رو بخشی</w:t>
      </w:r>
      <w:r>
        <w:rPr>
          <w:rStyle w:val="FootnoteReference"/>
          <w:rtl w:val="1"/>
        </w:rPr>
        <w:footnoteReference w:id="66"/>
      </w:r>
      <w:r>
        <w:rPr>
          <w:rFonts w:ascii="Times New Roman" w:hAnsi="Times New Roman" w:cs="B Nazanin"/>
          <w:sz w:val="22"/>
          <w:szCs w:val="28"/>
          <w:rtl w:val="1"/>
        </w:rPr>
        <w:t xml:space="preserve"> محسوب می‌شوند. این‌ها اسنادی الزام آورند که برای دولت‌ها تعهد حقوقی ایجاد می‌کنند. موافقت نامه‌های چندجانبه محیط زیستی تحت الشمول حقوق بین الملل معاهدات از منظر شکل گیری، تفسیر، فسخ و... قرار دارند. تعریف کلی از معاهده همان است که در ماده (1)2 کنوانسیون حقوق معاهدات مصوب 1969 بدین شرح مقرر شده است: «معاهده عبارت است از یک توافق بین المللی که بین کشورها به صورت کتبی منعقد شده و مشمول حقوق بین الملل باشد، صرف نظر از عنوان خاص آن و اعم از اینکه در سندی واحد یا در دو یا چند سند مرتبط به هم منعکس شده باشد.»</w:t>
      </w:r>
    </w:p>
    <w:p>
      <w:pPr>
        <w:bidi w:val="1"/>
        <w:spacing w:line="312" w:lineRule="auto" w:before="0" w:after="120"/>
        <w:ind w:firstLine="454"/>
        <w:jc w:val="both"/>
      </w:pPr>
      <w:r>
        <w:rPr>
          <w:rFonts w:ascii="Times New Roman" w:hAnsi="Times New Roman" w:cs="B Nazanin"/>
          <w:sz w:val="22"/>
          <w:szCs w:val="28"/>
          <w:rtl w:val="1"/>
        </w:rPr>
        <w:t xml:space="preserve">اصطلاحات مختلفی برای نام گذاری آن‌ها به کار می‌رود: توافق نامه، کنوانسیون، منشور، میثاق، پروتکل، معاهده، چارچوب، پیمان و.... در حقوق بین الملل محیط زیست، از واژه کنوانسیون بیشتر استفاده می‌شود، مثل کنوانسیون تالاب ها، تنوع زیستی، بیابانزدایی، جیوه، تغییر اقلیم و....یکی از محورهای اساسی توافق کشورها در مذاکرات شکل گیری اسناد، همانا توافق بر سر عنوان و قصدشان بر نامگذاری سند می‌باشد. قابل توجه است که اصطلاحات استفاده شده برای تعیین وضعیت حقوقی بین المللی یک سند تعیین کننده نیست. برای اینکه یک توافق نامه از نظر حقوق بین الملل الزام آور باشد، باید قصد روشنی از سوی کشورهایی که سند را مذاکره و تدوین می‌کنند، وجود داشته باشد تا به آن از نظر حقوقی ملزم شوند. تمایل به التزام حقوقی معمولاً به این صورت نشان داده می‌شود که یک سند بین المللی شامل مقرراتی در خصوص امضا، تصویب، پذیرش یا الحاق باشد. علاوه بر این اسناد الزام آور شامل مقرراتی در خصوص لازم الاجرا شدن و تودیع اسناد تصویب هستند. (UNEP handbook,2024,p.33) اغلب موافقت نامه‌های چندجانبه محیط زیستی ساختار و عناصر بالقوه مشابهی دارند، آن چه مهم می‌نماید اهداف، تعهدات اصلی و اقدامات کنترلی </w:t>
      </w:r>
      <w:r>
        <w:rPr>
          <w:rStyle w:val="FootnoteReference"/>
          <w:rtl w:val="1"/>
        </w:rPr>
        <w:footnoteReference w:id="67"/>
      </w:r>
      <w:r>
        <w:rPr>
          <w:rFonts w:ascii="Times New Roman" w:hAnsi="Times New Roman" w:cs="B Nazanin"/>
          <w:sz w:val="22"/>
          <w:szCs w:val="28"/>
          <w:rtl w:val="1"/>
        </w:rPr>
        <w:t xml:space="preserve"> می‌باشد که خاص هر موضوعی خواهد بود. منظور از اقدامات کنترلی، مفادی از معاهده است که به طور خاص قصد پیشگیری، به حداقل رساندن یا جبران مشکلی را دارد که منجر به تدوین و تصویب آن معاهده گردیده است. گزینه‌های احتمالی برای شکل گیری موافقت نامه چندجانبه محیط زیستی به شرح زیر می‌باشند:</w:t>
      </w:r>
    </w:p>
    <w:p>
      <w:pPr>
        <w:bidi w:val="1"/>
        <w:spacing w:line="312" w:lineRule="auto" w:before="0" w:after="120"/>
        <w:ind w:firstLine="454"/>
        <w:jc w:val="both"/>
      </w:pPr>
      <w:r>
        <w:rPr>
          <w:rFonts w:ascii="Times New Roman" w:hAnsi="Times New Roman" w:cs="B Nazanin"/>
          <w:sz w:val="22"/>
          <w:szCs w:val="28"/>
          <w:rtl w:val="1"/>
        </w:rPr>
        <w:t>1.کنوانسیون چندجانبه و خاص</w:t>
      </w:r>
      <w:r>
        <w:rPr>
          <w:rStyle w:val="FootnoteReference"/>
          <w:rtl w:val="1"/>
        </w:rPr>
        <w:footnoteReference w:id="68"/>
      </w:r>
      <w:r>
        <w:rPr>
          <w:rFonts w:ascii="Times New Roman" w:hAnsi="Times New Roman" w:cs="B Nazanin"/>
          <w:sz w:val="22"/>
          <w:szCs w:val="28"/>
          <w:rtl w:val="1"/>
        </w:rPr>
        <w:t>، کنوانسیونی الزام آور با شمول طیف وسیعی از موضوعات مرتبط، با ماهیت تنظیم گری، تنظیم قواعد خاص و ایجاد تعهد مشخص و الزامی، دارای سازوکار گزارش دهی و تبادل اطلاعات، مکانیزم نظارتی، سازوکار حل و فصل اختلاف است. تعهدات اصلی و برخی اقدامات کنترلی در بدنه کنوانسیون ظاهر می‌شوند و ممکن است با اقدامات کنترلی اضافی، مانند اطلاعات فنی و جزئیات اساسی موجود در یک یا چند ضمیمه، تکمیل یا تشریح شوند که بخشی جدایی‌ناپذیر از سند محسوب می‌شوند. کنوانسیون از جمله ضمایم آن به عنوان یک سند واحد حقوقی لحاظ میگردد. ضمائم ممکن است بعد از تصویب و لازم الاجرا شدن کنوانسیون بازبینی گردد و ضمائم جدیدی نیز بعداً پذیرفته شود. به عنوان مثال می‌توان به «کنوانسیون استکهلم در مورد آلاینده‌های آلی پایدار»</w:t>
      </w:r>
      <w:r>
        <w:rPr>
          <w:rStyle w:val="FootnoteReference"/>
          <w:rtl w:val="1"/>
        </w:rPr>
        <w:footnoteReference w:id="69"/>
      </w:r>
      <w:r>
        <w:rPr>
          <w:rFonts w:ascii="Times New Roman" w:hAnsi="Times New Roman" w:cs="B Nazanin"/>
          <w:sz w:val="22"/>
          <w:szCs w:val="28"/>
          <w:rtl w:val="1"/>
        </w:rPr>
        <w:t xml:space="preserve"> و «کنوانسیون میناماتا در مورد جیوه»</w:t>
      </w:r>
      <w:r>
        <w:rPr>
          <w:rStyle w:val="FootnoteReference"/>
          <w:rtl w:val="1"/>
        </w:rPr>
        <w:footnoteReference w:id="70"/>
      </w:r>
      <w:r>
        <w:rPr>
          <w:rFonts w:ascii="Times New Roman" w:hAnsi="Times New Roman" w:cs="B Nazanin"/>
          <w:sz w:val="22"/>
          <w:szCs w:val="28"/>
          <w:rtl w:val="1"/>
        </w:rPr>
        <w:t xml:space="preserve"> اشاره نمود. (Ibid,p.34)</w:t>
      </w:r>
    </w:p>
    <w:p>
      <w:pPr>
        <w:bidi w:val="1"/>
        <w:spacing w:line="312" w:lineRule="auto" w:before="0" w:after="120"/>
        <w:ind w:firstLine="454"/>
        <w:jc w:val="both"/>
      </w:pPr>
      <w:r>
        <w:rPr>
          <w:rFonts w:ascii="Times New Roman" w:hAnsi="Times New Roman" w:cs="B Nazanin"/>
          <w:sz w:val="22"/>
          <w:szCs w:val="28"/>
          <w:rtl w:val="1"/>
        </w:rPr>
        <w:t>2. کنوانسیون چارچوبی</w:t>
      </w:r>
      <w:r>
        <w:rPr>
          <w:rStyle w:val="FootnoteReference"/>
          <w:rtl w:val="1"/>
        </w:rPr>
        <w:footnoteReference w:id="71"/>
      </w:r>
      <w:r>
        <w:rPr>
          <w:rFonts w:ascii="Times New Roman" w:hAnsi="Times New Roman" w:cs="B Nazanin"/>
          <w:sz w:val="22"/>
          <w:szCs w:val="28"/>
          <w:rtl w:val="1"/>
        </w:rPr>
        <w:t>، سند چندجانبه الزام آور با ماهیت سازنده، در مقام ایجاد سیستم کلی در خصوص حکمرانی بین المللی، بیانگر اصول اساسی همکاری‌های بین المللی در آینده از جمله اهداف، اصول کلیدی همکاری و ساختار حاکمیت همان چارچوب همکاری می‌باشد. پروتکل‌های الحاقی به کنوانسیون چارچوبی دارای ماهیت نظارتی و تعهدات جزئی تری هستند که از جنس کنوانسیون‌های خاص می‌باشند. امکان مذاکره هم زمان پروتکل‌ها با کنوانسیون چارچوبی و مذاکره متاخر آن‌ها وجود دارد. در این نوع سند، برخی یا همه اقدامات کنترلی در یک یا چندین سند مجزا در قالب پروتکل ظاهر می‌شود. کنوانسیون چارچوبی و پروتکل هایش از منظر حقوقی اسنادی جدا از هم تلقی می‌شوند که معمولاً نیز در کنفرانس‌های جداگانه پذیرفته می‌شوند. هر یک از این اسناد از نظر حقوقی اسناد جدا و مستقلی هستند. در این نوع سند، اعضای کنوانسیون چارچوبی الزامی به تصویب و الحاق و پذیرش پروتکل‌های الحاقی به کنوانسیون چارچوبی را ندارند. گاهی نیز ممکن است عنوان «کنوانسیون چارچوبی» در اسم کامل سند درج نشده باشد اما با تحلیل محتوای تعهدات و اقدامات کنترلی می‌توان به نوع آن پی برد. ویژگی قابل توجه کنوانسیون چارچوبی رویکرد تدریجی و گام به گام آن است. موفقیت کنوانسیون چارچوبی بسته به تداوم تمایل اعضای کنوانسیون اصلی به پذیرش پروتکل‌های متعاقب آن است. به عنوان مثال می‌توان به «کنوانسیون چارچوبی سازمان ملل در خصوص تغییر اقلیم و پروتکل کیوتو و موافقت نامه پاریس 2015»</w:t>
      </w:r>
      <w:r>
        <w:rPr>
          <w:rStyle w:val="FootnoteReference"/>
          <w:rtl w:val="1"/>
        </w:rPr>
        <w:footnoteReference w:id="72"/>
      </w:r>
      <w:r>
        <w:rPr>
          <w:rFonts w:ascii="Times New Roman" w:hAnsi="Times New Roman" w:cs="B Nazanin"/>
          <w:sz w:val="22"/>
          <w:szCs w:val="28"/>
          <w:rtl w:val="1"/>
        </w:rPr>
        <w:t xml:space="preserve"> و هم چنین «کنوانسیون وین برای حفاظت از لایه اوزن و پروتکل مونترال در خصوص مواد کاهنده لایه اوزن و اصلاحیههای آن»</w:t>
      </w:r>
      <w:r>
        <w:rPr>
          <w:rStyle w:val="FootnoteReference"/>
          <w:rtl w:val="1"/>
        </w:rPr>
        <w:footnoteReference w:id="73"/>
      </w:r>
      <w:r>
        <w:rPr>
          <w:rFonts w:ascii="Times New Roman" w:hAnsi="Times New Roman" w:cs="B Nazanin"/>
          <w:sz w:val="22"/>
          <w:szCs w:val="28"/>
          <w:rtl w:val="1"/>
        </w:rPr>
        <w:t xml:space="preserve"> اشاره نمود. (UNEP/PP/INC.1/4, P1-8)</w:t>
      </w:r>
    </w:p>
    <w:p>
      <w:pPr>
        <w:bidi w:val="1"/>
        <w:spacing w:line="312" w:lineRule="auto" w:before="0" w:after="120"/>
        <w:ind w:firstLine="454"/>
        <w:jc w:val="both"/>
      </w:pPr>
      <w:r>
        <w:rPr>
          <w:rFonts w:ascii="Times New Roman" w:hAnsi="Times New Roman" w:cs="B Nazanin"/>
          <w:sz w:val="22"/>
          <w:szCs w:val="28"/>
          <w:rtl w:val="1"/>
        </w:rPr>
        <w:t>3.چارچوب برای همکاری بین المللی</w:t>
      </w:r>
      <w:r>
        <w:rPr>
          <w:rStyle w:val="FootnoteReference"/>
          <w:rtl w:val="1"/>
        </w:rPr>
        <w:footnoteReference w:id="74"/>
      </w:r>
      <w:r>
        <w:rPr>
          <w:rFonts w:ascii="Times New Roman" w:hAnsi="Times New Roman" w:cs="B Nazanin"/>
          <w:sz w:val="22"/>
          <w:szCs w:val="28"/>
          <w:rtl w:val="1"/>
        </w:rPr>
        <w:t>، چنین سندی در مقام تدوین دستورکار چندجانبه غیرالزام آور برای اقدامات هماهنگ در سطوح مختلف به منظور بهبود هنجارها و ظرفیت ها، ایجاد اصول و مدالیته‌های همکاری بین المللی و هم چنین فقدان تعهدات حقوقی می‌باشد. مثال آن را می‌توان «چارچوب سندای برای کاهش ریسک بلایا در بازه زمانی 2015 لغایت 2030»</w:t>
      </w:r>
      <w:r>
        <w:rPr>
          <w:rStyle w:val="FootnoteReference"/>
          <w:rtl w:val="1"/>
        </w:rPr>
        <w:footnoteReference w:id="75"/>
      </w:r>
      <w:r>
        <w:rPr>
          <w:rFonts w:ascii="Times New Roman" w:hAnsi="Times New Roman" w:cs="B Nazanin"/>
          <w:sz w:val="22"/>
          <w:szCs w:val="28"/>
          <w:rtl w:val="1"/>
        </w:rPr>
        <w:t xml:space="preserve"> معرفی کرد. (منبع الزامی است)</w:t>
      </w:r>
    </w:p>
    <w:p>
      <w:pPr>
        <w:pStyle w:val="GPEHeading3"/>
        <w:bidi w:val="1"/>
        <w:spacing w:line="312" w:lineRule="auto" w:before="200" w:after="120"/>
        <w:jc w:val="right"/>
      </w:pPr>
      <w:r>
        <w:rPr>
          <w:rFonts w:ascii="Times New Roman" w:hAnsi="Times New Roman" w:cs="B Nazanin"/>
          <w:sz w:val="24"/>
          <w:szCs w:val="24"/>
          <w:rtl w:val="1"/>
          <w:b/>
          <w:bCs/>
          <w:color w:val="14203a"/>
        </w:rPr>
        <w:t>۲-۳-۳ الزام آوری</w:t>
      </w:r>
    </w:p>
    <w:p>
      <w:pPr>
        <w:bidi w:val="1"/>
        <w:spacing w:line="312" w:lineRule="auto" w:before="0" w:after="120"/>
        <w:ind w:firstLine="454"/>
        <w:jc w:val="both"/>
      </w:pPr>
      <w:r>
        <w:rPr>
          <w:rFonts w:ascii="Times New Roman" w:hAnsi="Times New Roman" w:cs="B Nazanin"/>
          <w:sz w:val="22"/>
          <w:szCs w:val="28"/>
          <w:rtl w:val="1"/>
        </w:rPr>
        <w:t>تعهدات مندرج در یک موافقت نامه چندجانبه محیط زیستی خاص فقط برای کشورهایی که طرف موافقت نامه مورد نظر هستند، الزام آور است. هنگامی که یک کشور عضو موافقت نامه چندجانبه محیط زیستی شد، به طور رسمی در قبال جامعه بین المللی و دیگر کشورها به تعهدات مندرج در سند، متعهد می‌گردد و انتظار می‌رود که قوانین و سیاست‌های ملی خود را به گونه ای توسعه دهد که به آن اجازه دهد تعهدات خودش را به موجب آن موافقت نامه با حسن نیت اجرا و مطابقت دهد. ویژگی الزام‌آوری موافقت‌نامه‌های چندجانبه محیط زیستی، نهادینه‌سازی تعهدات کشورها نسبت به حفاظت از محیط زیست و توسعه پایدار را تسهیل می‌کند. این تعهدات نه تنها به مسئولیت‌پذیری کشورها کمک می‌کند، بلکه زمینه‌ساز همکاری‌های بین‌المللی مؤثر در مقابل چالش‌های جهانی محیط زیست می‌شود. همانطور که پیشتر عنوان شد، برای شکل گیری یک توافق به موجب حقوق بین الملل و به شکل الزام آور، دولت‌ها باید به صورت صریح اراده و قصد خود را اعلام نمایند. در مواردی که دولت‌ها به دنبال تعهدات الزام آوری باشند، مقرره‌های مندرج در متن باید با استفاده از اصطلاحات اجباری مانند shall و must نگارش گردد. (UNEP handbook,2024,p.34)</w:t>
      </w:r>
    </w:p>
    <w:p>
      <w:pPr>
        <w:pStyle w:val="GPEHeading3"/>
        <w:bidi w:val="1"/>
        <w:spacing w:line="312" w:lineRule="auto" w:before="200" w:after="120"/>
        <w:jc w:val="right"/>
      </w:pPr>
      <w:r>
        <w:rPr>
          <w:rFonts w:ascii="Times New Roman" w:hAnsi="Times New Roman" w:cs="B Nazanin"/>
          <w:sz w:val="24"/>
          <w:szCs w:val="24"/>
          <w:rtl w:val="1"/>
          <w:b/>
          <w:bCs/>
          <w:color w:val="14203a"/>
        </w:rPr>
        <w:t>۲-۳-۴ حقوق نرم و سخت</w:t>
      </w:r>
    </w:p>
    <w:p>
      <w:pPr>
        <w:bidi w:val="1"/>
        <w:spacing w:line="312" w:lineRule="auto" w:before="0" w:after="120"/>
        <w:ind w:firstLine="454"/>
        <w:jc w:val="both"/>
      </w:pPr>
      <w:r>
        <w:rPr>
          <w:rFonts w:ascii="Times New Roman" w:hAnsi="Times New Roman" w:cs="B Nazanin"/>
          <w:sz w:val="22"/>
          <w:szCs w:val="28"/>
          <w:rtl w:val="1"/>
        </w:rPr>
        <w:t>در حقوق بین الملل محیط زیست و به طور کلی حقوق بین الملل، اصطلاحات حقوق سخت</w:t>
      </w:r>
      <w:r>
        <w:rPr>
          <w:rStyle w:val="FootnoteReference"/>
          <w:rtl w:val="1"/>
        </w:rPr>
        <w:footnoteReference w:id="76"/>
      </w:r>
      <w:r>
        <w:rPr>
          <w:rFonts w:ascii="Times New Roman" w:hAnsi="Times New Roman" w:cs="B Nazanin"/>
          <w:sz w:val="22"/>
          <w:szCs w:val="28"/>
          <w:rtl w:val="1"/>
        </w:rPr>
        <w:t xml:space="preserve"> و حقوق نرم</w:t>
      </w:r>
      <w:r>
        <w:rPr>
          <w:rStyle w:val="FootnoteReference"/>
          <w:rtl w:val="1"/>
        </w:rPr>
        <w:footnoteReference w:id="77"/>
      </w:r>
      <w:r>
        <w:rPr>
          <w:rFonts w:ascii="Times New Roman" w:hAnsi="Times New Roman" w:cs="B Nazanin"/>
          <w:sz w:val="22"/>
          <w:szCs w:val="28"/>
          <w:rtl w:val="1"/>
        </w:rPr>
        <w:t xml:space="preserve"> به کار می‌رود. حقوق سخت، به تعهداتی اطلاق می‌شود که به موجب حقوق بین الملل الزام آور هستند. لذا، برای توصیف ماهیت الزام آوری موافقت نامه‌ها یا مقرره‌های مختلف به کار می‌رود. این تعهدات در معاهدات، موافقت نامه ها، کنوانسیون‌ها و پروتکل‌های بین المللی درج می‌شوند. به عنوان یک قاعده کلی، مقرره‌های معاهده بر تمام اعضای آن سند الزام آور است، مگر اینکه یکی از طرف‌ها نسبت به آن حق شرط اعمال کرده باشد. خاطر نشان می‌گردد، اکثر موافقت نامه‌های چندجانبه محیط زیستی اعمال حق شرط را ممنوع نموده اند. ماده (1) 38 اساسنامه دیوان بین المللی دادگستری نقش مهمی در تعیین منابع الزام آور حقوق بین الملل از طریق تعریف فهرست منابع حقوق بین الملل که دیوان هنگام حل و فصل پرونده‌های ارجاعی باید در نظر بگیرد، ایفا می‌کند. این فهرست شامل 3 منبع اصلی معاهدات، حقوق بین الملل عرفی و اصول کلی حقوق است. البته این فهرست جامع نیست. حسب رویه دیوان بین المللی دادگستری، برخی اعلامیههای یک جانبه دولت‌ها نیز از منابع الزام آور حقوق بین الملل به حساب می‌آیند. با این اوصاف، توجه به این نکته مهم است که در حالی که موافقت نامه‌های چندجانبه محیط زیستی جزء اسناد حقوق سخت هستند، اما می‌توانند هنجارهای نرم با ترکیبی از تعهدات و رویکردهای داوطلبانه را شامل شوند. این امر باعث انعطاف پذیری بیشتر سند در قبال اعضا می‌گردد. این موضوع نیز خود به دلیل تشتت آراء مذاکره کنندگان بر سر درج تعهدی خاص و به طور هم زمان تلاش برای دستیابی به اجماع به وقوع می‌پیوندد.</w:t>
      </w:r>
    </w:p>
    <w:p>
      <w:pPr>
        <w:bidi w:val="1"/>
        <w:spacing w:line="312" w:lineRule="auto" w:before="0" w:after="120"/>
        <w:ind w:firstLine="454"/>
        <w:jc w:val="both"/>
      </w:pPr>
      <w:r>
        <w:rPr>
          <w:rFonts w:ascii="Times New Roman" w:hAnsi="Times New Roman" w:cs="B Nazanin"/>
          <w:sz w:val="22"/>
          <w:szCs w:val="28"/>
          <w:rtl w:val="1"/>
        </w:rPr>
        <w:t>در خصوص اجرای موافقت نامه‌های چندجانبه محیط زیستی در قالب حقوق سخت، مکانیسم‌های اجرای آن‌ها عموماً ماهیت تسهیلگرانه دارد، نه اجباری و تنبیهی. این رویکرد نرم در قبال اجرای موافقت نامه‌های چندجانبه محیط زیستی به منظور تشویق مشارکت گسترده‌تر و اقدام جمعی، به ویژه در خصوص کنوانسیون‌های چارچوبی، به کار می‌رود؛ چرا که هدف اساسی این اسناد فراهم سازی بستر فراگیری برای گفتگو و تصمیم گیری است. (UNEP handbook,2024,p.36)</w:t>
      </w:r>
    </w:p>
    <w:p>
      <w:pPr>
        <w:bidi w:val="1"/>
        <w:spacing w:line="312" w:lineRule="auto" w:before="0" w:after="120"/>
        <w:ind w:firstLine="454"/>
        <w:jc w:val="both"/>
      </w:pPr>
      <w:r>
        <w:rPr>
          <w:rFonts w:ascii="Times New Roman" w:hAnsi="Times New Roman" w:cs="B Nazanin"/>
          <w:sz w:val="22"/>
          <w:szCs w:val="28"/>
          <w:rtl w:val="1"/>
        </w:rPr>
        <w:t>در این میان، حقوق نرم را می‌توان به عنوان دسته ای از هنجارها، اصول، موافقت نامه‌ها و رویه‌های بین المللی توصیف کرد که فاقد ماهیت الزام آوری هستند. اسنادی که معمولاً به عنوان حقوق نرم لحاظ می‌شوند شامل اغلب قطعنامه‌های سازمان‌های بین المللی، اعلامیه کنفرانس‌های بین المللی، رفتارنامه‌های داوطلبانه و هم چنین تصمیم‌های ارکان حاکم در کنفرانس اعضای موافقت نامه‌های چندجانبه محیط زیستی می‌باشند. در حالی که حقوق نرم تعهدات الزام آوری برای دولت‌ها ایجاد نمی‌کند، اما هم چنان می‌تواند تاثیرات هنجاری و عملی در حقوق بین الملل داشته باشد. دیوان بین المللی دادگستری در رویه قضایی خود نشان داده است که اسناد حقوق نرم می‌توانند آثار حقوقی داشته باشند. برای مثال ممکن است در تفسیر معاهده به روشن شدن قصد اعضا کمک نماید. اسناد حقوق نرم هم چنین می‌توانند شاهدی بر وجود حقوق بین الملل عرفی از نظر رویه دولت و باور حقوقی باشند. (Ibid,p.37-38)</w:t>
      </w:r>
    </w:p>
    <w:p>
      <w:pPr>
        <w:bidi w:val="1"/>
        <w:spacing w:line="312" w:lineRule="auto" w:before="0" w:after="120"/>
        <w:ind w:firstLine="454"/>
        <w:jc w:val="both"/>
      </w:pPr>
      <w:r>
        <w:rPr>
          <w:rFonts w:ascii="Times New Roman" w:hAnsi="Times New Roman" w:cs="B Nazanin"/>
          <w:sz w:val="22"/>
          <w:szCs w:val="28"/>
          <w:rtl w:val="1"/>
        </w:rPr>
        <w:t>در مقام تحلیل ماهیت حقوق نرم و تاثیر حقوق نرم می‌توان گقت این موضوع، موضوعی پیچیده و در حال تحول در حقوق بین الملل و هم چنان موضوع بحث محققان حقوق بین الملل است. در عرصه حقوق بین الملل محیط زیست، حقوق نرم نقش مهمی در توسعه آن داشته است. به عنوان مثال، اسناد غیرالزام آوری نظیر اعلامیه استکهلم و اعلامیه ریو تاثیر عمیقی بر توسعه حقوق بین الملل محیط زیست داشته اند. آن‌ها شامل هنجارهایی هستند که متعاقباً به هنجارهای حقوق بین الملل عرفی تبدیل شده اند. از این رو، اسناد و هنجارهای حقوق نرم می‌توانند در حوزه حقوق بین الملل محیط زیست بسیار تاثیرگذار باشند. آن‌ها می‌توانند به عنوان کاتالیزوری برای توسعه هنجارهای الزام آور عمل کنند. چراکه دستیابی به توافق بر سر یک سند حقوق نرم برای کشورها آسان‌تر از حقوق سخت است. حقوق نرم بستری را برای کشورها فراهم می‌کند تا در مورد اهداف و اصول مشترک مرتبط با حفاظت از محیط زیست و پایداری به توافق برسند. اسناد حقوق نرم می‌توانند روند ایجاد اجماع بین کشورها را تسهیل کنند و به رفع خلاءهای موجود در مذاکرات و ایجاد درک مشترکی از چالش‌های محیط زیستی کمک کند. بنابراین، حقوق نرم می‌تواند به عنوان نقطه شروعی برای مذاکرات رسمی حقوق سخت عمل نماید. به همین دلیل نیز اغلب اسناد حقوق نرم با دقت خاصی مذاکره می‌شوند.</w:t>
      </w:r>
    </w:p>
    <w:p>
      <w:pPr>
        <w:pStyle w:val="GPEHeading3"/>
        <w:bidi w:val="1"/>
        <w:spacing w:line="312" w:lineRule="auto" w:before="200" w:after="120"/>
        <w:jc w:val="right"/>
      </w:pPr>
      <w:r>
        <w:rPr>
          <w:rFonts w:ascii="Times New Roman" w:hAnsi="Times New Roman" w:cs="B Nazanin"/>
          <w:sz w:val="24"/>
          <w:szCs w:val="24"/>
          <w:rtl w:val="1"/>
          <w:b/>
          <w:bCs/>
          <w:color w:val="14203a"/>
        </w:rPr>
        <w:t>۲-۳-۵ آینده پژوهی</w:t>
      </w:r>
    </w:p>
    <w:p>
      <w:pPr>
        <w:bidi w:val="1"/>
        <w:spacing w:line="312" w:lineRule="auto" w:before="0" w:after="120"/>
        <w:ind w:firstLine="454"/>
        <w:jc w:val="both"/>
      </w:pPr>
      <w:r>
        <w:rPr>
          <w:rFonts w:ascii="Times New Roman" w:hAnsi="Times New Roman" w:cs="B Nazanin"/>
          <w:sz w:val="22"/>
          <w:szCs w:val="28"/>
          <w:rtl w:val="1"/>
        </w:rPr>
        <w:t xml:space="preserve">آینده پژوهی </w:t>
      </w:r>
      <w:r>
        <w:rPr>
          <w:rStyle w:val="FootnoteReference"/>
          <w:rtl w:val="1"/>
        </w:rPr>
        <w:footnoteReference w:id="78"/>
      </w:r>
      <w:r>
        <w:rPr>
          <w:rFonts w:ascii="Times New Roman" w:hAnsi="Times New Roman" w:cs="B Nazanin"/>
          <w:sz w:val="22"/>
          <w:szCs w:val="28"/>
          <w:rtl w:val="1"/>
        </w:rPr>
        <w:t xml:space="preserve"> مجموعه تلاش ‌هایی است که با استفاده از تجزیه و تحلیل منابع، الگو‌ها و روندها به پیش بینی آینده‌های بالقوه و برنامه ریزی برای آن‌ها می‌پردازد. کلمه جمع «آینده ها» در این اصطلاح به این دلیل استفاده شده‌ است که با بهره گیری از طیف وسیعی از متدلوژی‌ها و به جای تصور «فقط یک آینده»، به گمانه زنی‌های سیستماتیک در مورد «چندین آینده متصور» مبادرت می‌شود. آینده پژوهی پیش بینی علمی آینده یا هنر شکل دادن به آینده و شکل بخشیدن به قدرت‏‌های سیاسی، نظامی، اقتصادی، اجتماعی، فرهنگی و... می‏ باشد. آینده پژوهی بدون مطالعه وضعیت موجود و پی بردن به ایرادات و کمبودها و نواقص آن وضعیت و نقد آن ممکن نیست. تا حدود زیادی آینده متأثر از افعال و اعمال انسان امروز است. در آینده ‏پژوهی پژوهشگر به مطالعه نظام‏ مند آینده‏‌های ممکن، محتمل و مرجح (مطلوب) و دیدگاه‏‌ها و جهان‏بینی‏‌ها و اسطوره‏‌های بنیادین هر آینده می‌پردازد. انواع آینده از منظر آینده پژوهی عبارتند از:</w:t>
      </w:r>
    </w:p>
    <w:p>
      <w:pPr>
        <w:bidi w:val="1"/>
        <w:spacing w:line="312" w:lineRule="auto" w:before="0" w:after="120"/>
        <w:ind w:firstLine="454"/>
        <w:jc w:val="both"/>
      </w:pPr>
      <w:r>
        <w:rPr>
          <w:rFonts w:ascii="Times New Roman" w:hAnsi="Times New Roman" w:cs="B Nazanin"/>
          <w:sz w:val="22"/>
          <w:szCs w:val="28"/>
          <w:rtl w:val="1"/>
        </w:rPr>
        <w:t>آينده هاي ممكن</w:t>
      </w:r>
      <w:r>
        <w:rPr>
          <w:rStyle w:val="FootnoteReference"/>
          <w:rtl w:val="1"/>
        </w:rPr>
        <w:footnoteReference w:id="79"/>
      </w:r>
      <w:r>
        <w:rPr>
          <w:rFonts w:ascii="Times New Roman" w:hAnsi="Times New Roman" w:cs="B Nazanin"/>
          <w:sz w:val="22"/>
          <w:szCs w:val="28"/>
          <w:rtl w:val="1"/>
        </w:rPr>
        <w:t>: تمام آينده هايي كه مي تواند محقق شود و درک تمامی آن‌ها متناقض با علم و دانش فعلي بشر است. به عبارت دیگر، در نظر گرفتن کلیه رویدادها اعم از بد، خوب، محتمل و یا ضعیف الامکان که می‌تواند در آینده اتفاق بیفتد؛</w:t>
      </w:r>
    </w:p>
    <w:p>
      <w:pPr>
        <w:bidi w:val="1"/>
        <w:spacing w:line="312" w:lineRule="auto" w:before="0" w:after="120"/>
        <w:ind w:firstLine="454"/>
        <w:jc w:val="both"/>
      </w:pPr>
      <w:r>
        <w:rPr>
          <w:rFonts w:ascii="Times New Roman" w:hAnsi="Times New Roman" w:cs="B Nazanin"/>
          <w:sz w:val="22"/>
          <w:szCs w:val="28"/>
          <w:rtl w:val="1"/>
        </w:rPr>
        <w:t>آينده هاي باوركردني</w:t>
      </w:r>
      <w:r>
        <w:rPr>
          <w:rStyle w:val="FootnoteReference"/>
          <w:rtl w:val="1"/>
        </w:rPr>
        <w:footnoteReference w:id="80"/>
      </w:r>
      <w:r>
        <w:rPr>
          <w:rFonts w:ascii="Times New Roman" w:hAnsi="Times New Roman" w:cs="B Nazanin"/>
          <w:sz w:val="22"/>
          <w:szCs w:val="28"/>
          <w:rtl w:val="1"/>
        </w:rPr>
        <w:t>، با باورهاي انسان سازگارند و منطبق با اصول و دانش امروزي ما هستند؛</w:t>
      </w:r>
    </w:p>
    <w:p>
      <w:pPr>
        <w:bidi w:val="1"/>
        <w:spacing w:line="312" w:lineRule="auto" w:before="0" w:after="120"/>
        <w:ind w:firstLine="454"/>
        <w:jc w:val="both"/>
      </w:pPr>
      <w:r>
        <w:rPr>
          <w:rFonts w:ascii="Times New Roman" w:hAnsi="Times New Roman" w:cs="B Nazanin"/>
          <w:sz w:val="22"/>
          <w:szCs w:val="28"/>
          <w:rtl w:val="1"/>
        </w:rPr>
        <w:t>آيندههاي محتمل</w:t>
      </w:r>
      <w:r>
        <w:rPr>
          <w:rStyle w:val="FootnoteReference"/>
          <w:rtl w:val="1"/>
        </w:rPr>
        <w:footnoteReference w:id="81"/>
      </w:r>
      <w:r>
        <w:rPr>
          <w:rFonts w:ascii="Times New Roman" w:hAnsi="Times New Roman" w:cs="B Nazanin"/>
          <w:sz w:val="22"/>
          <w:szCs w:val="28"/>
          <w:rtl w:val="1"/>
        </w:rPr>
        <w:t xml:space="preserve"> روند محور هستند. بنابراین احتمال وقوع آن‌ها همواره وجود دارد. به عبارت دیگر، در نظر گرفتن رویدادهایی که بیشترین احتمال را برای وقوع در آینده دارند. این رویدادها میتوانند به صورت بسط روندهای گذشته در آینده به طرق مختلف در نظر گرفته شوند؛</w:t>
      </w:r>
    </w:p>
    <w:p>
      <w:pPr>
        <w:bidi w:val="1"/>
        <w:spacing w:line="312" w:lineRule="auto" w:before="0" w:after="120"/>
        <w:ind w:firstLine="454"/>
        <w:jc w:val="both"/>
      </w:pPr>
      <w:r>
        <w:rPr>
          <w:rFonts w:ascii="Times New Roman" w:hAnsi="Times New Roman" w:cs="B Nazanin"/>
          <w:sz w:val="22"/>
          <w:szCs w:val="28"/>
          <w:rtl w:val="1"/>
        </w:rPr>
        <w:t>آينده هاي مطلوب</w:t>
      </w:r>
      <w:r>
        <w:rPr>
          <w:rStyle w:val="FootnoteReference"/>
          <w:rtl w:val="1"/>
        </w:rPr>
        <w:footnoteReference w:id="82"/>
      </w:r>
      <w:r>
        <w:rPr>
          <w:rFonts w:ascii="Times New Roman" w:hAnsi="Times New Roman" w:cs="B Nazanin"/>
          <w:sz w:val="22"/>
          <w:szCs w:val="28"/>
          <w:rtl w:val="1"/>
        </w:rPr>
        <w:t xml:space="preserve"> آن دسته از آینده هایی هستند که براي ما مطلوبند و بر خلاف سه نوع ديگر كه دانش شناختي اند</w:t>
      </w:r>
      <w:r>
        <w:rPr>
          <w:rStyle w:val="FootnoteReference"/>
          <w:rtl w:val="1"/>
        </w:rPr>
        <w:footnoteReference w:id="83"/>
      </w:r>
      <w:r>
        <w:rPr>
          <w:rFonts w:ascii="Times New Roman" w:hAnsi="Times New Roman" w:cs="B Nazanin"/>
          <w:sz w:val="22"/>
          <w:szCs w:val="28"/>
          <w:rtl w:val="1"/>
        </w:rPr>
        <w:t>، اين‌ها برانگيزاننده، ارزشي و ذهن گرا</w:t>
      </w:r>
      <w:r>
        <w:rPr>
          <w:rStyle w:val="FootnoteReference"/>
          <w:rtl w:val="1"/>
        </w:rPr>
        <w:footnoteReference w:id="84"/>
      </w:r>
      <w:r>
        <w:rPr>
          <w:rFonts w:ascii="Times New Roman" w:hAnsi="Times New Roman" w:cs="B Nazanin"/>
          <w:sz w:val="22"/>
          <w:szCs w:val="28"/>
          <w:rtl w:val="1"/>
        </w:rPr>
        <w:t xml:space="preserve"> هستند و ماهیت عيني گرا</w:t>
      </w:r>
      <w:r>
        <w:rPr>
          <w:rStyle w:val="FootnoteReference"/>
          <w:rtl w:val="1"/>
        </w:rPr>
        <w:footnoteReference w:id="85"/>
      </w:r>
      <w:r>
        <w:rPr>
          <w:rFonts w:ascii="Times New Roman" w:hAnsi="Times New Roman" w:cs="B Nazanin"/>
          <w:sz w:val="22"/>
          <w:szCs w:val="28"/>
          <w:rtl w:val="1"/>
        </w:rPr>
        <w:t xml:space="preserve"> ندارند؛ (حیدری، 1393، 86)</w:t>
      </w:r>
    </w:p>
    <w:p>
      <w:pPr>
        <w:bidi w:val="1"/>
        <w:spacing w:line="312" w:lineRule="auto" w:before="0" w:after="120"/>
        <w:ind w:firstLine="454"/>
        <w:jc w:val="both"/>
      </w:pPr>
      <w:r>
        <w:rPr>
          <w:rFonts w:ascii="Times New Roman" w:hAnsi="Times New Roman" w:cs="B Nazanin"/>
          <w:sz w:val="22"/>
          <w:szCs w:val="28"/>
          <w:rtl w:val="1"/>
        </w:rPr>
        <w:t>هدف اصلی در یک بررسی آینده نگر، تبدیل آینده مطلوب به آینده محتمل است که این مهم با تجسم شفاف از آن چه می‌خواهیم خلق کنیم و سپس تخصیص منابع، انرژی، زمان و... در جهت خلق آن میسر خواهد شد. هدف دیگر بررسی آینده نگر، توجه کردن به حالت‌های ممکن برای آینده است که ممکن است محتمل نباشند. این امر هوشیاری بالایی را می‌طلبد. (طباطبایی یزدی و محمودی، 1385، 21) «الگوی رایج آینده پژوهی در مطالعات اجتماعی و از جمله حقوق بین الملل و روابط بین الملل، مطالعه روندها و رویدادهای گذشته و حال و سپس گسترش روندها و رویدادهای موثر در گذشته و حال به آینده ای نزدیک است، چیزی که از آن با عنوان الگوی امتداد حال</w:t>
      </w:r>
      <w:r>
        <w:rPr>
          <w:rStyle w:val="FootnoteReference"/>
          <w:rtl w:val="1"/>
        </w:rPr>
        <w:footnoteReference w:id="86"/>
      </w:r>
      <w:r>
        <w:rPr>
          <w:rFonts w:ascii="Times New Roman" w:hAnsi="Times New Roman" w:cs="B Nazanin"/>
          <w:sz w:val="22"/>
          <w:szCs w:val="28"/>
          <w:rtl w:val="1"/>
        </w:rPr>
        <w:t xml:space="preserve"> یاد می‌شود. امتداد حال، زمان حال را به آینده گسترش می‌دهد. الگوی امتداد حال شیوه ای کاربردی در ترسیم آینده‌های محتمل است و از آن جا که به جای یک پیش بینی محتوم، به ترسیم چند آینده محتمل از میان انبوه آینده‌های ممکن می‌پردازد، تکامل یافته‌تر است. در این الگو، ابتدا با رویکردی استقرائی – جزء به کل- از طیف گسترده آینده‌های ممکن به چند آینده محدود اما محتمل می‌رسند و سپس امکان سناریوسازی از آینده‌های محتمل را فراهم می‌کند.» (موسوی نیا، 1398، 166)</w:t>
      </w:r>
    </w:p>
    <w:p>
      <w:pPr>
        <w:bidi w:val="1"/>
        <w:spacing w:line="312" w:lineRule="auto" w:before="0" w:after="120"/>
        <w:ind w:firstLine="454"/>
        <w:jc w:val="both"/>
      </w:pPr>
      <w:r>
        <w:rPr>
          <w:rFonts w:ascii="Times New Roman" w:hAnsi="Times New Roman" w:cs="B Nazanin"/>
          <w:sz w:val="22"/>
          <w:szCs w:val="28"/>
          <w:rtl w:val="1"/>
        </w:rPr>
        <w:t>در عالم حقوق، اصولاً قواعد حقوقی براساس وضع موجود که حاصل وضع گذشته و حال است، تدوین می‌شوند و ناظر به آینده هستند. یعنی گذشته چراغ راه آینده می‌شود. به بیان دیگر، وضع قاعده در حال بر اساس شرایط موجود و اجرای آن در آینده است. قواعد حقوقی باید آینده نگر و رو به سوی آینده داشته باشند. در عرصه حقوق بین الملل، هیچ کس نمی‌تواند به طور قطع و یقین آینده آن را پیش بینی کند، آن هم در دوره ای که استفاده از این شاخه از حقوق برای درک روابط بین الملل روز به روز پیچیده‌تر می‌شود و در نتیجه، ضریب خطای پیش بینی‌ها بالاتر خواهد بود. البته این پیچیدگی‌ها که نتیجه دیدگاه‌های متغیر است، نباید مانع از توجه به تحولات شگرفی شود که حقوق بین الملل در سال‌های اخیر تجربه کرده است. قطعاً بررسی و تحلیل چالش‌ها و تغییرات اجتماعی یکی از روش‌های راهبردی توسعه حقوق بین الملل است، چرا که حقوق بین الملل و ساختار اجتماعی بنیادین آن، به شدت در هم تنیده شده اند. حقوق بین الملل بارها ثابت کرده است که برای تطبیق با تغییرات، انعطاف کافی دارد. حقوق بین الملل تمایل دارد تا خود را با پیشرفت‌ها و تحولات اجتماعی و هنجاری وفق دهد. یکی از نتایج پیچیدگی حقوق بین الملل و چالش برانگیر شدن بیشتر آن که نیاز به آینده پژوهی دارد، حرکت این رشته به سمت تخصص گرایی بیشتر است. از سوی دیگر پراکندگی مجامع بین المللی ضربه بزرگی را بر یکپارچگی نظم حقوقی بین المللی وارد کرده است، آن هم در نظامی که در آن هیچ نوع سلسله مراتب حقوقی وجود ندارد. تخصص گرایی رو به تزاید همراه با پراکندگی و توسعه روز افزون مجامع بین المللی، جامعه بین المللی را دچار سردرگمی و نگرانی هایی را برای حقوقدانان بین المللی ایجاد کرده است. فقدان اقتدار مرکزی در حقوق بین الملل چالش دیگری است که نیاز به آینده پژوهی دارد، چرا که در یک نظام هنجاری کاملاً پیچیده، بدون یک اقتدار مرکزی مسائلی نظیر عدم هماهنگی و تعارض بین اجزای آن نظام پیش خواهد آمد و راه حل آن‌ها لزوماً و همیشه یکسان نخواهد بود. برخی از صاحب نظران حقوق بین الملل بر جنبه‌های متنوع ظهور یک نظم اساسی در حقوق بین الملل بر مبنای نظریه اساسی سازی</w:t>
      </w:r>
      <w:r>
        <w:rPr>
          <w:rStyle w:val="FootnoteReference"/>
          <w:rtl w:val="1"/>
        </w:rPr>
        <w:footnoteReference w:id="87"/>
      </w:r>
      <w:r>
        <w:rPr>
          <w:rFonts w:ascii="Times New Roman" w:hAnsi="Times New Roman" w:cs="B Nazanin"/>
          <w:sz w:val="22"/>
          <w:szCs w:val="28"/>
          <w:rtl w:val="1"/>
        </w:rPr>
        <w:t xml:space="preserve"> تأکید کرده اند و واضح‌ترین نمونه موجود را در این مسیر، تلقی منشور ملل متحد به عنوان قانون اساسی بین المللی می‌دانند که به صورت برجسته ای تنها سند بین المللی است که به مدل یک قانون اساسی شباهت دارد. (ضیائی بیگدلی، 1402، 5-1) در خصوص عنوان رساله حاضر نیز، از یک سو، بسیاری از طرفداران شکل گیری پیمان جهانی محیط زیست به دنبال معرفی آن به عنوان قانون اساسی حقوق بین الملل محیط زیست هستند که در فصل مربوطه به آن می‌پردازم. از سوی دیگر، در فصل چهارم، اثرات احتمالی شکل گیری پیمان جهانی محیط زیست را بر موافقت نامه‌های چندجانبه محیط زیست با رویکرد آینده پژوهی تجزیه و تحلیل خواهد شد. اهمیت رویکرد آینده پژوهی در این رساله زمانی مشهودتر است که می‌بینیم که محیط زیست یکی از شاخه‌های اصلی و مورد توجه برای مطالعات آینده ذیل عنوان ارزیابی اثرات محیطی</w:t>
      </w:r>
      <w:r>
        <w:rPr>
          <w:rStyle w:val="FootnoteReference"/>
          <w:rtl w:val="1"/>
        </w:rPr>
        <w:footnoteReference w:id="88"/>
      </w:r>
      <w:r>
        <w:rPr>
          <w:rFonts w:ascii="Times New Roman" w:hAnsi="Times New Roman" w:cs="B Nazanin"/>
          <w:sz w:val="22"/>
          <w:szCs w:val="28"/>
          <w:rtl w:val="1"/>
        </w:rPr>
        <w:t xml:space="preserve"> است. در این روش به بررسی نوع و چگونگی تاثیر پیشرفت‌های انجام شده در زمینه‌های مختلف روی محیط زیست می‌پردازد. هدف در این گرایش، کاهش حداکثری میزان خسارات و آسیب‌های وارده به محیط زیست است.</w:t>
      </w:r>
    </w:p>
    <w:p>
      <w:pPr>
        <w:bidi w:val="1"/>
        <w:spacing w:line="312" w:lineRule="auto" w:before="0" w:after="120"/>
        <w:ind w:firstLine="454"/>
        <w:jc w:val="both"/>
      </w:pPr>
      <w:r>
        <w:rPr>
          <w:rFonts w:ascii="Times New Roman" w:hAnsi="Times New Roman" w:cs="B Nazanin"/>
          <w:sz w:val="22"/>
          <w:szCs w:val="28"/>
          <w:rtl w:val="1"/>
        </w:rPr>
        <w:t>نتیجه گیری فصل دوم</w:t>
      </w:r>
    </w:p>
    <w:p>
      <w:pPr>
        <w:bidi w:val="1"/>
        <w:spacing w:line="312" w:lineRule="auto" w:before="0" w:after="120"/>
        <w:ind w:firstLine="454"/>
        <w:jc w:val="both"/>
      </w:pPr>
      <w:r>
        <w:rPr>
          <w:rFonts w:ascii="Times New Roman" w:hAnsi="Times New Roman" w:cs="B Nazanin"/>
          <w:sz w:val="22"/>
          <w:szCs w:val="28"/>
          <w:rtl w:val="1"/>
        </w:rPr>
        <w:t>در مقام تحلیل آن چه تاکنون گذشت می‌توان گفت، طرح این ابتکار و طی این فرایند نشان دهنده مرحله جدیدی در تحول حقوق بین الملل محیط زیست در زمان سالگرد اسناد مهم حقوق بین الملل محیط زیست به حساب می‌آید. از سال 1972، پنج "مگا کنفرانس"</w:t>
      </w:r>
      <w:r>
        <w:rPr>
          <w:rStyle w:val="FootnoteReference"/>
          <w:rtl w:val="1"/>
        </w:rPr>
        <w:footnoteReference w:id="89"/>
      </w:r>
      <w:r>
        <w:rPr>
          <w:rFonts w:ascii="Times New Roman" w:hAnsi="Times New Roman" w:cs="B Nazanin"/>
          <w:sz w:val="22"/>
          <w:szCs w:val="28"/>
          <w:rtl w:val="1"/>
        </w:rPr>
        <w:t xml:space="preserve"> برای مذاکره پیرامون وضعیت فعلی محیط زیست سازماندهی شد. مگا کنفرانس‌های محیط زیستی به خط سیر کلی توسعه انسانی و ارتباط آن با محیط زیست به عنوان یک کل می‌پردازد و مروری کلی بر مسائل پیچیده محیط زیست و توسعه در بازه زمانی طولانی تری دارد. سال‌های بسیاری برای تمهید مقدمات و مذاکرات مقدماتی آن‌ها، جلب مشارکت سران کشورها و هزاران فرد و گروه و همچنین جلب توجه رسانه‌های جهان تلاش شده است. هدف هر مگا کنفرانس بحث در مورد میزان پیشرفت از آن زمان و برنامه ریزی اقدامات بیشتر برای آینده است. ویژگی‌های کلیدی و کارکردهای اصلی کنفرانس‌های بزرگ محیط زیستی همانا مشارکت جهانی، ارائه رهبری جهانی، تسهیل تفکر مشترک، تایید اصول مشترک، تمرکز بر مسائل اساسی، تنظیم دستورکار و برنامه‌های جهانی، مشارکت متخصصان، مذاکره و توافق، ایجاد ظرفیت نهادی و تقویت ظرفیتهای موجود، اطلاع رسانی و در آخر مشروعیت بخشیدن به حکمرانی جهانی از طریق فراگیری می‌باشد. (Antonia Tigre,2020, 342) کنفرانس‌های بزرگ محیط زیستی بسترهای حیاتی برای شکل‌دادن به سیاست‌های بین‌المللی محیط زیست و ترویج همکاری جهانی هستند. این کنفرانس‌ها نه تنها بر نیاز به اقدام فوری در برابر چالش‌های عمده مانند تغییرات آب و هوایی تأکید می‌کنند، بلکه بر ارتباط بین سیستم‌های اکولوژیکی و جوامع انسانی نیز تأکید دارند. با افزایش پیچیدگی چالش‌های محیط زیستی، نقش این‌گونه کنفرانس‌ها در هدایت اقدامات جمعی به سمت پایداری و حفظ محیط زیست حیاتی می‌شود. علاوه بر این، ذی نفعان غیردولتی بر این باورند که برگزاری نشست‌ها در یادبود سالگردها حاکی از خواستن نسل جدیدی از اصول، حقوق و وظایف اساسی مرتبط با حفاظت از محیط زیست می‌باشد. در میانه دهه دوم قرن بیست و یکم این باور حاکم بود که فرصتی برای سازماندهی "مگا کنفرانس" دیگری برای ارزیابی وضعیت محیط زیست و تجدید تعهدات سیاسی وجود دارد و کشورها باید از این فرصت استفاده کنند و بر روی نتایج مشخص برای تقویت رژیم بین المللی محیط زیستی به توافق برسند، نه اینکه یک نشست جدید را به «تئاتر سیاسی» تقلیل دهند که تنها در مواجهه با چالش محیط زیستی بی سابقه، انکار را حفظ کند.</w:t>
      </w:r>
    </w:p>
    <w:p>
      <w:pPr>
        <w:pStyle w:val="GPEHeading2"/>
        <w:bidi w:val="1"/>
        <w:spacing w:line="312" w:lineRule="auto" w:before="200" w:after="120"/>
        <w:jc w:val="right"/>
      </w:pPr>
      <w:r>
        <w:rPr>
          <w:rFonts w:ascii="Times New Roman" w:hAnsi="Times New Roman" w:cs="B Nazanin"/>
          <w:sz w:val="24"/>
          <w:szCs w:val="24"/>
          <w:rtl w:val="1"/>
          <w:b/>
          <w:bCs/>
          <w:color w:val="14203a"/>
        </w:rPr>
        <w:t>۲-۷ سیر مکاتب فلسفیِ حاکم بر حقوق بین‌الملل محیط زیست و عصر انتروپوسن</w:t>
      </w:r>
    </w:p>
    <w:p>
      <w:pPr>
        <w:bidi w:val="1"/>
        <w:spacing w:line="312" w:lineRule="auto" w:before="0" w:after="120"/>
        <w:ind w:firstLine="454"/>
        <w:jc w:val="both"/>
      </w:pPr>
      <w:r>
        <w:rPr>
          <w:rFonts w:ascii="Times New Roman" w:hAnsi="Times New Roman" w:cs="B Nazanin"/>
          <w:sz w:val="22"/>
          <w:szCs w:val="28"/>
          <w:rtl w:val="1"/>
        </w:rPr>
        <w:t>برای فهمِ چراییِ شکل‌گیریِ ایدهٔ «پیمان جهانی محیط زیست» به‌مثابه سندِ اصولِ عام، نخست باید بسترِ فلسفیِ حقوق بین‌الملل محیط زیست را بازخواند. این حوزه از دلِ گذارِ تدریجیِ اندیشهٔ حقوقی از «انسان‌مداریِ (anthropocentric) بهره‌بردارانه» به‌سوی «بوم‌مداری (ecocentric)» و سپس «حق‌محوریِ زیست‌محیطی» سر برآورده است؛ گذاری که تیگره در رسالهٔ دکتریِ خود آن را شالودهٔ به‌رسمیت‌شناختنِ «حق بر محیط‌زیست سالم» می‌داند.</w:t>
      </w:r>
      <w:r>
        <w:rPr>
          <w:rStyle w:val="FootnoteReference"/>
          <w:rtl w:val="1"/>
        </w:rPr>
        <w:footnoteReference w:id="90"/>
      </w:r>
    </w:p>
    <w:p>
      <w:pPr>
        <w:bidi w:val="1"/>
        <w:spacing w:line="312" w:lineRule="auto" w:before="0" w:after="120"/>
        <w:ind w:firstLine="454"/>
        <w:jc w:val="both"/>
      </w:pPr>
      <w:r>
        <w:rPr>
          <w:rFonts w:ascii="Times New Roman" w:hAnsi="Times New Roman" w:cs="B Nazanin"/>
          <w:sz w:val="22"/>
          <w:szCs w:val="28"/>
          <w:rtl w:val="1"/>
        </w:rPr>
        <w:t>در دورهٔ نخست (پیش از استکهلم ۱۹۷۲)، طبیعت عمدتاً ابژهٔ حاکمیت و مالکیت دولت‌ها تلقی می‌شد و حقوق بین‌الملل تنها هنگام «آسیبِ فرامرزی» واکنش نشان می‌داد؛ همین خصلتِ واکنشی، ریشهٔ تاریخیِ پراکندگیِ امروزین است. اعلامیهٔ استکهلم (۱۹۷۲) با اصل ۲۱ خود، نقطهٔ عطفِ گذار از این پارادایم به پارادایمِ «مسئولیتِ زیست‌محیطیِ مشترک» بود.</w:t>
      </w:r>
    </w:p>
    <w:p>
      <w:pPr>
        <w:bidi w:val="1"/>
        <w:spacing w:line="312" w:lineRule="auto" w:before="0" w:after="120"/>
        <w:ind w:firstLine="454"/>
        <w:jc w:val="both"/>
      </w:pPr>
      <w:r>
        <w:rPr>
          <w:rFonts w:ascii="Times New Roman" w:hAnsi="Times New Roman" w:cs="B Nazanin"/>
          <w:sz w:val="22"/>
          <w:szCs w:val="28"/>
          <w:rtl w:val="1"/>
        </w:rPr>
        <w:t>در دورهٔ دوم (ریو ۱۹۹۲ به بعد)، مفاهیمِ «توسعهٔ پایدار»، «مسئولیت مشترک اما متمایز»، «احتیاط» و «پیشگیری» به‌مثابه اصولِ راهنما تثبیت شدند؛ اما این اصول عمدتاً در قالبِ حقوق نرم (اعلامیه‌ها و برنامه‌های اقدام) باقی ماندند و همین امر، پرسشِ «گذارِ هنجاری از حقوق نرم به سند سخت» را — که به گفتهٔ استاد راهنما ایدهٔ اصلیِ طراحانِ پیمان است — پیش کشید.</w:t>
      </w:r>
      <w:r>
        <w:rPr>
          <w:rStyle w:val="FootnoteReference"/>
          <w:rtl w:val="1"/>
        </w:rPr>
        <w:footnoteReference w:id="91"/>
      </w:r>
    </w:p>
    <w:p>
      <w:pPr>
        <w:bidi w:val="1"/>
        <w:spacing w:line="312" w:lineRule="auto" w:before="0" w:after="120"/>
        <w:ind w:firstLine="454"/>
        <w:jc w:val="both"/>
      </w:pPr>
      <w:r>
        <w:rPr>
          <w:rFonts w:ascii="Times New Roman" w:hAnsi="Times New Roman" w:cs="B Nazanin"/>
          <w:sz w:val="22"/>
          <w:szCs w:val="28"/>
          <w:rtl w:val="1"/>
        </w:rPr>
        <w:t>دورهٔ سوم، عصرِ «انتروپوسن» (Anthropocene) است: دورانی زمین‌شناختی که در آن اثرِ انسان به نیرویی سیاره‌ای بدل شده و از مرزهای زیستیِ سیاره (planetary boundaries) عبور کرده است. کیم و بوسلمن استدلال می‌کنند که در این عصر، نظامِ پراکندهٔ MEAها باید به یک «نظامِ هدف‌مند و غایت‌محور» بازتنظیم شود؛ و داموآ و همکاران نشان می‌دهند که تکثرِ صرفِ معاهدات، بدونِ انسجام و اجرا، به بهبودِ وضعیتِ سیاره نینجامیده است.</w:t>
      </w:r>
      <w:r>
        <w:rPr>
          <w:rStyle w:val="FootnoteReference"/>
          <w:rtl w:val="1"/>
        </w:rPr>
        <w:footnoteReference w:id="92"/>
      </w:r>
    </w:p>
    <w:p>
      <w:pPr>
        <w:bidi w:val="1"/>
        <w:spacing w:line="312" w:lineRule="auto" w:before="0" w:after="120"/>
        <w:ind w:firstLine="454"/>
        <w:jc w:val="both"/>
      </w:pPr>
      <w:r>
        <w:rPr>
          <w:rFonts w:ascii="Times New Roman" w:hAnsi="Times New Roman" w:cs="B Nazanin"/>
          <w:sz w:val="22"/>
          <w:szCs w:val="28"/>
          <w:rtl w:val="1"/>
        </w:rPr>
        <w:t>[در دست نگارش — بسط تا حدود ۲۰ صفحه] این بخش با تکیه بر منابعِ Tigre 2022، Kim &amp; Bosselmann 2013، و Damoah 2026، سیرِ کاملِ مکاتب (حقوق طبیعی زیست‌محیطی، فایده‌گراییِ منابع، بوم‌مداری، عدالتِ زیست‌محیطی، و رویکردِ حق‌محور) و پیوندِ هریک با معماریِ پیشنهادیِ پیمان را تبیین خواهد کرد.</w:t>
      </w:r>
    </w:p>
    <w:p>
      <w:pPr>
        <w:pStyle w:val="GPEHeading2"/>
        <w:bidi w:val="1"/>
        <w:spacing w:line="312" w:lineRule="auto" w:before="200" w:after="120"/>
        <w:jc w:val="right"/>
      </w:pPr>
      <w:r>
        <w:rPr>
          <w:rFonts w:ascii="Times New Roman" w:hAnsi="Times New Roman" w:cs="B Nazanin"/>
          <w:sz w:val="24"/>
          <w:szCs w:val="24"/>
          <w:rtl w:val="1"/>
          <w:b/>
          <w:bCs/>
          <w:color w:val="14203a"/>
        </w:rPr>
        <w:t>۲-۸ خصلتِ واکنشی، بخشی، پراکنده، تدریجی و اجماعیِ حقوق بین‌الملل محیط زیست</w:t>
      </w:r>
    </w:p>
    <w:p>
      <w:pPr>
        <w:bidi w:val="1"/>
        <w:spacing w:line="312" w:lineRule="auto" w:before="0" w:after="120"/>
        <w:ind w:firstLine="454"/>
        <w:jc w:val="both"/>
      </w:pPr>
      <w:r>
        <w:rPr>
          <w:rFonts w:ascii="Times New Roman" w:hAnsi="Times New Roman" w:cs="B Nazanin"/>
          <w:sz w:val="22"/>
          <w:szCs w:val="28"/>
          <w:rtl w:val="1"/>
        </w:rPr>
        <w:t>حقوق بین‌الملل محیط زیست پنج خصلتِ ساختاری دارد که هر راهکارِ اصلاحی — از جمله پیمان — ناگزیر باید با آن‌ها سازگار باشد؛ نادیده‌گرفتنِ این خصایص، خودْ یکی از دلایلِ ناکامیِ ابتکارهای بلندپروازانه بوده است.</w:t>
      </w:r>
    </w:p>
    <w:p>
      <w:pPr>
        <w:bidi w:val="1"/>
        <w:spacing w:line="312" w:lineRule="auto" w:before="0" w:after="120"/>
        <w:ind w:firstLine="454"/>
        <w:jc w:val="both"/>
      </w:pPr>
      <w:r>
        <w:rPr>
          <w:rFonts w:ascii="Times New Roman" w:hAnsi="Times New Roman" w:cs="B Nazanin"/>
          <w:sz w:val="22"/>
          <w:szCs w:val="28"/>
          <w:rtl w:val="1"/>
        </w:rPr>
        <w:t>نخست، خصلتِ واکنشی (reactive): قواعد عمدتاً پس از بروزِ بحران یا فاجعه (نظیرِ نشتِ نفت، تخریبِ لایهٔ ازن، یا زوالِ تنوع زیستی) و در واکنش به آن وضع شده‌اند، نه بر پایهٔ یک طرحِ پیشگیرانه و نظام‌مند.</w:t>
      </w:r>
    </w:p>
    <w:p>
      <w:pPr>
        <w:bidi w:val="1"/>
        <w:spacing w:line="312" w:lineRule="auto" w:before="0" w:after="120"/>
        <w:ind w:firstLine="454"/>
        <w:jc w:val="both"/>
      </w:pPr>
      <w:r>
        <w:rPr>
          <w:rFonts w:ascii="Times New Roman" w:hAnsi="Times New Roman" w:cs="B Nazanin"/>
          <w:sz w:val="22"/>
          <w:szCs w:val="28"/>
          <w:rtl w:val="1"/>
        </w:rPr>
        <w:t>دوم، خصلتِ بخشی (sectoral): هر معاهده به یک «بخش» (اقلیم، تنوع زیستی، مواد شیمیایی، دریاها) می‌پردازد و نهادها و دبیرخانه‌های جداگانه‌ای دارد؛ همین امر به آنچه کمیسیون حقوق بین‌الملل «نظام‌های خودبسنده (self-contained regimes)» می‌نامد، انجامیده است.</w:t>
      </w:r>
      <w:r>
        <w:rPr>
          <w:rStyle w:val="FootnoteReference"/>
          <w:rtl w:val="1"/>
        </w:rPr>
        <w:footnoteReference w:id="93"/>
      </w:r>
    </w:p>
    <w:p>
      <w:pPr>
        <w:bidi w:val="1"/>
        <w:spacing w:line="312" w:lineRule="auto" w:before="0" w:after="120"/>
        <w:ind w:firstLine="454"/>
        <w:jc w:val="both"/>
      </w:pPr>
      <w:r>
        <w:rPr>
          <w:rFonts w:ascii="Times New Roman" w:hAnsi="Times New Roman" w:cs="B Nazanin"/>
          <w:sz w:val="22"/>
          <w:szCs w:val="28"/>
          <w:rtl w:val="1"/>
        </w:rPr>
        <w:t>سوم، خصلتِ پراکنده (fragmented): کثرتِ رژیم‌های بخشیِ کم‌ارتباط، خطرِ تعارضِ هنجاری و همپوشانیِ تعهدات را پدید می‌آورد — موضوعی که در بخش بعد و در فصل چهارم با تکیه بر سندِ پراکندگیِ ۲۰۰۶ تحلیل می‌شود.</w:t>
      </w:r>
    </w:p>
    <w:p>
      <w:pPr>
        <w:bidi w:val="1"/>
        <w:spacing w:line="312" w:lineRule="auto" w:before="0" w:after="120"/>
        <w:ind w:firstLine="454"/>
        <w:jc w:val="both"/>
      </w:pPr>
      <w:r>
        <w:rPr>
          <w:rFonts w:ascii="Times New Roman" w:hAnsi="Times New Roman" w:cs="B Nazanin"/>
          <w:sz w:val="22"/>
          <w:szCs w:val="28"/>
          <w:rtl w:val="1"/>
        </w:rPr>
        <w:t>چهارم و پنجم، خصلتِ تدریجی (incremental) و اجماعی (consensus-based): توسعهٔ این حقوق گام‌به‌گام و از رهگذرِ اجماعِ دولت‌ها پیش می‌رود. چاباسون و اژه نشان می‌دهند که همین سازوکارِ اجماع‌محورِ سازمان ملل بود که در نایروبی (۲۰۱۹) به اقلیتِ مخالف امکان داد تا ایدهٔ سندِ الزام‌آور را متوقف کند.</w:t>
      </w:r>
      <w:r>
        <w:rPr>
          <w:rStyle w:val="FootnoteReference"/>
          <w:rtl w:val="1"/>
        </w:rPr>
        <w:footnoteReference w:id="94"/>
      </w:r>
    </w:p>
    <w:p>
      <w:pPr>
        <w:pStyle w:val="GPEHeading2"/>
        <w:bidi w:val="1"/>
        <w:spacing w:line="312" w:lineRule="auto" w:before="200" w:after="120"/>
        <w:jc w:val="right"/>
      </w:pPr>
      <w:r>
        <w:rPr>
          <w:rFonts w:ascii="Times New Roman" w:hAnsi="Times New Roman" w:cs="B Nazanin"/>
          <w:sz w:val="24"/>
          <w:szCs w:val="24"/>
          <w:rtl w:val="1"/>
          <w:b/>
          <w:bCs/>
          <w:color w:val="14203a"/>
        </w:rPr>
        <w:t>۲-۹ کارِ کمیسیون حقوق بین‌الملل دربارهٔ پراکندگی و دلالتِ آن برای این رساله</w:t>
      </w:r>
    </w:p>
    <w:p>
      <w:pPr>
        <w:bidi w:val="1"/>
        <w:spacing w:line="312" w:lineRule="auto" w:before="0" w:after="120"/>
        <w:ind w:firstLine="454"/>
        <w:jc w:val="both"/>
      </w:pPr>
      <w:r>
        <w:rPr>
          <w:rFonts w:ascii="Times New Roman" w:hAnsi="Times New Roman" w:cs="B Nazanin"/>
          <w:sz w:val="22"/>
          <w:szCs w:val="28"/>
          <w:rtl w:val="1"/>
        </w:rPr>
        <w:t>کمیسیون حقوق بین‌الملل سازمان ملل در سال ۲۰۰۶، گزارشِ گروه مطالعاتیِ خود با عنوان «پراکندگیِ حقوق بین‌الملل: دشواری‌های ناشی از تنوع‌یابی و گسترشِ حقوق بین‌الملل» را به تصویب رساند. این سند، مرجعِ رسمیِ تعریفِ پراکندگی و ابزارهای مدیریتِ آن است و ستونِ نظریِ فصل چهارمِ این رساله را می‌سازد.</w:t>
      </w:r>
      <w:r>
        <w:rPr>
          <w:rStyle w:val="FootnoteReference"/>
          <w:rtl w:val="1"/>
        </w:rPr>
        <w:footnoteReference w:id="95"/>
      </w:r>
    </w:p>
    <w:p>
      <w:pPr>
        <w:bidi w:val="1"/>
        <w:spacing w:line="312" w:lineRule="auto" w:before="0" w:after="120"/>
        <w:ind w:firstLine="454"/>
        <w:jc w:val="both"/>
      </w:pPr>
      <w:r>
        <w:rPr>
          <w:rFonts w:ascii="Times New Roman" w:hAnsi="Times New Roman" w:cs="B Nazanin"/>
          <w:sz w:val="22"/>
          <w:szCs w:val="28"/>
          <w:rtl w:val="1"/>
        </w:rPr>
        <w:t>کمیسیون میان دو بُعدِ پراکندگی تمایز می‌گذارد: بُعدِ نهادی (تعارضِ صلاحیتِ نهادها و مراجع) که آن را کنار می‌نهد، و بُعدِ ماهوی (تجزیهٔ حقوق به «جعبه‌های» تخصصیِ مدعیِ استقلال) که موضوعِ اصلیِ کار است. حقوق بین‌الملل محیط زیست خودْ در گزارش به‌عنوان نمونه‌ای از یک «رژیمِ خاص» یاد شده است.</w:t>
      </w:r>
    </w:p>
    <w:p>
      <w:pPr>
        <w:bidi w:val="1"/>
        <w:spacing w:line="312" w:lineRule="auto" w:before="0" w:after="120"/>
        <w:ind w:firstLine="454"/>
        <w:jc w:val="both"/>
      </w:pPr>
      <w:r>
        <w:rPr>
          <w:rFonts w:ascii="Times New Roman" w:hAnsi="Times New Roman" w:cs="B Nazanin"/>
          <w:sz w:val="22"/>
          <w:szCs w:val="28"/>
          <w:rtl w:val="1"/>
        </w:rPr>
        <w:t>مهم‌تر آنکه کمیسیون، پراکندگی را «اجتناب‌ناپذیر» اما «قابلِ مدیریت» می‌داند و سه ابزارِ حقوقی را برای مدیریتِ آن برمی‌شمارد که مستقیماً جایگزینِ واژه‌های نامأنوسِ پیشین در این رساله می‌شوند: (۱) اصلِ هماهنگ‌سازی (harmonization)؛ (۲) قاعدهٔ خاصِ مقدم (lex specialis)؛ و (۳) یکپارچگیِ نظام‌مند (systemic integration) بر پایهٔ مادهٔ ۳۱(۳)(ج) کنوانسیون وین ۱۹۶۹.</w:t>
      </w:r>
      <w:r>
        <w:rPr>
          <w:rStyle w:val="FootnoteReference"/>
          <w:rtl w:val="1"/>
        </w:rPr>
        <w:footnoteReference w:id="96"/>
      </w:r>
    </w:p>
    <w:p>
      <w:pPr>
        <w:bidi w:val="1"/>
        <w:spacing w:line="312" w:lineRule="auto" w:before="0" w:after="120"/>
        <w:ind w:firstLine="454"/>
        <w:jc w:val="both"/>
      </w:pPr>
      <w:r>
        <w:rPr>
          <w:rFonts w:ascii="Times New Roman" w:hAnsi="Times New Roman" w:cs="B Nazanin"/>
          <w:sz w:val="22"/>
          <w:szCs w:val="28"/>
          <w:rtl w:val="1"/>
        </w:rPr>
        <w:t>دلالتِ این چارچوب برای رساله روشن است: کارکردِ حقوقیِ یک «سندِ اصولِ عام» مانند پیمان را باید نه به‌مثابه ادغامِ نهادیِ معاهدات، بلکه به‌مثابه تقویتِ «یکپارچگیِ نظام‌مند» — یعنی فراهم‌آوردنِ مجموعه‌ای از اصولِ عمومیِ مشترک که در تفسیر و اجرای همهٔ MEAها لحاظ شوند — فهمید. این بازخوانی، همان چیزی است که در فصل چهارم بسط می‌یابد.</w:t>
      </w:r>
    </w:p>
    <w:p>
      <w:pPr>
        <w:pStyle w:val="GPEHeading3"/>
        <w:bidi w:val="1"/>
        <w:spacing w:line="312" w:lineRule="auto" w:before="200" w:after="120"/>
        <w:jc w:val="right"/>
      </w:pPr>
      <w:r>
        <w:rPr>
          <w:rFonts w:ascii="Times New Roman" w:hAnsi="Times New Roman" w:cs="B Nazanin"/>
          <w:sz w:val="24"/>
          <w:szCs w:val="24"/>
          <w:rtl w:val="1"/>
          <w:b/>
          <w:bCs/>
          <w:color w:val="14203a"/>
        </w:rPr>
        <w:t>۲-۷-۱ رویکردِ انسان‌محور و بازتابِ حقوقیِ آن</w:t>
      </w:r>
    </w:p>
    <w:p>
      <w:pPr>
        <w:bidi w:val="1"/>
        <w:spacing w:line="312" w:lineRule="auto" w:before="0" w:after="120"/>
        <w:ind w:firstLine="454"/>
        <w:jc w:val="both"/>
      </w:pPr>
      <w:r>
        <w:rPr>
          <w:rFonts w:ascii="Times New Roman" w:hAnsi="Times New Roman" w:cs="B Nazanin"/>
          <w:sz w:val="22"/>
          <w:szCs w:val="28"/>
          <w:rtl w:val="1"/>
        </w:rPr>
        <w:t>در رویکردِ انسان‌محور، انسان در مرکزِ نظامِ ارزشی می‌نشیند و طبیعت عمدتاً از منظرِ منفعتِ انسانی ارزش‌گذاری می‌شود؛ حفاظت از محیط زیست تا حدِ زیادی با حفاظت از رفاه، سلامت و حیاتِ انسان توجیه می‌گردد و در نتیجه، منافعِ اقتصادی و توسعه‌ای می‌توانند در تعارض با حفاظت قرار گیرند. پرسشِ حقوقیِ راهبردی این است که این رویکرد چه ردّی بر ساختارِ تعهداتِ دولت‌ها می‌گذارد.</w:t>
      </w:r>
    </w:p>
    <w:p>
      <w:pPr>
        <w:bidi w:val="1"/>
        <w:spacing w:line="312" w:lineRule="auto" w:before="0" w:after="120"/>
        <w:ind w:firstLine="454"/>
        <w:jc w:val="both"/>
      </w:pPr>
      <w:r>
        <w:rPr>
          <w:rFonts w:ascii="Times New Roman" w:hAnsi="Times New Roman" w:cs="B Nazanin"/>
          <w:sz w:val="22"/>
          <w:szCs w:val="28"/>
          <w:rtl w:val="1"/>
        </w:rPr>
        <w:t>بازتابِ حقوقیِ این نگرش را می‌توان در صورت‌بندیِ اصولی چون «توسعهٔ پایدار» و «بهره‌برداریِ خردمندانه» بازشناخت؛ اصولی که حفاظت را نه به‌مثابه غایتِ فی‌نفسه، بلکه در نسبت با نیازهای انسانی تعریف می‌کنند. پیامدِ آن، تعهداتی عمدتاً «رفتاری» و مشروط به توانِ اقتصادی است، نه تعهداتِ نتیجه‌محورِ سخت‌گیرانه.</w:t>
      </w:r>
    </w:p>
    <w:p>
      <w:pPr>
        <w:bidi w:val="1"/>
        <w:spacing w:line="312" w:lineRule="auto" w:before="0" w:after="120"/>
        <w:ind w:firstLine="454"/>
        <w:jc w:val="both"/>
      </w:pPr>
      <w:r>
        <w:rPr>
          <w:rFonts w:ascii="Times New Roman" w:hAnsi="Times New Roman" w:cs="B Nazanin"/>
          <w:sz w:val="22"/>
          <w:szCs w:val="28"/>
          <w:rtl w:val="1"/>
        </w:rPr>
        <w:t>پرسشِ کانونی برای رساله آن است که آیا پیش‌نویسِ پیمان جهانی محیط زیست از این چارچوبِ انسان‌محور فاصله گرفته است یا خیر؛ به‌ویژه آنجا که کوشیده است «حق بر محیط‌زیستِ سالم» را در کنارِ «تعهدِ مراقبت از طبیعت» بنشاند و بدین‌سان میان منطقِ انسان‌محور و عناصرِ فراانسان‌محور نوعی سازش برقرار سازد.</w:t>
      </w:r>
      <w:r>
        <w:rPr>
          <w:rStyle w:val="FootnoteReference"/>
          <w:rtl w:val="1"/>
        </w:rPr>
        <w:footnoteReference w:id="97"/>
      </w:r>
    </w:p>
    <w:p>
      <w:pPr>
        <w:pStyle w:val="GPEHeading3"/>
        <w:bidi w:val="1"/>
        <w:spacing w:line="312" w:lineRule="auto" w:before="200" w:after="120"/>
        <w:jc w:val="right"/>
      </w:pPr>
      <w:r>
        <w:rPr>
          <w:rFonts w:ascii="Times New Roman" w:hAnsi="Times New Roman" w:cs="B Nazanin"/>
          <w:sz w:val="24"/>
          <w:szCs w:val="24"/>
          <w:rtl w:val="1"/>
          <w:b/>
          <w:bCs/>
          <w:color w:val="14203a"/>
        </w:rPr>
        <w:t>۲-۷-۲ رویکردِ بوم‌محور و ارزشِ ذاتیِ طبیعت</w:t>
      </w:r>
    </w:p>
    <w:p>
      <w:pPr>
        <w:bidi w:val="1"/>
        <w:spacing w:line="312" w:lineRule="auto" w:before="0" w:after="120"/>
        <w:ind w:firstLine="454"/>
        <w:jc w:val="both"/>
      </w:pPr>
      <w:r>
        <w:rPr>
          <w:rFonts w:ascii="Times New Roman" w:hAnsi="Times New Roman" w:cs="B Nazanin"/>
          <w:sz w:val="22"/>
          <w:szCs w:val="28"/>
          <w:rtl w:val="1"/>
        </w:rPr>
        <w:t>رویکردِ بوم‌محور بر این پرسش استوار است که آیا طبیعت دارای ارزشِ ذاتی است و آیا حمایت از اکوسیستم‌ها مستقل از منفعتِ مستقیمِ انسان قابل توجیه است. پاسخِ مثبت به این پرسش، مبنای نظریِ جنبشِ «حقوقِ طبیعت» و شناساییِ شخصیتِ حقوقی برای رودخانه‌ها و اکوسیستم‌ها در برخی نظام‌های داخلی است.</w:t>
      </w:r>
    </w:p>
    <w:p>
      <w:pPr>
        <w:bidi w:val="1"/>
        <w:spacing w:line="312" w:lineRule="auto" w:before="0" w:after="120"/>
        <w:ind w:firstLine="454"/>
        <w:jc w:val="both"/>
      </w:pPr>
      <w:r>
        <w:rPr>
          <w:rFonts w:ascii="Times New Roman" w:hAnsi="Times New Roman" w:cs="B Nazanin"/>
          <w:sz w:val="22"/>
          <w:szCs w:val="28"/>
          <w:rtl w:val="1"/>
        </w:rPr>
        <w:t>از حیثِ حقوقی، بوم‌محوری با دو اصلِ بنیادین پیوندِ نزدیک دارد: نخست، اصلِ احتیاط که در شرایطِ عدمِ قطعیتِ علمی، بارِ اثبات را جابه‌جا می‌کند و از سکوت به‌نفعِ بهره‌برداری جلوگیری می‌نماید؛ دوم، عدالتِ بین‌نسلی که ارزشِ اکوسیستم را فراتر از نسلِ حاضر امتداد می‌دهد. این دو اصل، پلِ اتصالِ فلسفهٔ بوم‌محور به هنجارِ حقوقیِ الزام‌آورند.</w:t>
      </w:r>
    </w:p>
    <w:p>
      <w:pPr>
        <w:bidi w:val="1"/>
        <w:spacing w:line="312" w:lineRule="auto" w:before="0" w:after="120"/>
        <w:ind w:firstLine="454"/>
        <w:jc w:val="both"/>
      </w:pPr>
      <w:r>
        <w:rPr>
          <w:rFonts w:ascii="Times New Roman" w:hAnsi="Times New Roman" w:cs="B Nazanin"/>
          <w:sz w:val="22"/>
          <w:szCs w:val="28"/>
          <w:rtl w:val="1"/>
        </w:rPr>
        <w:t>بااین‌همه باید از مطلق‌انگاری پرهیز کرد: پذیرشِ کاملِ بوم‌محوری در سطحِ معاهدهٔ جهانی با مقاومتِ حاکمیتیِ دولت‌ها روبه‌رو می‌شود، زیرا ارزشِ ذاتیِ طبیعت را به محدودیتِ حقِ توسعه ترجمه می‌کند. از همین‌رو، پیش‌نویسِ پیمان به‌جای گزینشِ خالصِ بوم‌محور، رویکردی تلفیقی برگزید که خودْ یکی از خطوطِ تنشِ مذاکراتی شد.</w:t>
      </w:r>
    </w:p>
    <w:p>
      <w:pPr>
        <w:pStyle w:val="GPEHeading3"/>
        <w:bidi w:val="1"/>
        <w:spacing w:line="312" w:lineRule="auto" w:before="200" w:after="120"/>
        <w:jc w:val="right"/>
      </w:pPr>
      <w:r>
        <w:rPr>
          <w:rFonts w:ascii="Times New Roman" w:hAnsi="Times New Roman" w:cs="B Nazanin"/>
          <w:sz w:val="24"/>
          <w:szCs w:val="24"/>
          <w:rtl w:val="1"/>
          <w:b/>
          <w:bCs/>
          <w:color w:val="14203a"/>
        </w:rPr>
        <w:t>۲-۷-۳ رویکردِ حق‌محورِ زیست‌محیطی و تعهداتِ دولت</w:t>
      </w:r>
    </w:p>
    <w:p>
      <w:pPr>
        <w:bidi w:val="1"/>
        <w:spacing w:line="312" w:lineRule="auto" w:before="0" w:after="120"/>
        <w:ind w:firstLine="454"/>
        <w:jc w:val="both"/>
      </w:pPr>
      <w:r>
        <w:rPr>
          <w:rFonts w:ascii="Times New Roman" w:hAnsi="Times New Roman" w:cs="B Nazanin"/>
          <w:sz w:val="22"/>
          <w:szCs w:val="28"/>
          <w:rtl w:val="1"/>
        </w:rPr>
        <w:t>رویکردِ حق‌محور، حفاظتِ محیط زیست را از دریچهٔ «حق بر محیط‌زیستِ سالم» و پیوندِ آن با حقوق بشر، حقوقِ نسل‌های آینده، عدالتِ زیست‌محیطی و توسعهٔ پایدار می‌نگرد. شناساییِ این حق در قطعنامهٔ ۷۶/۳۰۰ مجمع عمومی، دلالتی مهم بر بلوغِ این رویکرد دارد.</w:t>
      </w:r>
      <w:r>
        <w:rPr>
          <w:rStyle w:val="FootnoteReference"/>
          <w:rtl w:val="1"/>
        </w:rPr>
        <w:footnoteReference w:id="98"/>
      </w:r>
    </w:p>
    <w:p>
      <w:pPr>
        <w:bidi w:val="1"/>
        <w:spacing w:line="312" w:lineRule="auto" w:before="0" w:after="120"/>
        <w:ind w:firstLine="454"/>
        <w:jc w:val="both"/>
      </w:pPr>
      <w:r>
        <w:rPr>
          <w:rFonts w:ascii="Times New Roman" w:hAnsi="Times New Roman" w:cs="B Nazanin"/>
          <w:sz w:val="22"/>
          <w:szCs w:val="28"/>
          <w:rtl w:val="1"/>
        </w:rPr>
        <w:t>پیامدِ حقوقیِ این رویکرد، پیدایشِ دو دستهٔ تعهد برای دولت‌هاست: تعهداتِ ماهویِ مثبت (تضمینِ کیفیتِ محیط زیست) و تعهداتِ رویه‌ای (مشارکتِ عمومی، دسترسی به اطلاعات و دسترسی به عدالت). این تعهداتِ رویه‌ای، همان حلقه‌ای‌اند که پیش‌نویسِ پیمان کوشید در سطحِ جهانی نهادینه کند.</w:t>
      </w:r>
    </w:p>
    <w:p>
      <w:pPr>
        <w:bidi w:val="1"/>
        <w:spacing w:line="312" w:lineRule="auto" w:before="0" w:after="120"/>
        <w:ind w:firstLine="454"/>
        <w:jc w:val="both"/>
      </w:pPr>
      <w:r>
        <w:rPr>
          <w:rFonts w:ascii="Times New Roman" w:hAnsi="Times New Roman" w:cs="B Nazanin"/>
          <w:sz w:val="22"/>
          <w:szCs w:val="28"/>
          <w:rtl w:val="1"/>
        </w:rPr>
        <w:t>برای پرهیز از فروکاستِ بحث به یک مرورِ صرفِ حقوق بشری، باید ارتباطِ این رویکرد با پرسشِ اصلیِ رساله حفظ شود: حق‌محوری چگونه می‌تواند مبنایی برای تفسیرِ هماهنگِ MEAها و کاهشِ هزینه‌های پراکندگی فراهم آورد؟</w:t>
      </w:r>
    </w:p>
    <w:p>
      <w:pPr>
        <w:pStyle w:val="GPEHeading3"/>
        <w:bidi w:val="1"/>
        <w:spacing w:line="312" w:lineRule="auto" w:before="200" w:after="120"/>
        <w:jc w:val="right"/>
      </w:pPr>
      <w:r>
        <w:rPr>
          <w:rFonts w:ascii="Times New Roman" w:hAnsi="Times New Roman" w:cs="B Nazanin"/>
          <w:sz w:val="24"/>
          <w:szCs w:val="24"/>
          <w:rtl w:val="1"/>
          <w:b/>
          <w:bCs/>
          <w:color w:val="14203a"/>
        </w:rPr>
        <w:t>۲-۷-۴ زنجیرهٔ استدلالی: از مکتبِ فلسفی تا رژیمِ حقوقی و پیمان</w:t>
      </w:r>
    </w:p>
    <w:p>
      <w:pPr>
        <w:bidi w:val="1"/>
        <w:spacing w:line="312" w:lineRule="auto" w:before="0" w:after="120"/>
        <w:ind w:firstLine="454"/>
        <w:jc w:val="both"/>
      </w:pPr>
      <w:r>
        <w:rPr>
          <w:rFonts w:ascii="Times New Roman" w:hAnsi="Times New Roman" w:cs="B Nazanin"/>
          <w:sz w:val="22"/>
          <w:szCs w:val="28"/>
          <w:rtl w:val="1"/>
        </w:rPr>
        <w:t>برای آنکه بخشِ فلسفی از سطحِ «مرورِ اندیشه‌ها» به «تحلیلِ حقوقی» ارتقا یابد، هر مکتب باید در یک زنجیرهٔ علّی ردیابی شود: مکتبِ فلسفی ← نگرش به رابطهٔ انسان و طبیعت ← مبانیِ اخلاقی ← مبانیِ حقوقی ← اصولِ محیط‌زیستی ← نوعِ تعهداتِ دولت‌ها ← نوعِ رژیمِ حقوقی ← نسبتِ آن با پیمان جهانی محیط زیست.</w:t>
      </w:r>
    </w:p>
    <w:p>
      <w:pPr>
        <w:bidi w:val="1"/>
        <w:spacing w:line="312" w:lineRule="auto" w:before="0" w:after="120"/>
        <w:ind w:firstLine="454"/>
        <w:jc w:val="both"/>
      </w:pPr>
      <w:r>
        <w:rPr>
          <w:rFonts w:ascii="Times New Roman" w:hAnsi="Times New Roman" w:cs="B Nazanin"/>
          <w:sz w:val="22"/>
          <w:szCs w:val="28"/>
          <w:rtl w:val="1"/>
        </w:rPr>
        <w:t>کاربستِ این زنجیره نشان می‌دهد که پیش‌نویسِ پیمان محصولِ یک مکتبِ واحد نیست، بلکه تلاشی برای هم‌نشین‌کردنِ سه منطق (انسان‌محور، بوم‌محور و حق‌محور) در یک سند است؛ همین چندمنطقی‌بودن، هم منبعِ غنای هنجاریِ آن و هم منشأِ ابهام و اختلافِ تفسیریِ آن در مذاکرات بوده است.</w:t>
      </w:r>
    </w:p>
    <w:p>
      <w:pPr>
        <w:bidi w:val="1"/>
        <w:spacing w:line="312" w:lineRule="auto" w:before="0" w:after="120"/>
        <w:ind w:firstLine="454"/>
        <w:jc w:val="both"/>
      </w:pPr>
      <w:r>
        <w:rPr>
          <w:rFonts w:ascii="Times New Roman" w:hAnsi="Times New Roman" w:cs="B Nazanin"/>
          <w:sz w:val="22"/>
          <w:szCs w:val="28"/>
          <w:rtl w:val="1"/>
        </w:rPr>
        <w:t>نتیجهٔ تحلیلی آن است که غنای فلسفیِ پیمان لزوماً به انسجامِ حقوقی نمی‌انجامد؛ این گزاره، پلِ مفهومیِ فصلِ دوم به نقدِ «جامعیت در برابر انسجام» است که در ادامه بسط می‌یابد.</w:t>
      </w:r>
    </w:p>
    <w:p>
      <w:pPr>
        <w:pStyle w:val="GPEHeading3"/>
        <w:bidi w:val="1"/>
        <w:spacing w:line="312" w:lineRule="auto" w:before="200" w:after="120"/>
        <w:jc w:val="right"/>
      </w:pPr>
      <w:r>
        <w:rPr>
          <w:rFonts w:ascii="Times New Roman" w:hAnsi="Times New Roman" w:cs="B Nazanin"/>
          <w:sz w:val="24"/>
          <w:szCs w:val="24"/>
          <w:rtl w:val="1"/>
          <w:b/>
          <w:bCs/>
          <w:color w:val="14203a"/>
        </w:rPr>
        <w:t>۲-۷-۵ آنتروپوسن و ضرورتِ بازاندیشی در ساختارِ حقوق بین‌الملل محیط زیست</w:t>
      </w:r>
    </w:p>
    <w:p>
      <w:pPr>
        <w:bidi w:val="1"/>
        <w:spacing w:line="312" w:lineRule="auto" w:before="0" w:after="120"/>
        <w:ind w:firstLine="454"/>
        <w:jc w:val="both"/>
      </w:pPr>
      <w:r>
        <w:rPr>
          <w:rFonts w:ascii="Times New Roman" w:hAnsi="Times New Roman" w:cs="B Nazanin"/>
          <w:sz w:val="22"/>
          <w:szCs w:val="28"/>
          <w:rtl w:val="1"/>
        </w:rPr>
        <w:t>آنتروپوسن صرفاً یک مفهومِ زمین‌شناختی یا مقدمه‌ای برای توصیفِ بحران نیست؛ برای رساله، ارزشِ آن در دلالتِ حقوقیِ آن نهفته است. زنجیرهٔ دلالت چنین است: افزایشِ نقشِ فعالیتِ انسانی در تغییراتِ سیاره‌ای ← سیستمیک و درهم‌تنیده‌شدنِ بحران‌ها ← فرامرزی‌شدنِ آثار ← ناکافی‌شدنِ پاسخ‌های کاملاً بخشی ← افزایشِ نیاز به انسجامِ هنجاری و نهادی ← طرحِ ایدهٔ یک چارچوبِ اصولیِ مشترک همچون پیمان.</w:t>
      </w:r>
    </w:p>
    <w:p>
      <w:pPr>
        <w:bidi w:val="1"/>
        <w:spacing w:line="312" w:lineRule="auto" w:before="0" w:after="120"/>
        <w:ind w:firstLine="454"/>
        <w:jc w:val="both"/>
      </w:pPr>
      <w:r>
        <w:rPr>
          <w:rFonts w:ascii="Times New Roman" w:hAnsi="Times New Roman" w:cs="B Nazanin"/>
          <w:sz w:val="22"/>
          <w:szCs w:val="28"/>
          <w:rtl w:val="1"/>
        </w:rPr>
        <w:t>بدین‌ترتیب، آنتروپوسن نشان می‌دهد که تقسیمِ سنتیِ حقوق محیط زیست به رژیم‌های مجزا (اقلیم، تنوع زیستی، مواد شیمیایی و…) با ماهیتِ سیستمیِ مسائلِ کنونی ناسازگار است؛ اما این ناسازگاری به‌خودیِ‌خود اثباتِ «لزومِ یک معاهدهٔ واحد» نیست، بلکه اثباتِ «لزومِ سازوکارهای هماهنگ‌کننده» است.</w:t>
      </w:r>
    </w:p>
    <w:p>
      <w:pPr>
        <w:bidi w:val="1"/>
        <w:spacing w:line="312" w:lineRule="auto" w:before="0" w:after="120"/>
        <w:ind w:firstLine="454"/>
        <w:jc w:val="both"/>
      </w:pPr>
      <w:r>
        <w:rPr>
          <w:rFonts w:ascii="Times New Roman" w:hAnsi="Times New Roman" w:cs="B Nazanin"/>
          <w:sz w:val="22"/>
          <w:szCs w:val="28"/>
          <w:rtl w:val="1"/>
        </w:rPr>
        <w:t>پرسشِ کانونیِ این بخش آن است که چرا آنتروپوسن ضرورتِ بازاندیشی در ساختار — و نه صرفاً افزایشِ کمیّتِ قواعد — را ایجاب می‌کند. پاسخِ رساله این است که مسئله، کمبودِ قاعده نیست؛ مسئله، نبودِ منطقِ انسجام‌بخش میان قواعدِ پرشمارِ موجود است.</w:t>
      </w:r>
      <w:r>
        <w:rPr>
          <w:rStyle w:val="FootnoteReference"/>
          <w:rtl w:val="1"/>
        </w:rPr>
        <w:footnoteReference w:id="99"/>
      </w:r>
    </w:p>
    <w:p>
      <w:pPr>
        <w:pStyle w:val="GPEHeading3"/>
        <w:bidi w:val="1"/>
        <w:spacing w:line="312" w:lineRule="auto" w:before="200" w:after="120"/>
        <w:jc w:val="right"/>
      </w:pPr>
      <w:r>
        <w:rPr>
          <w:rFonts w:ascii="Times New Roman" w:hAnsi="Times New Roman" w:cs="B Nazanin"/>
          <w:sz w:val="24"/>
          <w:szCs w:val="24"/>
          <w:rtl w:val="1"/>
          <w:b/>
          <w:bCs/>
          <w:color w:val="14203a"/>
        </w:rPr>
        <w:t>۲-۸-۱ ویژگیِ واکنشی‌بودن</w:t>
      </w:r>
    </w:p>
    <w:p>
      <w:pPr>
        <w:bidi w:val="1"/>
        <w:spacing w:line="312" w:lineRule="auto" w:before="0" w:after="120"/>
        <w:ind w:firstLine="454"/>
        <w:jc w:val="both"/>
      </w:pPr>
      <w:r>
        <w:rPr>
          <w:rFonts w:ascii="Times New Roman" w:hAnsi="Times New Roman" w:cs="B Nazanin"/>
          <w:sz w:val="22"/>
          <w:szCs w:val="28"/>
          <w:rtl w:val="1"/>
        </w:rPr>
        <w:t>منظور از واکنشی‌بودن آن است که حقوق بین‌الملل محیط زیست غالباً پس از بروز یا تشدیدِ یک بحرانِ مشخص توسعه یافته است، نه پیش از آن؛ نمونهٔ آن، شکل‌گیریِ رژیمِ لایهٔ ازن پس از کشفِ حفرهٔ ازن است.</w:t>
      </w:r>
    </w:p>
    <w:p>
      <w:pPr>
        <w:bidi w:val="1"/>
        <w:spacing w:line="312" w:lineRule="auto" w:before="0" w:after="120"/>
        <w:ind w:firstLine="454"/>
        <w:jc w:val="both"/>
      </w:pPr>
      <w:r>
        <w:rPr>
          <w:rFonts w:ascii="Times New Roman" w:hAnsi="Times New Roman" w:cs="B Nazanin"/>
          <w:sz w:val="22"/>
          <w:szCs w:val="28"/>
          <w:rtl w:val="1"/>
        </w:rPr>
        <w:t>این ویژگی از آن‌رو شکل گرفته که اجماعِ سیاسیِ لازم برای تعهدِ الزام‌آور معمولاً تنها پس از آشکارشدنِ زیانِ ملموس فراهم می‌شود؛ پیش از بحران، هزینهٔ سیاسیِ تعهد بر منفعتِ آن می‌چربد.</w:t>
      </w:r>
    </w:p>
    <w:p>
      <w:pPr>
        <w:bidi w:val="1"/>
        <w:spacing w:line="312" w:lineRule="auto" w:before="0" w:after="120"/>
        <w:ind w:firstLine="454"/>
        <w:jc w:val="both"/>
      </w:pPr>
      <w:r>
        <w:rPr>
          <w:rFonts w:ascii="Times New Roman" w:hAnsi="Times New Roman" w:cs="B Nazanin"/>
          <w:sz w:val="22"/>
          <w:szCs w:val="28"/>
          <w:rtl w:val="1"/>
        </w:rPr>
        <w:t>اثرِ آن بر امکانِ پیمانِ جامع دوگانه است: از یک‌سو پیمان می‌کوشد از منطقِ واکنشی فراتر رود و اصولی پیشینی بنا نهد؛ از سوی دیگر، همین پیشینی‌بودن، انگیزهٔ سیاسیِ دولت‌ها برای پذیرشِ آن را کاهش می‌دهد و خود می‌تواند عاملِ ناکامی باشد.</w:t>
      </w:r>
    </w:p>
    <w:p>
      <w:pPr>
        <w:pStyle w:val="GPEHeading3"/>
        <w:bidi w:val="1"/>
        <w:spacing w:line="312" w:lineRule="auto" w:before="200" w:after="120"/>
        <w:jc w:val="right"/>
      </w:pPr>
      <w:r>
        <w:rPr>
          <w:rFonts w:ascii="Times New Roman" w:hAnsi="Times New Roman" w:cs="B Nazanin"/>
          <w:sz w:val="24"/>
          <w:szCs w:val="24"/>
          <w:rtl w:val="1"/>
          <w:b/>
          <w:bCs/>
          <w:color w:val="14203a"/>
        </w:rPr>
        <w:t>۲-۸-۲ ویژگیِ بخشی‌بودن</w:t>
      </w:r>
    </w:p>
    <w:p>
      <w:pPr>
        <w:bidi w:val="1"/>
        <w:spacing w:line="312" w:lineRule="auto" w:before="0" w:after="120"/>
        <w:ind w:firstLine="454"/>
        <w:jc w:val="both"/>
      </w:pPr>
      <w:r>
        <w:rPr>
          <w:rFonts w:ascii="Times New Roman" w:hAnsi="Times New Roman" w:cs="B Nazanin"/>
          <w:sz w:val="22"/>
          <w:szCs w:val="28"/>
          <w:rtl w:val="1"/>
        </w:rPr>
        <w:t>بخشی‌بودن یعنی رژیم‌های حقوقی حول موضوعاتِ معیّن — تنوع زیستی، تغییرات اقلیمی، آلودگی، دریاها، مواد شیمیایی و پسماند — به‌صورتِ مجزا شکل گرفته‌اند و هر یک نهاد، دبیرخانه و سازوکارِ نظارتیِ خود را دارند.</w:t>
      </w:r>
    </w:p>
    <w:p>
      <w:pPr>
        <w:bidi w:val="1"/>
        <w:spacing w:line="312" w:lineRule="auto" w:before="0" w:after="120"/>
        <w:ind w:firstLine="454"/>
        <w:jc w:val="both"/>
      </w:pPr>
      <w:r>
        <w:rPr>
          <w:rFonts w:ascii="Times New Roman" w:hAnsi="Times New Roman" w:cs="B Nazanin"/>
          <w:sz w:val="22"/>
          <w:szCs w:val="28"/>
          <w:rtl w:val="1"/>
        </w:rPr>
        <w:t>علتِ آن، هم ماهیتِ تخصصیِ مسائل و هم منطقِ مذاکرهٔ گام‌به‌گام است که توافق بر سرِ یک موضوعِ محدود را آسان‌تر از توافقِ فراگیر می‌سازد.</w:t>
      </w:r>
    </w:p>
    <w:p>
      <w:pPr>
        <w:bidi w:val="1"/>
        <w:spacing w:line="312" w:lineRule="auto" w:before="0" w:after="120"/>
        <w:ind w:firstLine="454"/>
        <w:jc w:val="both"/>
      </w:pPr>
      <w:r>
        <w:rPr>
          <w:rFonts w:ascii="Times New Roman" w:hAnsi="Times New Roman" w:cs="B Nazanin"/>
          <w:sz w:val="22"/>
          <w:szCs w:val="28"/>
          <w:rtl w:val="1"/>
        </w:rPr>
        <w:t>این ویژگی مستقیماً به پراکندگی (Fragmentation) متصل است و اثرِ آن بر پیمانِ جامع آن است که پیمان باید بر پیکره‌ای از پیش‌بخش‌بندی‌شده افزوده شود؛ یعنی مسئلهٔ «تعاملِ عام و خاص» از همان آغاز مطرح است.</w:t>
      </w:r>
    </w:p>
    <w:p>
      <w:pPr>
        <w:pStyle w:val="GPEHeading3"/>
        <w:bidi w:val="1"/>
        <w:spacing w:line="312" w:lineRule="auto" w:before="200" w:after="120"/>
        <w:jc w:val="right"/>
      </w:pPr>
      <w:r>
        <w:rPr>
          <w:rFonts w:ascii="Times New Roman" w:hAnsi="Times New Roman" w:cs="B Nazanin"/>
          <w:sz w:val="24"/>
          <w:szCs w:val="24"/>
          <w:rtl w:val="1"/>
          <w:b/>
          <w:bCs/>
          <w:color w:val="14203a"/>
        </w:rPr>
        <w:t>۲-۸-۳ ویژگیِ تدریجی‌بودن</w:t>
      </w:r>
    </w:p>
    <w:p>
      <w:pPr>
        <w:bidi w:val="1"/>
        <w:spacing w:line="312" w:lineRule="auto" w:before="0" w:after="120"/>
        <w:ind w:firstLine="454"/>
        <w:jc w:val="both"/>
      </w:pPr>
      <w:r>
        <w:rPr>
          <w:rFonts w:ascii="Times New Roman" w:hAnsi="Times New Roman" w:cs="B Nazanin"/>
          <w:sz w:val="22"/>
          <w:szCs w:val="28"/>
          <w:rtl w:val="1"/>
        </w:rPr>
        <w:t>تدریجی‌بودن یعنی قواعد معمولاً مرحله‌ای، مبتنی بر اجماع و در چارچوبِ مذاکراتِ طولانی و از رهگذرِ گذار از حقوق نرم به حقوق سخت توسعه یافته‌اند.</w:t>
      </w:r>
    </w:p>
    <w:p>
      <w:pPr>
        <w:bidi w:val="1"/>
        <w:spacing w:line="312" w:lineRule="auto" w:before="0" w:after="120"/>
        <w:ind w:firstLine="454"/>
        <w:jc w:val="both"/>
      </w:pPr>
      <w:r>
        <w:rPr>
          <w:rFonts w:ascii="Times New Roman" w:hAnsi="Times New Roman" w:cs="B Nazanin"/>
          <w:sz w:val="22"/>
          <w:szCs w:val="28"/>
          <w:rtl w:val="1"/>
        </w:rPr>
        <w:t>این ویژگی ریشه در ضرورتِ ساختنِ اعتماد و انباشتِ رویه دارد؛ دولت‌ها پیش از تعهدِ سخت، ترجیح می‌دهند از خلالِ ابزارهای غیرالزام‌آور، هزینه و فایده را بسنجند.</w:t>
      </w:r>
    </w:p>
    <w:p>
      <w:pPr>
        <w:bidi w:val="1"/>
        <w:spacing w:line="312" w:lineRule="auto" w:before="0" w:after="120"/>
        <w:ind w:firstLine="454"/>
        <w:jc w:val="both"/>
      </w:pPr>
      <w:r>
        <w:rPr>
          <w:rFonts w:ascii="Times New Roman" w:hAnsi="Times New Roman" w:cs="B Nazanin"/>
          <w:sz w:val="22"/>
          <w:szCs w:val="28"/>
          <w:rtl w:val="1"/>
        </w:rPr>
        <w:t>برای تبیینِ شکستِ پیمان، این ویژگی کلیدی است: پیمان کوشید مسیرِ تدریجی را با یک جهشِ فراگیر میان‌بر بزند، حال‌آنکه سرشتِ نظام با گذارِ تدریجی سازگارتر است.</w:t>
      </w:r>
    </w:p>
    <w:p>
      <w:pPr>
        <w:pStyle w:val="GPEHeading3"/>
        <w:bidi w:val="1"/>
        <w:spacing w:line="312" w:lineRule="auto" w:before="200" w:after="120"/>
        <w:jc w:val="right"/>
      </w:pPr>
      <w:r>
        <w:rPr>
          <w:rFonts w:ascii="Times New Roman" w:hAnsi="Times New Roman" w:cs="B Nazanin"/>
          <w:sz w:val="24"/>
          <w:szCs w:val="24"/>
          <w:rtl w:val="1"/>
          <w:b/>
          <w:bCs/>
          <w:color w:val="14203a"/>
        </w:rPr>
        <w:t>۲-۸-۴ ویژگیِ پراکنده‌بودن</w:t>
      </w:r>
    </w:p>
    <w:p>
      <w:pPr>
        <w:bidi w:val="1"/>
        <w:spacing w:line="312" w:lineRule="auto" w:before="0" w:after="120"/>
        <w:ind w:firstLine="454"/>
        <w:jc w:val="both"/>
      </w:pPr>
      <w:r>
        <w:rPr>
          <w:rFonts w:ascii="Times New Roman" w:hAnsi="Times New Roman" w:cs="B Nazanin"/>
          <w:sz w:val="22"/>
          <w:szCs w:val="28"/>
          <w:rtl w:val="1"/>
        </w:rPr>
        <w:t>پراکنده‌بودن یعنی نبودِ یک مرکزِ هنجاری و نهادیِ واحد؛ قواعد و نهادها در شبکه‌ای افقی و بدونِ سلسله‌مراتبِ روشن پخش شده‌اند. این بخش، حلقهٔ اتصالِ فصلِ دوم به فصلِ چهارم است.</w:t>
      </w:r>
    </w:p>
    <w:p>
      <w:pPr>
        <w:bidi w:val="1"/>
        <w:spacing w:line="312" w:lineRule="auto" w:before="0" w:after="120"/>
        <w:ind w:firstLine="454"/>
        <w:jc w:val="both"/>
      </w:pPr>
      <w:r>
        <w:rPr>
          <w:rFonts w:ascii="Times New Roman" w:hAnsi="Times New Roman" w:cs="B Nazanin"/>
          <w:sz w:val="22"/>
          <w:szCs w:val="28"/>
          <w:rtl w:val="1"/>
        </w:rPr>
        <w:t>این ویژگی ساختاری است و عللِ متعدد دارد؛ باید از ادعای ساده‌انگارانهٔ «پراکندگی معلولِ فقدانِ پیمان است» پرهیز کرد. پراکندگی حتی با وجودِ پیمان نیز کمابیش برقرار می‌ماند.</w:t>
      </w:r>
    </w:p>
    <w:p>
      <w:pPr>
        <w:bidi w:val="1"/>
        <w:spacing w:line="312" w:lineRule="auto" w:before="0" w:after="120"/>
        <w:ind w:firstLine="454"/>
        <w:jc w:val="both"/>
      </w:pPr>
      <w:r>
        <w:rPr>
          <w:rFonts w:ascii="Times New Roman" w:hAnsi="Times New Roman" w:cs="B Nazanin"/>
          <w:sz w:val="22"/>
          <w:szCs w:val="28"/>
          <w:rtl w:val="1"/>
        </w:rPr>
        <w:t>اثرِ آن بر پیمان آن است که کارکردِ واقع‌بینانهٔ پیمان نه «حذفِ پراکندگی»، بلکه «مدیریتِ هزینه‌های آن» از طریقِ مبنای مشترکِ تفسیری است.</w:t>
      </w:r>
      <w:r>
        <w:rPr>
          <w:rStyle w:val="FootnoteReference"/>
          <w:rtl w:val="1"/>
        </w:rPr>
        <w:footnoteReference w:id="100"/>
      </w:r>
    </w:p>
    <w:p>
      <w:pPr>
        <w:pStyle w:val="GPEHeading3"/>
        <w:bidi w:val="1"/>
        <w:spacing w:line="312" w:lineRule="auto" w:before="200" w:after="120"/>
        <w:jc w:val="right"/>
      </w:pPr>
      <w:r>
        <w:rPr>
          <w:rFonts w:ascii="Times New Roman" w:hAnsi="Times New Roman" w:cs="B Nazanin"/>
          <w:sz w:val="24"/>
          <w:szCs w:val="24"/>
          <w:rtl w:val="1"/>
          <w:b/>
          <w:bCs/>
          <w:color w:val="14203a"/>
        </w:rPr>
        <w:t>۲-۸-۵ ویژگیِ اجماعی‌بودن</w:t>
      </w:r>
    </w:p>
    <w:p>
      <w:pPr>
        <w:bidi w:val="1"/>
        <w:spacing w:line="312" w:lineRule="auto" w:before="0" w:after="120"/>
        <w:ind w:firstLine="454"/>
        <w:jc w:val="both"/>
      </w:pPr>
      <w:r>
        <w:rPr>
          <w:rFonts w:ascii="Times New Roman" w:hAnsi="Times New Roman" w:cs="B Nazanin"/>
          <w:sz w:val="22"/>
          <w:szCs w:val="28"/>
          <w:rtl w:val="1"/>
        </w:rPr>
        <w:t>اجماعی‌بودن یعنی تولیدِ قاعدهٔ الزام‌آور مستلزمِ رضایتِ دولت‌هاست و در عملْ به روالِ تصمیم‌گیریِ توافقی گرایش دارد؛ همین، به هر بازیگرِ ناراضی قدرتِ کارشکنی می‌دهد.</w:t>
      </w:r>
    </w:p>
    <w:p>
      <w:pPr>
        <w:bidi w:val="1"/>
        <w:spacing w:line="312" w:lineRule="auto" w:before="0" w:after="120"/>
        <w:ind w:firstLine="454"/>
        <w:jc w:val="both"/>
      </w:pPr>
      <w:r>
        <w:rPr>
          <w:rFonts w:ascii="Times New Roman" w:hAnsi="Times New Roman" w:cs="B Nazanin"/>
          <w:sz w:val="22"/>
          <w:szCs w:val="28"/>
          <w:rtl w:val="1"/>
        </w:rPr>
        <w:t>این ویژگی ریشه در اصلِ حاکمیتِ برابرِ دولت‌ها دارد و در نبودِ یک قانون‌گذارِ جهانی، تنها راهِ مشروعِ تولیدِ تعهد است.</w:t>
      </w:r>
    </w:p>
    <w:p>
      <w:pPr>
        <w:bidi w:val="1"/>
        <w:spacing w:line="312" w:lineRule="auto" w:before="0" w:after="120"/>
        <w:ind w:firstLine="454"/>
        <w:jc w:val="both"/>
      </w:pPr>
      <w:r>
        <w:rPr>
          <w:rFonts w:ascii="Times New Roman" w:hAnsi="Times New Roman" w:cs="B Nazanin"/>
          <w:sz w:val="22"/>
          <w:szCs w:val="28"/>
          <w:rtl w:val="1"/>
        </w:rPr>
        <w:t>برای پیمانِ جهانی این ویژگی سرنوشت‌ساز است: هرچه دامنهٔ پیمان گسترده‌تر، تعدادِ منافعِ متعارض، هزینهٔ سیاسی و نگرانیِ حاکمیتی بیشتر و در نتیجه احتمالِ اجماع کمتر می‌شود. این گزاره، پلِ تحلیلی به بحثِ «دامنه به‌مثابه علتِ شکست» در فصلِ سوم است.</w:t>
      </w:r>
    </w:p>
    <w:p>
      <w:pPr>
        <w:pStyle w:val="GPEHeading3"/>
        <w:bidi w:val="1"/>
        <w:spacing w:line="312" w:lineRule="auto" w:before="200" w:after="120"/>
        <w:jc w:val="right"/>
      </w:pPr>
      <w:r>
        <w:rPr>
          <w:rFonts w:ascii="Times New Roman" w:hAnsi="Times New Roman" w:cs="B Nazanin"/>
          <w:sz w:val="24"/>
          <w:szCs w:val="24"/>
          <w:rtl w:val="1"/>
          <w:b/>
          <w:bCs/>
          <w:color w:val="14203a"/>
        </w:rPr>
        <w:t>۲-۹-۱ نکتهٔ نظریِ کانونی: جامعیت لزوماً انسجام نیست</w:t>
      </w:r>
    </w:p>
    <w:p>
      <w:pPr>
        <w:bidi w:val="1"/>
        <w:spacing w:line="312" w:lineRule="auto" w:before="0" w:after="120"/>
        <w:ind w:firstLine="454"/>
        <w:jc w:val="both"/>
      </w:pPr>
      <w:r>
        <w:rPr>
          <w:rFonts w:ascii="Times New Roman" w:hAnsi="Times New Roman" w:cs="B Nazanin"/>
          <w:sz w:val="22"/>
          <w:szCs w:val="28"/>
          <w:rtl w:val="1"/>
        </w:rPr>
        <w:t>یکی از گزاره‌های نظریِ محوریِ رساله آن است که یک معاهدهٔ جامع لزوماً نظامی منسجم پدید نمی‌آورد. جامعیت به گستره و شمولِ موضوعی اشاره دارد، حال‌آنکه انسجام به سازگاریِ درونیِ هنجارها و نبودِ تعارضِ تفسیری و نهادی ناظر است.</w:t>
      </w:r>
    </w:p>
    <w:p>
      <w:pPr>
        <w:bidi w:val="1"/>
        <w:spacing w:line="312" w:lineRule="auto" w:before="0" w:after="120"/>
        <w:ind w:firstLine="454"/>
        <w:jc w:val="both"/>
      </w:pPr>
      <w:r>
        <w:rPr>
          <w:rFonts w:ascii="Times New Roman" w:hAnsi="Times New Roman" w:cs="B Nazanin"/>
          <w:sz w:val="22"/>
          <w:szCs w:val="28"/>
          <w:rtl w:val="1"/>
        </w:rPr>
        <w:t>یک معاهدهٔ جامع می‌تواند خودْ منشأِ تعارض‌های تازه شود: پیچیده‌کردنِ صلاحیتِ نهادها، ایجادِ تفسیرهای متعارض میان سندِ عام و رژیم‌های خاص، افزایشِ بارِ تعهداتِ دولت‌ها و حتی پیدایشِ لایهٔ تازه‌ای از پراکندگی. بنابراین باید میان دو مفهومِ جامعیت و انسجام تفکیکِ روشن قائل شد.</w:t>
      </w:r>
      <w:r>
        <w:rPr>
          <w:rStyle w:val="FootnoteReference"/>
          <w:rtl w:val="1"/>
        </w:rPr>
        <w:footnoteReference w:id="101"/>
      </w:r>
    </w:p>
    <w:p>
      <w:pPr>
        <w:bidi w:val="1"/>
        <w:spacing w:line="312" w:lineRule="auto" w:before="0" w:after="120"/>
        <w:ind w:firstLine="454"/>
        <w:jc w:val="both"/>
      </w:pPr>
      <w:r>
        <w:rPr>
          <w:rFonts w:ascii="Times New Roman" w:hAnsi="Times New Roman" w:cs="B Nazanin"/>
          <w:sz w:val="22"/>
          <w:szCs w:val="28"/>
          <w:rtl w:val="1"/>
        </w:rPr>
        <w:t>این تفکیک، هستهٔ تزِ اصلاح‌شدهٔ رساله را می‌سازد: هدفِ مطلوب «انسجام» است، اما «جامعیتِ یک‌سندی» تنها یکی از ابزارهای ممکن — و نه لزوماً بهترین ابزار — برای دستیابی به آن است.</w:t>
      </w:r>
    </w:p>
    <w:p>
      <w:pPr>
        <w:pStyle w:val="GPEHeading3"/>
        <w:bidi w:val="1"/>
        <w:spacing w:line="312" w:lineRule="auto" w:before="200" w:after="120"/>
        <w:jc w:val="right"/>
      </w:pPr>
      <w:r>
        <w:rPr>
          <w:rFonts w:ascii="Times New Roman" w:hAnsi="Times New Roman" w:cs="B Nazanin"/>
          <w:sz w:val="24"/>
          <w:szCs w:val="24"/>
          <w:rtl w:val="1"/>
          <w:b/>
          <w:bCs/>
          <w:color w:val="14203a"/>
        </w:rPr>
        <w:t>۲-۹-۲ بازتعریفِ پراکندگی: ویژگیِ ساختاری با کارکردهای دوگانه</w:t>
      </w:r>
    </w:p>
    <w:p>
      <w:pPr>
        <w:bidi w:val="1"/>
        <w:spacing w:line="312" w:lineRule="auto" w:before="0" w:after="120"/>
        <w:ind w:firstLine="454"/>
        <w:jc w:val="both"/>
      </w:pPr>
      <w:r>
        <w:rPr>
          <w:rFonts w:ascii="Times New Roman" w:hAnsi="Times New Roman" w:cs="B Nazanin"/>
          <w:sz w:val="22"/>
          <w:szCs w:val="28"/>
          <w:rtl w:val="1"/>
        </w:rPr>
        <w:t>رساله نباید پراکندگی را صرفاً یک آسیب معرفی کند. پراکندگی مزایای واقعی نیز دارد: تخصصی‌شدنِ رژیم‌ها، انعطاف در برابرِ مسائلِ خاص، امکانِ پاسخِ سریع‌تر، مشارکتِ گسترده‌ترِ بازیگران و توسعهٔ تدریجی و آزمایشیِ قواعد.</w:t>
      </w:r>
    </w:p>
    <w:p>
      <w:pPr>
        <w:bidi w:val="1"/>
        <w:spacing w:line="312" w:lineRule="auto" w:before="0" w:after="120"/>
        <w:ind w:firstLine="454"/>
        <w:jc w:val="both"/>
      </w:pPr>
      <w:r>
        <w:rPr>
          <w:rFonts w:ascii="Times New Roman" w:hAnsi="Times New Roman" w:cs="B Nazanin"/>
          <w:sz w:val="22"/>
          <w:szCs w:val="28"/>
          <w:rtl w:val="1"/>
        </w:rPr>
        <w:t>از همین‌رو، صورت‌بندیِ دقیقِ تزِ رساله چنین است: «پراکندگی بخشی از ویژگیِ ساختاریِ حقوق بین‌الملل محیط زیست است؛ مسئلهٔ اصلی وجودِ پراکندگی نیست، بلکه پراکندگیِ بدونِ سازوکارهای کافی برای هماهنگی و انسجام است که هزینه‌های حقوقی، تفسیری و نهادی را تشدید می‌کند.» این صورت‌بندی جایگزینِ گزارهٔ ساده‌انگارانهٔ «فقدانِ پیمان موجبِ پراکندگی شده است» می‌شود.</w:t>
      </w:r>
      <w:r>
        <w:rPr>
          <w:rStyle w:val="FootnoteReference"/>
          <w:rtl w:val="1"/>
        </w:rPr>
        <w:footnoteReference w:id="102"/>
      </w:r>
    </w:p>
    <w:p>
      <w:pPr>
        <w:bidi w:val="1"/>
        <w:spacing w:line="312" w:lineRule="auto" w:before="0" w:after="120"/>
        <w:ind w:firstLine="454"/>
        <w:jc w:val="both"/>
      </w:pPr>
      <w:r>
        <w:rPr>
          <w:rFonts w:ascii="Times New Roman" w:hAnsi="Times New Roman" w:cs="B Nazanin"/>
          <w:sz w:val="22"/>
          <w:szCs w:val="28"/>
          <w:rtl w:val="1"/>
        </w:rPr>
        <w:t>در پرتوِ این بازتعریف، سندِ پراکندگیِ ۲۰۰۶ کمیسیون حقوق بین‌الملل نه به‌مثابه توصیفِ یک بیماری، بلکه به‌مثابه جعبه‌ابزارِ مدیریتِ تنوعِ هنجاری خوانده می‌شود؛ به‌ویژه از رهگذرِ مفهومِ «یکپارچگیِ نظام‌مند» و مادهٔ ۳۱(۳)(ج) کنوانسیون وین.</w:t>
      </w:r>
      <w:r>
        <w:rPr>
          <w:rStyle w:val="FootnoteReference"/>
          <w:rtl w:val="1"/>
        </w:rPr>
        <w:footnoteReference w:id="103"/>
      </w:r>
    </w:p>
    <w:p>
      <w:pPr>
        <w:pStyle w:val="GPEHeading2"/>
        <w:bidi w:val="1"/>
        <w:spacing w:line="312" w:lineRule="auto" w:before="200" w:after="120"/>
        <w:jc w:val="right"/>
      </w:pPr>
      <w:r>
        <w:rPr>
          <w:rFonts w:ascii="Times New Roman" w:hAnsi="Times New Roman" w:cs="B Nazanin"/>
          <w:sz w:val="24"/>
          <w:szCs w:val="24"/>
          <w:rtl w:val="1"/>
          <w:b/>
          <w:bCs/>
          <w:color w:val="14203a"/>
        </w:rPr>
        <w:t>۲-۱۰ نتیجه‌گیری فصل دوم</w:t>
      </w:r>
    </w:p>
    <w:p>
      <w:pPr>
        <w:bidi w:val="1"/>
        <w:spacing w:line="312" w:lineRule="auto" w:before="0" w:after="120"/>
        <w:ind w:firstLine="454"/>
        <w:jc w:val="both"/>
      </w:pPr>
      <w:r>
        <w:rPr>
          <w:rFonts w:ascii="Times New Roman" w:hAnsi="Times New Roman" w:cs="B Nazanin"/>
          <w:sz w:val="22"/>
          <w:szCs w:val="28"/>
          <w:rtl w:val="1"/>
        </w:rPr>
        <w:t>این فصل نشان داد که حقوق بین‌الملل محیط زیست، محصولِ یک مسیرِ تکاملیِ واکنشی، بخشی، پراکنده، تدریجی و اجماعی است و همین خصایصِ ساختاری، هم زمینه‌سازِ طرحِ ایدهٔ «پیمان جهانی محیط زیست» به‌مثابه سندِ اصولِ عامِ الزام‌آور شدند و هم موانعِ تحققِ آن را رقم زدند.</w:t>
      </w:r>
    </w:p>
    <w:p>
      <w:pPr>
        <w:bidi w:val="1"/>
        <w:spacing w:line="312" w:lineRule="auto" w:before="0" w:after="120"/>
        <w:ind w:firstLine="454"/>
        <w:jc w:val="both"/>
      </w:pPr>
      <w:r>
        <w:rPr>
          <w:rFonts w:ascii="Times New Roman" w:hAnsi="Times New Roman" w:cs="B Nazanin"/>
          <w:sz w:val="22"/>
          <w:szCs w:val="28"/>
          <w:rtl w:val="1"/>
        </w:rPr>
        <w:t>گذارِ فلسفی از انسان‌مداریِ بهره‌بردارانه به حق‌محوریِ زیست‌محیطی در عصرِ انتروپوسن، ایدهٔ «گذارِ هنجاریِ اصول از حقوق نرم به سند سخت» را موجه ساخت؛ اما چارچوبِ پراکندگیِ کمیسیون حقوق بین‌الملل روشن می‌کند که کارکردِ چنین سندی نه ادغامِ نهادی، بلکه تقویتِ «یکپارچگیِ نظام‌مند» است.</w:t>
      </w:r>
    </w:p>
    <w:p>
      <w:pPr>
        <w:bidi w:val="1"/>
        <w:spacing w:line="312" w:lineRule="auto" w:before="0" w:after="120"/>
        <w:ind w:firstLine="454"/>
        <w:jc w:val="both"/>
      </w:pPr>
      <w:r>
        <w:rPr>
          <w:rFonts w:ascii="Times New Roman" w:hAnsi="Times New Roman" w:cs="B Nazanin"/>
          <w:sz w:val="22"/>
          <w:szCs w:val="28"/>
          <w:rtl w:val="1"/>
        </w:rPr>
        <w:t>بدین‌ترتیب، فصلِ حاضر پلِ مفهومیِ لازم را برای فصل سوم (واکاویِ خلأها و بررسیِ خودِ ابتکارِ پیمان) و فصل چهارم (تحلیلِ اثرِ آن بر MEAها و پیامدهای شکست) فراهم می‌آورد.</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فصل ۳: از واکاوی خلأهای حقوق بین‌الملل محیط زیست تا بررسی ابتکار پیمان جهانی محیط زیست</w:t>
      </w:r>
    </w:p>
    <w:p>
      <w:pPr>
        <w:bidi w:val="1"/>
        <w:spacing w:line="312" w:lineRule="auto" w:before="0" w:after="160"/>
        <w:jc w:val="both"/>
      </w:pPr>
      <w:r>
        <w:rPr>
          <w:rFonts w:ascii="Times New Roman" w:hAnsi="Times New Roman" w:cs="B Nazanin"/>
          <w:sz w:val="22"/>
          <w:szCs w:val="24"/>
          <w:rtl w:val="1"/>
        </w:rPr>
        <w:t>متنِ واقعیِ پیش‌نویسِ نگارنده (قسمت اول، حول گزارش دبیرکل A/73/419) به‌همراه گفتار دومِ کاملِ تحلیلِ ابتکارِ پیمان (ضرورت، اهداف، دامنه، رویکردها، ماهیت، محتوای مواد، ارزش‌افزوده و کاستی‌ها) و نتیجه‌گیریِ مستقلِ فصل.</w:t>
      </w:r>
    </w:p>
    <w:p>
      <w:pPr>
        <w:pStyle w:val="GPEHeading3"/>
        <w:bidi w:val="1"/>
        <w:spacing w:line="312" w:lineRule="auto" w:before="200" w:after="120"/>
        <w:jc w:val="right"/>
      </w:pPr>
      <w:r>
        <w:rPr>
          <w:rFonts w:ascii="Times New Roman" w:hAnsi="Times New Roman" w:cs="B Nazanin"/>
          <w:sz w:val="24"/>
          <w:szCs w:val="24"/>
          <w:rtl w:val="1"/>
          <w:b/>
          <w:bCs/>
          <w:color w:val="14203a"/>
        </w:rPr>
        <w:t>مقدمه</w:t>
      </w:r>
    </w:p>
    <w:p>
      <w:pPr>
        <w:bidi w:val="1"/>
        <w:spacing w:line="312" w:lineRule="auto" w:before="0" w:after="120"/>
        <w:ind w:firstLine="454"/>
        <w:jc w:val="both"/>
      </w:pPr>
      <w:r>
        <w:rPr>
          <w:rFonts w:ascii="Times New Roman" w:hAnsi="Times New Roman" w:cs="B Nazanin"/>
          <w:sz w:val="22"/>
          <w:szCs w:val="28"/>
          <w:rtl w:val="1"/>
        </w:rPr>
        <w:t>مقدمه هوش</w:t>
      </w:r>
    </w:p>
    <w:p>
      <w:pPr>
        <w:bidi w:val="1"/>
        <w:spacing w:line="312" w:lineRule="auto" w:before="0" w:after="120"/>
        <w:ind w:firstLine="454"/>
        <w:jc w:val="both"/>
      </w:pPr>
      <w:r>
        <w:rPr>
          <w:rFonts w:ascii="Times New Roman" w:hAnsi="Times New Roman" w:cs="B Nazanin"/>
          <w:sz w:val="22"/>
          <w:szCs w:val="28"/>
          <w:rtl w:val="1"/>
        </w:rPr>
        <w:t>حقوق بین‌الملل محیط‌زیست در نیم‌قرن اخیر دستخوش تحولی شگرف شده است. از نخستین کنفرانس استکهلم (۱۹۷۲) تا استکهلم+۵۰ (۲۰۲۲)، مجموعه گسترده‌ای از معاهدات، کنوانسیون‌ها، پروتکل‌ها و اسناد حقوق نرم پدید آمده است که هر یک به بخشی از بحران‌های زیست‌محیطی جهانی پاسخ گفته‌اند. با این حال، با وجود انبوهی از هنجارها و نهادها، وضعیت محیط‌زیست جهانی نه‌تنها بهبود نیافته، بلکه شتاب تخریب روزافزون شده است. این پارادوکس آشکار – یعنی همزمانی انباشت هنجارهای محیط‌زیستی با تشدید بحران‌های زیست‌محیطی – خود به‌تنهایی گویای وجود کاستی‌هایی در نظام حقوق بین‌الملل محیط‌زیست است.</w:t>
      </w:r>
    </w:p>
    <w:p>
      <w:pPr>
        <w:bidi w:val="1"/>
        <w:spacing w:line="312" w:lineRule="auto" w:before="0" w:after="120"/>
        <w:ind w:firstLine="454"/>
        <w:jc w:val="both"/>
      </w:pPr>
      <w:r>
        <w:rPr>
          <w:rFonts w:ascii="Times New Roman" w:hAnsi="Times New Roman" w:cs="B Nazanin"/>
          <w:sz w:val="22"/>
          <w:szCs w:val="28"/>
          <w:rtl w:val="1"/>
        </w:rPr>
        <w:t>اهمیت فصل حاضر از آنجا ناشی می‌شود که شناسایی دقیق و نظام‌مند خلاءهای حقوق بین‌الملل محیط‌زیست، پیش‌شرط هرگونه اصلاح و بازنگری در این نظام حقوقی به‌شمار می‌رود. بدون شناخت عمیق از کاستی‌ها، ناهماهنگی‌ها و خلاءهای هنجاری، ساختاری و اجرایی، هر گونه تلاش برای اصلاح، اقدامی سلیقه‌ای و ناکارآمد خواهد بود. ازاین‌رو، واکاوی خلاءها گامی ضروری برای دستیابی به راهکارهای مؤثر در جهت ارتقاء کارآمدی حقوق بین‌الملل محیط‌زیست است.</w:t>
      </w:r>
    </w:p>
    <w:p>
      <w:pPr>
        <w:bidi w:val="1"/>
        <w:spacing w:line="312" w:lineRule="auto" w:before="0" w:after="120"/>
        <w:ind w:firstLine="454"/>
        <w:jc w:val="both"/>
      </w:pPr>
      <w:r>
        <w:rPr>
          <w:rFonts w:ascii="Times New Roman" w:hAnsi="Times New Roman" w:cs="B Nazanin"/>
          <w:sz w:val="22"/>
          <w:szCs w:val="28"/>
          <w:rtl w:val="1"/>
        </w:rPr>
        <w:t>آنچه به این واکاوی غنا می‌بخشد، گزارش دبیرکل سازمان ملل متحد (A/73/419) با عنوان «خلاءهای موجود در حقوق بین‌الملل محیط‌زیست و اسناد مرتبط با آن» است که در سال ۲۰۱۸ به مجمع عمومی ارائه شده است. این سند، برای نخستین بار، کوشیده است تا با نگاهی سیستمی، خلاءهای حقوق بین‌الملل محیط‌زیست را در همۀ ابعاد هنجاری، ساختاری و اجرایی شناسایی و دسته‌بندی کند. این گزارش که حاصل مشورت با دولت‌ها، سازمان‌های بین‌المللی، نهادهای تخصصی و صاحب‌نظران دانشگاهی است، یکی از جامع‌ترین اسنادی محسوب می‌شود که به‌طور نظام‌مند به شناسایی خلاءهای حقوق بین‌الملل محیط‌زیست پرداخته و از همین رو، محور تحلیلی گفتار نخست قرار گرفته است.</w:t>
      </w:r>
    </w:p>
    <w:p>
      <w:pPr>
        <w:bidi w:val="1"/>
        <w:spacing w:line="312" w:lineRule="auto" w:before="0" w:after="120"/>
        <w:ind w:firstLine="454"/>
        <w:jc w:val="both"/>
      </w:pPr>
      <w:r>
        <w:rPr>
          <w:rFonts w:ascii="Times New Roman" w:hAnsi="Times New Roman" w:cs="B Nazanin"/>
          <w:sz w:val="22"/>
          <w:szCs w:val="28"/>
          <w:rtl w:val="1"/>
        </w:rPr>
        <w:t>گفتار دوم در پی آن است تا ابتکار پیمان جهانی محیط‌زیست را به مثابه یکی از مهم‌ترین پاسخ‌های پیشنهادی به این خلاءها مورد بررسی قرار دهد. پرسش محوری آن است که این ابتکار تا چه اندازه می‌تواند خلاءهای شناسایی‌شده را مرتفع سازد و چه نسبتی با منابع موجود حقوق بین‌الملل محیط‌زیست برقرار می‌کند. بدین منظور، ضمن تبیین انواع خلاءها و ریشه‌یابی آن‌ها در ساختار کنونی حقوق بین الملل محیطزیست، ظرفیت‌ها و محدودیت‌های پیمان جهانی محیط‌زیست بهعنوان راهکاری برای تقویت کارآمدی این نظام تحلیل خواهد شد.</w:t>
      </w:r>
    </w:p>
    <w:p>
      <w:pPr>
        <w:bidi w:val="1"/>
        <w:spacing w:line="312" w:lineRule="auto" w:before="0" w:after="120"/>
        <w:ind w:firstLine="454"/>
        <w:jc w:val="both"/>
      </w:pPr>
      <w:r>
        <w:rPr>
          <w:rFonts w:ascii="Times New Roman" w:hAnsi="Times New Roman" w:cs="B Nazanin"/>
          <w:sz w:val="22"/>
          <w:szCs w:val="28"/>
          <w:rtl w:val="1"/>
        </w:rPr>
        <w:t>بنابراین، دو پرسش اصلی این فصل را می‌توان به این صورت بیان کرد:</w:t>
      </w:r>
    </w:p>
    <w:p>
      <w:pPr>
        <w:bidi w:val="1"/>
        <w:spacing w:line="312" w:lineRule="auto" w:before="0" w:after="120"/>
        <w:ind w:firstLine="454"/>
        <w:jc w:val="both"/>
      </w:pPr>
      <w:r>
        <w:rPr>
          <w:rFonts w:ascii="Times New Roman" w:hAnsi="Times New Roman" w:cs="B Nazanin"/>
          <w:sz w:val="22"/>
          <w:szCs w:val="28"/>
          <w:rtl w:val="1"/>
        </w:rPr>
        <w:t>گزارش دبیرکل سازمان ملل متحد (A/73/419) چه خلاءهایی را در نظام حقوق بین‌الملل محیط‌زیست آشکار می‌سازد و سرچشمه‌های اصلی این خلاءها کدامند و گزارش دبیرکل چه راهکارهایی برای رفع آنها پیشنهاد می‌دهد؟</w:t>
      </w:r>
    </w:p>
    <w:p>
      <w:pPr>
        <w:bidi w:val="1"/>
        <w:spacing w:line="312" w:lineRule="auto" w:before="0" w:after="120"/>
        <w:ind w:firstLine="454"/>
        <w:jc w:val="both"/>
      </w:pPr>
      <w:r>
        <w:rPr>
          <w:rFonts w:ascii="Times New Roman" w:hAnsi="Times New Roman" w:cs="B Nazanin"/>
          <w:sz w:val="22"/>
          <w:szCs w:val="28"/>
          <w:rtl w:val="1"/>
        </w:rPr>
        <w:t>آیا رفع خلاءهای شناسایی‌شده در چارچوب حقوق بین‌الملل کنونی امکان‌پذیر است یا تحقق این مهم مستلزم اتخاذ یک ابتکار کلان و تحول‌آفرین نظیر «پیمان جهانی محیط‌زیست» به‌عنوان یک سند چارچوبی جامع با ماهیت الزام‌آور است؟ و به عبارت دقیق‌تر، پیمان جهانی تا چه اندازه می‌تواند پاسخگوی خلاءهای شناسایی‌شده باشد و چه نسبتی با منابع موجود حقوق بین‌الملل محیط‌زیست برقرار می‌کند و مهم‌ترین چالش‌های فراروی آن کدام است؟</w:t>
      </w:r>
    </w:p>
    <w:p>
      <w:pPr>
        <w:pStyle w:val="GPEHeading2"/>
        <w:bidi w:val="1"/>
        <w:spacing w:line="312" w:lineRule="auto" w:before="200" w:after="120"/>
        <w:jc w:val="right"/>
      </w:pPr>
      <w:r>
        <w:rPr>
          <w:rFonts w:ascii="Times New Roman" w:hAnsi="Times New Roman" w:cs="B Nazanin"/>
          <w:sz w:val="24"/>
          <w:szCs w:val="24"/>
          <w:rtl w:val="1"/>
          <w:b/>
          <w:bCs/>
          <w:color w:val="14203a"/>
        </w:rPr>
        <w:t>۳-۱ واکاوی خلاءهای حقوق بینالملل محیطزیست در پرتو گزارش دبیرکل سازمان ملل متحد</w:t>
      </w:r>
    </w:p>
    <w:p>
      <w:pPr>
        <w:bidi w:val="1"/>
        <w:spacing w:line="312" w:lineRule="auto" w:before="0" w:after="120"/>
        <w:ind w:firstLine="454"/>
        <w:jc w:val="both"/>
      </w:pPr>
      <w:r>
        <w:rPr>
          <w:rFonts w:ascii="Times New Roman" w:hAnsi="Times New Roman" w:cs="B Nazanin"/>
          <w:sz w:val="22"/>
          <w:szCs w:val="28"/>
          <w:rtl w:val="1"/>
        </w:rPr>
        <w:t xml:space="preserve">قطعنامه 277 /72 </w:t>
      </w:r>
      <w:r>
        <w:rPr>
          <w:rStyle w:val="FootnoteReference"/>
          <w:rtl w:val="1"/>
        </w:rPr>
        <w:footnoteReference w:id="104"/>
      </w:r>
      <w:r>
        <w:rPr>
          <w:rFonts w:ascii="Times New Roman" w:hAnsi="Times New Roman" w:cs="B Nazanin"/>
          <w:sz w:val="22"/>
          <w:szCs w:val="28"/>
          <w:rtl w:val="1"/>
        </w:rPr>
        <w:t>ا در بند اول اجرایی، ز دبیرکل درخواست مینماید تا گزارش فنی و مبتنی بر شواهد را با تمرکز بر شناسایی و ارزیابی خلاءهای احتمالی در حقوق بینالملل محیطزیست و سایر اسناد مرتبط با محیطزیست، البته با نگاهی به تقویت اجرای آنها، به هفتاد و سومین نشست مجمع عمومی ارائه دهد.</w:t>
      </w:r>
      <w:r>
        <w:rPr>
          <w:rStyle w:val="FootnoteReference"/>
          <w:rtl w:val="1"/>
        </w:rPr>
        <w:footnoteReference w:id="105"/>
      </w:r>
      <w:r>
        <w:rPr>
          <w:rFonts w:ascii="Times New Roman" w:hAnsi="Times New Roman" w:cs="B Nazanin"/>
          <w:sz w:val="22"/>
          <w:szCs w:val="28"/>
          <w:rtl w:val="1"/>
        </w:rPr>
        <w:t xml:space="preserve"> به موجب همین قطعنامه گروهکاری موقتی باز</w:t>
      </w:r>
      <w:r>
        <w:rPr>
          <w:rStyle w:val="FootnoteReference"/>
          <w:rtl w:val="1"/>
        </w:rPr>
        <w:footnoteReference w:id="106"/>
      </w:r>
      <w:r>
        <w:rPr>
          <w:rFonts w:ascii="Times New Roman" w:hAnsi="Times New Roman" w:cs="B Nazanin"/>
          <w:sz w:val="22"/>
          <w:szCs w:val="28"/>
          <w:rtl w:val="1"/>
        </w:rPr>
        <w:t xml:space="preserve"> تحت نظارت مجمع عمومی برای بررسی گزارش دبیرکل و لحاظ گزارش دبیرکل به عنوان راهنمای مذاکرات و مذاکره در خصوص گزینههای احتمالی جهت رسیدگی به خلاءهای احتمالی در حقوق بینالملل محیطزیست و سایر اسناد مرتبط در صورت لزوم ایجاد گردید.</w:t>
      </w:r>
    </w:p>
    <w:p>
      <w:pPr>
        <w:bidi w:val="1"/>
        <w:spacing w:line="312" w:lineRule="auto" w:before="0" w:after="120"/>
        <w:ind w:firstLine="454"/>
        <w:jc w:val="both"/>
      </w:pPr>
      <w:r>
        <w:rPr>
          <w:rFonts w:ascii="Times New Roman" w:hAnsi="Times New Roman" w:cs="B Nazanin"/>
          <w:sz w:val="22"/>
          <w:szCs w:val="28"/>
          <w:rtl w:val="1"/>
        </w:rPr>
        <w:t>در نوامبر 2018 گزارش دبیرکل با عنوان «خلاءهای حقوق بینالملل محیطزیست و اسناد مرتبط محیطزیست: به سوی پیمان جهانی محیطزیست»</w:t>
      </w:r>
      <w:r>
        <w:rPr>
          <w:rStyle w:val="FootnoteReference"/>
          <w:rtl w:val="1"/>
        </w:rPr>
        <w:footnoteReference w:id="107"/>
      </w:r>
      <w:r>
        <w:rPr>
          <w:rFonts w:ascii="Times New Roman" w:hAnsi="Times New Roman" w:cs="B Nazanin"/>
          <w:sz w:val="22"/>
          <w:szCs w:val="28"/>
          <w:rtl w:val="1"/>
        </w:rPr>
        <w:t xml:space="preserve"> منتشر شد. در این گزارش به کاستیها در سطوح مختلف و عمدتاً در ارتباط با اصول قابل اجرای حقوق بینالملل محیطزیست، محتوای هنجاری و نهادی رژیمهای مقرراتی بخشی</w:t>
      </w:r>
      <w:r>
        <w:rPr>
          <w:rStyle w:val="FootnoteReference"/>
          <w:rtl w:val="1"/>
        </w:rPr>
        <w:footnoteReference w:id="108"/>
      </w:r>
      <w:r>
        <w:rPr>
          <w:rFonts w:ascii="Times New Roman" w:hAnsi="Times New Roman" w:cs="B Nazanin"/>
          <w:sz w:val="22"/>
          <w:szCs w:val="28"/>
          <w:rtl w:val="1"/>
        </w:rPr>
        <w:t xml:space="preserve"> و همچنین اشتراک با رژیمهای مرتبط با محیطزیست، ساختار حکمرانی حقوق بینالملل محیطزیست و اجرای موثر و پایبندی به حقوق بینالملل محیطزیست اشاره گردیده است. باید توجه داشت که نه در قطعنامه 277/72 علیرغم عنوان و نه در گزارش دبیرکل، اشاره مستقیم به پیشنویس پیمان جهانی محیطزیست نشده است. در این اسناد، پیشنهاد جدیدی که در دستورکار سازمان ملل برای بررسی قرار گرفته است، صرفاً بهعنوان یک گزینه بهمنظور تقویت حقوق بینالملل محیطزیست در نظرگرفته میشود.</w:t>
      </w:r>
    </w:p>
    <w:p>
      <w:pPr>
        <w:bidi w:val="1"/>
        <w:spacing w:line="312" w:lineRule="auto" w:before="0" w:after="120"/>
        <w:ind w:firstLine="454"/>
        <w:jc w:val="both"/>
      </w:pPr>
      <w:r>
        <w:rPr>
          <w:rFonts w:ascii="Times New Roman" w:hAnsi="Times New Roman" w:cs="B Nazanin"/>
          <w:sz w:val="22"/>
          <w:szCs w:val="28"/>
          <w:rtl w:val="1"/>
        </w:rPr>
        <w:t>توسعه پرشتاب و بخشی‌نگر منابع حقوق بینالملل محیطزیست در پاسخ به بحران‌های محیطزیستی نوظهور، به نظامی انجامیده که علی‌رغم گستردگی، با ناهماهنگی، عدم‌شفافیت و ضعف در اجرا مواجه است. اینجاست که پرسش از «خلاءها» در وضعیت فعلی منابع حقوق بین‌الملل محیط‌زیست اهمیت می‌یابد. بررسی انتقادی منابع موجود نشان می‌دهد که خلاءها صرفاً به نبود مقرره در موضوعی خاص محدود نمی‌شوند، بلکه ابعاد متنوعی از جمله ابهام در محتوا و جایگاه اصول حقوقی، فقدان هماهنگی میان رژیم‌های معاهده‌ای متعدد، ضعف سازوکارهای اجرایی و عدم‌ارتباط مؤثر با اسناد مرتبط در حوزه‌های تجارت، سرمایه‌گذاری و حقوق بشر را دربرمی‌گیرند. به بیان دیگر، خلاءها نه تنها در فقدان قاعده، که در ناکارآمدی ساختار موجود برای پاسخ‌دهی به چالش‌های پیچیده و به‌هم‌پیوسته محیطزیستی ریشه دارند. شناسایی این خلاءها، دریچه‌ای نو به سوی تقویت بنیان‌های هنجاری و ارتقاء کارآمدی نظام حقوق بین‌الملل محیط‌زیست می‌گشاید.</w:t>
      </w:r>
    </w:p>
    <w:p>
      <w:pPr>
        <w:bidi w:val="1"/>
        <w:spacing w:line="312" w:lineRule="auto" w:before="0" w:after="120"/>
        <w:ind w:firstLine="454"/>
        <w:jc w:val="both"/>
      </w:pPr>
      <w:r>
        <w:rPr>
          <w:rFonts w:ascii="Times New Roman" w:hAnsi="Times New Roman" w:cs="B Nazanin"/>
          <w:sz w:val="22"/>
          <w:szCs w:val="28"/>
          <w:rtl w:val="1"/>
        </w:rPr>
        <w:t>گزارش دبیرکل نه تنها به منابع حقوق بین‌الملل محیط‌زیست اشاره دارد، بلکه تحلیل خود را بر پایه شناخت این منابع و تعامل میان آن‌ها بنا نهاده است. گزارش با اتکا به منابع سنتی حقوق بین‌الملل (معاهدات، عرف و اصول)، به واکاوی خلاءها پرداخته و در نهایت، تدوین یک سند بین‌المللی جامع و وحدت‌بخش را بهعنوان راهکاری برای رفع برخی از این خلاءها، به‌ویژه در حوزه اصول حقوقی، پیشنهاد می‌دهد.</w:t>
      </w:r>
    </w:p>
    <w:p>
      <w:pPr>
        <w:bidi w:val="1"/>
        <w:spacing w:line="312" w:lineRule="auto" w:before="0" w:after="120"/>
        <w:ind w:firstLine="454"/>
        <w:jc w:val="both"/>
      </w:pPr>
      <w:r>
        <w:rPr>
          <w:rFonts w:ascii="Times New Roman" w:hAnsi="Times New Roman" w:cs="B Nazanin"/>
          <w:sz w:val="22"/>
          <w:szCs w:val="28"/>
          <w:rtl w:val="1"/>
        </w:rPr>
        <w:t>گفتار پیشرو با اتکا به یک سند رسمی و معتبر یعنی گزارش دبیرکل سازمان ملل می‌کوشد تا ضمن شناسایی خلاءهای نظام حقوق بین‌الملل محیط‌زیست، بستر لازم را جهت بررسی ضرورت یا عدم ضرورت اتخاذ یک ابتکار کلان مانند پیمان جهانی محیط‌زیست فراهم نماید و از این رهگذر، گامی مؤثر در جهت تدوین یک چارچوب تحلیلی جامع برای اصلاح و ارتقاء نظام حقوقی محیط‌زیست جهانی بردارد.</w:t>
      </w:r>
    </w:p>
    <w:p>
      <w:pPr>
        <w:pStyle w:val="GPEHeading3"/>
        <w:bidi w:val="1"/>
        <w:spacing w:line="312" w:lineRule="auto" w:before="200" w:after="120"/>
        <w:jc w:val="right"/>
      </w:pPr>
      <w:r>
        <w:rPr>
          <w:rFonts w:ascii="Times New Roman" w:hAnsi="Times New Roman" w:cs="B Nazanin"/>
          <w:sz w:val="24"/>
          <w:szCs w:val="24"/>
          <w:rtl w:val="1"/>
          <w:b/>
          <w:bCs/>
          <w:color w:val="14203a"/>
        </w:rPr>
        <w:t>۳-۱-۱ منابع حقوق بین الملل محیطزیست در وضعیت فعلی آن از منظر گزارش دبیرکل</w:t>
      </w:r>
    </w:p>
    <w:p>
      <w:pPr>
        <w:bidi w:val="1"/>
        <w:spacing w:line="312" w:lineRule="auto" w:before="0" w:after="120"/>
        <w:ind w:firstLine="454"/>
        <w:jc w:val="both"/>
      </w:pPr>
      <w:r>
        <w:rPr>
          <w:rFonts w:ascii="Times New Roman" w:hAnsi="Times New Roman" w:cs="B Nazanin"/>
          <w:sz w:val="22"/>
          <w:szCs w:val="28"/>
          <w:rtl w:val="1"/>
        </w:rPr>
        <w:t>حقوق بین‌الملل محیطزیست شاخه‌ای از حقوق بین‌الملل عمومی است که به تنظیم روابط بین دولت‌ها و سازمان‌های بین‌المللی در زمینه حفاظت از محیطزیست می‌پردازد. این حوزه حقوقی بر پایه قواعد و اصول کلی حقوق بین‌الملل عمومی استوار است و از منابع سنتی حقوق بین‌الملل، که در ماده ۳۸ اساسنامه دیوان بین‌المللی دادگستری ذکر شده‌اند، استفاده می‌کند. این منابع اصلی شامل معاهدات بین‌المللی، عرف بین‌المللی و اصول کلی حقوقی هستند و مجموعه بزرگی از تعهدات حقوقی بین‌المللی را که هدف اصلی آنها حفاظت از محیطزیست و استفاده پایدار از منابع طبیعی است، به ارمغان آوردهاند.</w:t>
      </w:r>
      <w:r>
        <w:rPr>
          <w:rStyle w:val="FootnoteReference"/>
          <w:rtl w:val="1"/>
        </w:rPr>
        <w:footnoteReference w:id="109"/>
      </w:r>
      <w:r>
        <w:rPr>
          <w:rFonts w:ascii="Times New Roman" w:hAnsi="Times New Roman" w:cs="B Nazanin"/>
          <w:sz w:val="22"/>
          <w:szCs w:val="28"/>
          <w:rtl w:val="1"/>
        </w:rPr>
        <w:t xml:space="preserve"> لذا، حقوق بین‌الملل محیطزیست به‌صورت مجزا عمل نمی‌کند، بلکه در چارچوب قواعد و اصول کلی حقوق بین‌الملل عمومی قرار دارد. این تعامل به این معناست که اصولی مانند حاکمیت دولت‌ها، مسئولیت بین‌المللی و همکاری بین‌المللی، پایه‌های حقوق بین‌الملل محیطزیست را تشکیل می‌دهند.</w:t>
      </w:r>
    </w:p>
    <w:p>
      <w:pPr>
        <w:pStyle w:val="GPEHeading3"/>
        <w:bidi w:val="1"/>
        <w:spacing w:line="312" w:lineRule="auto" w:before="200" w:after="120"/>
        <w:jc w:val="right"/>
      </w:pPr>
      <w:r>
        <w:rPr>
          <w:rFonts w:ascii="Times New Roman" w:hAnsi="Times New Roman" w:cs="B Nazanin"/>
          <w:sz w:val="24"/>
          <w:szCs w:val="24"/>
          <w:rtl w:val="1"/>
          <w:b/>
          <w:bCs/>
          <w:color w:val="14203a"/>
        </w:rPr>
        <w:t>۳-۱-۱-۱ موافقتنامههای چندجانبه محیطزیستی</w:t>
      </w:r>
    </w:p>
    <w:p>
      <w:pPr>
        <w:bidi w:val="1"/>
        <w:spacing w:line="312" w:lineRule="auto" w:before="0" w:after="120"/>
        <w:ind w:firstLine="454"/>
        <w:jc w:val="both"/>
      </w:pPr>
      <w:r>
        <w:rPr>
          <w:rFonts w:ascii="Times New Roman" w:hAnsi="Times New Roman" w:cs="B Nazanin"/>
          <w:sz w:val="22"/>
          <w:szCs w:val="28"/>
          <w:rtl w:val="1"/>
        </w:rPr>
        <w:t>موافقتنامههایچندجانبهمحیطزیستی</w:t>
      </w:r>
      <w:r>
        <w:rPr>
          <w:rStyle w:val="FootnoteReference"/>
          <w:rtl w:val="1"/>
        </w:rPr>
        <w:footnoteReference w:id="110"/>
      </w:r>
      <w:r>
        <w:rPr>
          <w:rFonts w:ascii="Times New Roman" w:hAnsi="Times New Roman" w:cs="B Nazanin"/>
          <w:sz w:val="22"/>
          <w:szCs w:val="28"/>
          <w:rtl w:val="1"/>
        </w:rPr>
        <w:t>بهعنوان بخشی از و زیرمجموعه تخصصی حقوق بینالملل محیطزیست، در سطح منطقه‌ای و جهانی بهعنوان اصلی‌ترین منبع حقوقبین‌المللمحیطزیست شناخته می‌شوند. این موافقتنامهها با هدف مقابله با چالش‌های خاص محیطزیستی، مانند تغییرات آب‌وهوایی، کاهش تنوع زیستی، آلودگی‌های فرامرزی و... تدوین شده‌اند. سازمانمللمتحد نقش مهمی در تکامل موافقتنامههایچندجانبه محیطزیستی ایفا نموده است. هر چند همه موافقتنامههایچندجانبه محیطزیستی لزوماً در چارچوب سازمانمللمتحد شکل نگرفتهاند. بهعنوان مثال کنوانسیون تالابهای مهم بینالمللی بهویژه زیستگاه پرندگان آبزی معروف به کنوانسیون رامسر مصوب 1971</w:t>
      </w:r>
      <w:r>
        <w:rPr>
          <w:rStyle w:val="FootnoteReference"/>
          <w:rtl w:val="1"/>
        </w:rPr>
        <w:footnoteReference w:id="111"/>
      </w:r>
      <w:r>
        <w:rPr>
          <w:rFonts w:ascii="Times New Roman" w:hAnsi="Times New Roman" w:cs="B Nazanin"/>
          <w:sz w:val="22"/>
          <w:szCs w:val="28"/>
          <w:rtl w:val="1"/>
        </w:rPr>
        <w:t xml:space="preserve"> و کنوانسیون تجارت بینالمللی گونههای جانوری و گیاهی در خطر انقراض مصوب 1973</w:t>
      </w:r>
      <w:r>
        <w:rPr>
          <w:rStyle w:val="FootnoteReference"/>
          <w:rtl w:val="1"/>
        </w:rPr>
        <w:footnoteReference w:id="112"/>
      </w:r>
      <w:r>
        <w:rPr>
          <w:rFonts w:ascii="Times New Roman" w:hAnsi="Times New Roman" w:cs="B Nazanin"/>
          <w:sz w:val="22"/>
          <w:szCs w:val="28"/>
          <w:rtl w:val="1"/>
        </w:rPr>
        <w:t xml:space="preserve"> در چارچوب اتحادیه جهانی حفاظت از طبیعت</w:t>
      </w:r>
      <w:r>
        <w:rPr>
          <w:rStyle w:val="FootnoteReference"/>
          <w:rtl w:val="1"/>
        </w:rPr>
        <w:footnoteReference w:id="113"/>
      </w:r>
      <w:r>
        <w:rPr>
          <w:rFonts w:ascii="Times New Roman" w:hAnsi="Times New Roman" w:cs="B Nazanin"/>
          <w:sz w:val="22"/>
          <w:szCs w:val="28"/>
          <w:rtl w:val="1"/>
        </w:rPr>
        <w:t xml:space="preserve"> تهیه و تصویب گردیده است.</w:t>
      </w:r>
    </w:p>
    <w:p>
      <w:pPr>
        <w:bidi w:val="1"/>
        <w:spacing w:line="312" w:lineRule="auto" w:before="0" w:after="120"/>
        <w:ind w:firstLine="454"/>
        <w:jc w:val="both"/>
      </w:pPr>
      <w:r>
        <w:rPr>
          <w:rFonts w:ascii="Times New Roman" w:hAnsi="Times New Roman" w:cs="B Nazanin"/>
          <w:sz w:val="22"/>
          <w:szCs w:val="28"/>
          <w:rtl w:val="1"/>
        </w:rPr>
        <w:t>موافقتنامههای چندجانبه محیطزیستی معمولاً اسناد زندهای هستند که رژیم حقوقی آنها در حال تحولند. تکامل آنها معمولاً از طریق جلسات اعضای آن سند و در قالب ارکان حاکم بر آن معاهده صورت میپذیرد.</w:t>
      </w:r>
      <w:r>
        <w:rPr>
          <w:rStyle w:val="FootnoteReference"/>
          <w:rtl w:val="1"/>
        </w:rPr>
        <w:footnoteReference w:id="114"/>
      </w:r>
      <w:r>
        <w:rPr>
          <w:rFonts w:ascii="Times New Roman" w:hAnsi="Times New Roman" w:cs="B Nazanin"/>
          <w:sz w:val="22"/>
          <w:szCs w:val="28"/>
          <w:rtl w:val="1"/>
        </w:rPr>
        <w:t xml:space="preserve"> منطق چنین رویکردتکاملی در تصمیمسازی حقوقبینالمللمحیطزیست، همگامی با پیشرفتهای علمی و پاسخگویی به شرایط سیاسی، اقتصادی و فناوری در حال تحول است. لذا، ماهیت پویا و در حال تحول رژیمهای موافقتنامههایچندجانبه محیطزیستی اقتضا میکند که موضوعات جدید و مهم در دستورکار مذاکره قرار گیرند، نظیر مذاکرات اخیر کشورها از سال 2022 میلادی تاکنون جهت شکلگیری سند الزامآوری راجع به آلودگی پلاستیکی. به قطعنامه یونپ اشاره شود.</w:t>
      </w:r>
    </w:p>
    <w:p>
      <w:pPr>
        <w:bidi w:val="1"/>
        <w:spacing w:line="312" w:lineRule="auto" w:before="0" w:after="120"/>
        <w:ind w:firstLine="454"/>
        <w:jc w:val="both"/>
      </w:pPr>
      <w:r>
        <w:rPr>
          <w:rFonts w:ascii="Times New Roman" w:hAnsi="Times New Roman" w:cs="B Nazanin"/>
          <w:sz w:val="22"/>
          <w:szCs w:val="28"/>
          <w:rtl w:val="1"/>
        </w:rPr>
        <w:t>گزارش دبیرکل، معاهدات بین‌المللی را منبع غالب حقوق بین‌الملل محیط‌زیست معرفی می‌کند. به گونهای که تاکنون بیش از ۵۰۰ موافقتنامهچندجانبه محیطزیستی به تصویب رسیده است. هر موافقتنامه نیز بهصورت جداگانه و در پاسخ به بحران‌ خاص محیطزیستی توسعه یافته‌اند و از نظر تعهدات حقوقی و نهادی و همچنین مکانیسمهای اجرایی و نظارتی مستقل از سایر موافقتنامهها عمل می‌کند.</w:t>
      </w:r>
      <w:r>
        <w:rPr>
          <w:rStyle w:val="FootnoteReference"/>
          <w:rtl w:val="1"/>
        </w:rPr>
        <w:footnoteReference w:id="115"/>
      </w:r>
      <w:r>
        <w:rPr>
          <w:rFonts w:ascii="Times New Roman" w:hAnsi="Times New Roman" w:cs="B Nazanin"/>
          <w:sz w:val="22"/>
          <w:szCs w:val="28"/>
          <w:rtl w:val="1"/>
        </w:rPr>
        <w:t xml:space="preserve"> این ویژگی باعث شده است که هر موافقتنامه به‌صورت مجزا و بدون ارتباط مستقیم با سایر موافقتنامهها و بدون ایجاد یک چارچوب جامع و یکپارچه برای حفاظت از محیطزیست توسعه یابند. بهعنوان مثال، اولین موافقتنامهچندجانبهمحیطزیستی که همانا کنوانسیون رامسر 1971 میباشد با هدف حفاظت از تالابهای مهم بینالمللی بهویژه زیستگاههای پرندگان آبزی شکل گرفت. سپس، شاهد شکلگیری موافقتنامههای چندجانبه متعدد با موضوع تغییر اقلیم و گرمایش جهانی بودیم. این درحال است که گرمایش جهانی یکی از عوامل تهدید کننده بقای تالابهای مهم بینالمللی و زیستگاههای پرندگان آبزی است. لذا، ماهیت فزاینده و پراکنده قانونگذاری بینالمللی در حوزه محیطزیست منجر به گسترش رژیمهای مقرراتی عمدتاً بخشی</w:t>
      </w:r>
      <w:r>
        <w:rPr>
          <w:rStyle w:val="FootnoteReference"/>
          <w:rtl w:val="1"/>
        </w:rPr>
        <w:footnoteReference w:id="116"/>
      </w:r>
      <w:r>
        <w:rPr>
          <w:rFonts w:ascii="Times New Roman" w:hAnsi="Times New Roman" w:cs="B Nazanin"/>
          <w:sz w:val="22"/>
          <w:szCs w:val="28"/>
          <w:rtl w:val="1"/>
        </w:rPr>
        <w:t xml:space="preserve"> و یک چارچوب حقوقی بینالمللی پراکنده برای حفاظت از محیطزیست شده است.</w:t>
      </w:r>
      <w:r>
        <w:rPr>
          <w:rStyle w:val="FootnoteReference"/>
          <w:rtl w:val="1"/>
        </w:rPr>
        <w:footnoteReference w:id="117"/>
      </w:r>
      <w:r>
        <w:rPr>
          <w:rFonts w:ascii="Times New Roman" w:hAnsi="Times New Roman" w:cs="B Nazanin"/>
          <w:sz w:val="22"/>
          <w:szCs w:val="28"/>
          <w:rtl w:val="1"/>
        </w:rPr>
        <w:t xml:space="preserve"> گرچه این نوع ماهیت به توسعه سریعتر حقوقبینالملل محیطزیست کمک کرده اما اجرای موثر آن را دشوار ساخته است.</w:t>
      </w:r>
    </w:p>
    <w:p>
      <w:pPr>
        <w:bidi w:val="1"/>
        <w:spacing w:line="312" w:lineRule="auto" w:before="0" w:after="120"/>
        <w:ind w:firstLine="454"/>
        <w:jc w:val="both"/>
      </w:pPr>
      <w:r>
        <w:rPr>
          <w:rFonts w:ascii="Times New Roman" w:hAnsi="Times New Roman" w:cs="B Nazanin"/>
          <w:sz w:val="22"/>
          <w:szCs w:val="28"/>
          <w:rtl w:val="1"/>
        </w:rPr>
        <w:t>پراکندگی</w:t>
      </w:r>
      <w:r>
        <w:rPr>
          <w:rStyle w:val="FootnoteReference"/>
          <w:rtl w:val="1"/>
        </w:rPr>
        <w:footnoteReference w:id="118"/>
      </w:r>
      <w:r>
        <w:rPr>
          <w:rFonts w:ascii="Times New Roman" w:hAnsi="Times New Roman" w:cs="B Nazanin"/>
          <w:sz w:val="22"/>
          <w:szCs w:val="28"/>
          <w:rtl w:val="1"/>
        </w:rPr>
        <w:t xml:space="preserve"> به عنوان یکی از پیامدهای تصمیم‌گیری چندجانبه در حقوقبین‌الملل، به وضعیتی اشاره دارد که در آن قواعد و سازوکارهای حقوقی متعدد و گاه متضاد در یک حوزه خاص وجود داشتهباشد. در حقوقبین‌الملل محیطزیست، این پراکندگی ناشی از تعدد موافقتنامههایچندجانبه محیطزیستی و رژیم‌های مقرراتی است که هر یک به‌صورت مستقل عمل می‌کنند. این وضعیت می‌تواند به تعارض در قواعد، همپوشانی در تعهدات، دشواری در اجرای مؤثر حقوقبین‌الملل محیطزیست و همچنین ضعف در هماهنگی که باعث کاهش اثربخشی اقدامات بینالمللی برای حفاظت از محیطزیست میگردد، منجر شود.</w:t>
      </w:r>
      <w:r>
        <w:rPr>
          <w:rStyle w:val="FootnoteReference"/>
          <w:rtl w:val="1"/>
        </w:rPr>
        <w:footnoteReference w:id="119"/>
      </w:r>
    </w:p>
    <w:p>
      <w:pPr>
        <w:bidi w:val="1"/>
        <w:spacing w:line="312" w:lineRule="auto" w:before="0" w:after="120"/>
        <w:ind w:firstLine="454"/>
        <w:jc w:val="both"/>
      </w:pPr>
      <w:r>
        <w:rPr>
          <w:rFonts w:ascii="Times New Roman" w:hAnsi="Times New Roman" w:cs="B Nazanin"/>
          <w:sz w:val="22"/>
          <w:szCs w:val="28"/>
          <w:rtl w:val="1"/>
        </w:rPr>
        <w:t>بنابراین، درحقوقبین‌الملل محیطزیست هیچ چارچوب هنجاری فراگیر واحدی وجود ندارد که بتوان آن را بهعنوان قواعد و اصول کاربردی کلی مشخص کرد. این در حالیست که، بسیاری از حوزههای حقوقبینالملل دارای کنوانسیونهای چارچوبی</w:t>
      </w:r>
      <w:r>
        <w:rPr>
          <w:rStyle w:val="FootnoteReference"/>
          <w:rtl w:val="1"/>
        </w:rPr>
        <w:footnoteReference w:id="120"/>
      </w:r>
      <w:r>
        <w:rPr>
          <w:rFonts w:ascii="Times New Roman" w:hAnsi="Times New Roman" w:cs="B Nazanin"/>
          <w:sz w:val="22"/>
          <w:szCs w:val="28"/>
          <w:rtl w:val="1"/>
        </w:rPr>
        <w:t xml:space="preserve"> الزامآوری هستند که به بیان قواعد کلی پرداخته و دامنه آنها به اندازه کافی گسترده است تا قواعد و اصول خاصتری را در اسناد بخشی یا منطقهای پوشش دهد و حد خاصی از هماهنگی و انسجام را فراهم کند. بهعنوان مثال میتوان به میثاقین حقوق بشر، حقوقتجارتبینالملل و حقوقبینالمللدریا اشاره کرد. در بیشتر این حوزهها، کنوانسیونهای چارچوبی، هنجارهای عرفی موجود را مدون کردهاند و در بیشتر موارد، نه لزوماً همه، پیش از تدوین کنوانسیونهای خاص</w:t>
      </w:r>
      <w:r>
        <w:rPr>
          <w:rStyle w:val="FootnoteReference"/>
          <w:rtl w:val="1"/>
        </w:rPr>
        <w:footnoteReference w:id="121"/>
      </w:r>
      <w:r>
        <w:rPr>
          <w:rFonts w:ascii="Times New Roman" w:hAnsi="Times New Roman" w:cs="B Nazanin"/>
          <w:sz w:val="22"/>
          <w:szCs w:val="28"/>
          <w:rtl w:val="1"/>
        </w:rPr>
        <w:t>‌ تهیه شدهاند. لذا، ساختار پراکنده حقوقبین‌الملل محیط‌زیست و روند فزاینده آن، ناگزیر به وضعیتی منجر می‌شود که برخی از چالش‌های محیطزیستی مورد توجه قرار می‌گیرند، در حالی که برخی دیگر نه.</w:t>
      </w:r>
    </w:p>
    <w:p>
      <w:pPr>
        <w:bidi w:val="1"/>
        <w:spacing w:line="312" w:lineRule="auto" w:before="0" w:after="120"/>
        <w:ind w:firstLine="454"/>
        <w:jc w:val="both"/>
      </w:pPr>
      <w:r>
        <w:rPr>
          <w:rFonts w:ascii="Times New Roman" w:hAnsi="Times New Roman" w:cs="B Nazanin"/>
          <w:sz w:val="22"/>
          <w:szCs w:val="28"/>
          <w:rtl w:val="1"/>
        </w:rPr>
        <w:t>در گزارش دبیرکل رویکردهای انتقادی نسبت به موافقتنامههای چندجانبه محیطزیستی مطرح شده است. نظیر تکامل واکنشی و تدریجی موافقتنامهها، پراکندگی آنها، شکاف در پوشش موضوعات به گونهای که برخی موضوعات مهم مانند حفاظت از خاک، آلودگی پلاستیکی دریاها، جنگل‌ها و نانومواد فاقد مقررات الزام‌آور هستند</w:t>
      </w:r>
      <w:r>
        <w:rPr>
          <w:rStyle w:val="FootnoteReference"/>
          <w:rtl w:val="1"/>
        </w:rPr>
        <w:footnoteReference w:id="122"/>
      </w:r>
      <w:r>
        <w:rPr>
          <w:rFonts w:ascii="Times New Roman" w:hAnsi="Times New Roman" w:cs="B Nazanin"/>
          <w:sz w:val="22"/>
          <w:szCs w:val="28"/>
          <w:rtl w:val="1"/>
        </w:rPr>
        <w:t xml:space="preserve"> (بند 41) و تعامل پیچیده موافقتنامهها شامل هم‌پوشانی و تداخل میان معاهدات مختلف که چالش هایی را در حوزه تغییرات اقلیمی، لایه اوزن و تنوع زیستی ایجاد کرده است.</w:t>
      </w:r>
      <w:r>
        <w:rPr>
          <w:rStyle w:val="FootnoteReference"/>
          <w:rtl w:val="1"/>
        </w:rPr>
        <w:footnoteReference w:id="123"/>
      </w:r>
      <w:r>
        <w:rPr>
          <w:rFonts w:ascii="Times New Roman" w:hAnsi="Times New Roman" w:cs="B Nazanin"/>
          <w:sz w:val="22"/>
          <w:szCs w:val="28"/>
          <w:rtl w:val="1"/>
        </w:rPr>
        <w:t xml:space="preserve"> (بند ۲۹).</w:t>
      </w:r>
    </w:p>
    <w:p>
      <w:pPr>
        <w:bidi w:val="1"/>
        <w:spacing w:line="312" w:lineRule="auto" w:before="0" w:after="120"/>
        <w:ind w:firstLine="454"/>
        <w:jc w:val="both"/>
      </w:pPr>
      <w:r>
        <w:rPr>
          <w:rFonts w:ascii="Times New Roman" w:hAnsi="Times New Roman" w:cs="B Nazanin"/>
          <w:sz w:val="22"/>
          <w:szCs w:val="28"/>
          <w:rtl w:val="1"/>
        </w:rPr>
        <w:t>برخی معتقدند که «توسعه یک معاهده جامع و واحد از هنجارهای بنیادین محیطزیستی میتواند راهحلی برای مقابله با پراکندگی و ایجاد شفافیت در مورد وضعیت حقوقی مفاهیم مختلف باشد. چنین توافق جامعی ممکن است یک چارچوب حقوقی برای حمایت از ادغام بیشتر جنبههای گوناگون توسعه پایدار را ایجاد کند و توافق جمعی در هنجارهای بنیادین حقوقی را به لحاظ داخلی و بینالمللی تقویت نماید. بنابراین، این موضوع میتواند مجموعه واحدی از مفاهیم بنیادین را برای راهنمایی دولتها، سازمانهایبینالمللی، سازمانهایغیردولتی و افراد به وجود آورد. این چنین توافق جامعی میتواند بسیاری از مفاهیم پذیرفته شده اما پراکنده را که در متون غیرالزامآور در مورد محیطزیست و توسعه پایدار آمدهاند را تحکیم و مدون کند و خلاءهای حقوق موجود را پر کند. همچنین موجب تسهیل پیوندهای نهادین ما بین معاهدات موجود و اجرای آنها گردد و در تصمیمات داوری و قضایی، مذاکرات اسناد جدید بینالمللی و قانونگذاری داخلی مورد ارزیابی و محاسبه قرار گیرند.»</w:t>
      </w:r>
      <w:r>
        <w:rPr>
          <w:rStyle w:val="FootnoteReference"/>
          <w:rtl w:val="1"/>
        </w:rPr>
        <w:footnoteReference w:id="124"/>
      </w:r>
    </w:p>
    <w:p>
      <w:pPr>
        <w:pStyle w:val="GPEHeading3"/>
        <w:bidi w:val="1"/>
        <w:spacing w:line="312" w:lineRule="auto" w:before="200" w:after="120"/>
        <w:jc w:val="right"/>
      </w:pPr>
      <w:r>
        <w:rPr>
          <w:rFonts w:ascii="Times New Roman" w:hAnsi="Times New Roman" w:cs="B Nazanin"/>
          <w:sz w:val="24"/>
          <w:szCs w:val="24"/>
          <w:rtl w:val="1"/>
          <w:b/>
          <w:bCs/>
          <w:color w:val="14203a"/>
        </w:rPr>
        <w:t>۳-۱-۱-۲ عرف</w:t>
      </w:r>
    </w:p>
    <w:p>
      <w:pPr>
        <w:bidi w:val="1"/>
        <w:spacing w:line="312" w:lineRule="auto" w:before="0" w:after="120"/>
        <w:ind w:firstLine="454"/>
        <w:jc w:val="both"/>
      </w:pPr>
      <w:r>
        <w:rPr>
          <w:rFonts w:ascii="Times New Roman" w:hAnsi="Times New Roman" w:cs="B Nazanin"/>
          <w:sz w:val="22"/>
          <w:szCs w:val="28"/>
          <w:rtl w:val="1"/>
        </w:rPr>
        <w:t>حقوقبین‌المللعرفی به قواعدی اشاره دارد که از طریق رویه عمومی</w:t>
      </w:r>
      <w:r>
        <w:rPr>
          <w:rStyle w:val="FootnoteReference"/>
          <w:rtl w:val="1"/>
        </w:rPr>
        <w:footnoteReference w:id="125"/>
      </w:r>
      <w:r>
        <w:rPr>
          <w:rFonts w:ascii="Times New Roman" w:hAnsi="Times New Roman" w:cs="B Nazanin"/>
          <w:sz w:val="22"/>
          <w:szCs w:val="28"/>
          <w:rtl w:val="1"/>
        </w:rPr>
        <w:t xml:space="preserve"> و پذیرش آن به عنوان الزام حقوقی</w:t>
      </w:r>
      <w:r>
        <w:rPr>
          <w:rStyle w:val="FootnoteReference"/>
          <w:rtl w:val="1"/>
        </w:rPr>
        <w:footnoteReference w:id="126"/>
      </w:r>
      <w:r>
        <w:rPr>
          <w:rFonts w:ascii="Times New Roman" w:hAnsi="Times New Roman" w:cs="B Nazanin"/>
          <w:sz w:val="22"/>
          <w:szCs w:val="28"/>
          <w:rtl w:val="1"/>
        </w:rPr>
        <w:t xml:space="preserve"> توسط کشورها شکل میگیرد. در حوزه حقوقبین الملل محیطزیست، قواعد عرفی کمتر توسعه یافته‌اند و شناسایی آن‌ها با چالش‌های متعددی همراه است. این امر ناشی از ماهیت پیچیده، چندوجهی و فرامرزی مسائل محیطزیستی و تفاوت در رویکرد کشورها به این مسائل است.</w:t>
      </w:r>
      <w:r>
        <w:rPr>
          <w:rStyle w:val="FootnoteReference"/>
          <w:rtl w:val="1"/>
        </w:rPr>
        <w:footnoteReference w:id="127"/>
      </w:r>
      <w:r>
        <w:rPr>
          <w:rFonts w:ascii="Times New Roman" w:hAnsi="Times New Roman" w:cs="B Nazanin"/>
          <w:sz w:val="22"/>
          <w:szCs w:val="28"/>
          <w:rtl w:val="1"/>
        </w:rPr>
        <w:t>در حوزه حقوقبینالمللمحیطزیست، اثبات آن دو رکن به دلیل تفاوت بین اظهارات و اقدامات عملی کشورها دشوار است. بهعنوان مثال، ممکن است کشورها در سطح بین‌المللی از اصول محیطزیستی حمایت کنند، اما درعمل به دلیل منافع ملی یا محدودیتهای داخلی به تعهدات خود پایبند نباشند. این تفاوت، باعث میشود که اثبات رویه عمومی و باور به الزام حقوقی دشوار شود. با این وجود، برخی از قواعد عرفی موجود در حقوقبینالمللمحیطزیست در موافقتنامههای چندجانبه محیطزیستی به صورت پراکنده تدوین شدهاند. بهعنوان مثال، اصل پیشگیری از آسیب‌های محیطزیستی فرامرزی و اصل انجام ارزیابی اثرات محیطزیستی به عنوان قواعد عرفی شناخته شده‌ در کنوانسیون تغییرات آب‌وهوایی و کنوانسیون تنوع زیستی گنجانده شده‌اند.</w:t>
      </w:r>
      <w:r>
        <w:rPr>
          <w:rStyle w:val="FootnoteReference"/>
          <w:rtl w:val="1"/>
        </w:rPr>
        <w:footnoteReference w:id="128"/>
      </w:r>
      <w:r>
        <w:rPr>
          <w:rFonts w:ascii="Times New Roman" w:hAnsi="Times New Roman" w:cs="B Nazanin"/>
          <w:sz w:val="22"/>
          <w:szCs w:val="28"/>
          <w:rtl w:val="1"/>
        </w:rPr>
        <w:t xml:space="preserve"> این امر باعث گردیده که حقوقبینالمللمحیطزیستعرفی موجود نیز دچار پراکندگی گردد. شایان ذکر است، دادگاه و محاکم بینالمللی از جمله دیوان بین‌المللی دادگستری وجود قواعد حقوق بینالملل عرفی در زمینه حفاظت از محیطزیست را تأیید کردهاند. بهعنوان مثال، در پرونده کارخانه خمیر کاغذ بین آرژانتین و اروگوئه، دیوان بر لزوم انجام ارزیابی اثرات محیطزیستی بهعنوان یک قاعده فی نفسه عرفی تأکید کرد.</w:t>
      </w:r>
      <w:r>
        <w:rPr>
          <w:rStyle w:val="FootnoteReference"/>
          <w:rtl w:val="1"/>
        </w:rPr>
        <w:footnoteReference w:id="129"/>
      </w:r>
    </w:p>
    <w:p>
      <w:pPr>
        <w:bidi w:val="1"/>
        <w:spacing w:line="312" w:lineRule="auto" w:before="0" w:after="120"/>
        <w:ind w:firstLine="454"/>
        <w:jc w:val="both"/>
      </w:pPr>
      <w:r>
        <w:rPr>
          <w:rFonts w:ascii="Times New Roman" w:hAnsi="Times New Roman" w:cs="B Nazanin"/>
          <w:sz w:val="22"/>
          <w:szCs w:val="28"/>
          <w:rtl w:val="1"/>
        </w:rPr>
        <w:t>گزارش دبیرکل تصریح می‌کند که «حقوق بین‌الملل عرفی محیط‌زیست پراکنده و محدود است» (بند ۴گزارش دبیرکل). گزارش به چالش‌برانگیز بودن شناسایی قواعد عرفی در این حوزه اشاره می‌کند، به‌ویژه به دلیل شکاف میان گفتار و رفتار دولت‌ها. (بند 4). با این حال، گزارش چند قاعده عرفی را تأییدشده می‌داند: تعهد به جلوگیری از آسیب‌های فرامرزی (بند ۱۱) انجام ارزیابی اثرات محیط‌زیستی (بند ۱۱) وظیفه همکاری و اعلام‌هشدار در موارد اضطراری (بند ۱۷) و از سوی دیگر اذعان می‌کند که اصولی مانند اصل احتیاط همچنان محل بحث و اختلاف نظرند و وضعیت عرفی آن‌ها مشخص نیست (بند ۱۲).</w:t>
      </w:r>
    </w:p>
    <w:p>
      <w:pPr>
        <w:bidi w:val="1"/>
        <w:spacing w:line="312" w:lineRule="auto" w:before="0" w:after="120"/>
        <w:ind w:firstLine="454"/>
        <w:jc w:val="both"/>
      </w:pPr>
      <w:r>
        <w:rPr>
          <w:rFonts w:ascii="Times New Roman" w:hAnsi="Times New Roman" w:cs="B Nazanin"/>
          <w:sz w:val="22"/>
          <w:szCs w:val="28"/>
          <w:rtl w:val="1"/>
        </w:rPr>
        <w:t>حقوق ب محیط زیست عرفی نیز پراکنده است. وجود یک قاعده حقوق ب عرفی مستلزم آن است که یک رویه ثابت همراه با باور حقوقی دولت‌ها وجود داشته باشد (اعتقاد به اینکه یک رویه به دلیل وجود یک قاعده حقوقی که آن را ایجاب می‌کند، الزامی می‌شود.) با توجه به هنجارهای محیط زیستی بین المللی، شناسایی قواعد حقوق بین الملل عرفی یک کار چالش برانگیز است، به ویژه در شرایطی که بین آنچه دولت‌ها می‌گویند و آنچه واقعا انجام می‌دهند، فاصله وجود دارد. با این وجود، قواعد عرفی موجود در حقوق ب محیط زیست از قبل در معاهدات تدوین شده است. علاوه بر این، دادگاه و محاکم بین المللی وجود قواعد حقوق بین الملل عرفی در زمینه حفاظت از محیط زیست را تأیید کرده اند. پارا 4</w:t>
      </w:r>
    </w:p>
    <w:p>
      <w:pPr>
        <w:pStyle w:val="GPEHeading3"/>
        <w:bidi w:val="1"/>
        <w:spacing w:line="312" w:lineRule="auto" w:before="200" w:after="120"/>
        <w:jc w:val="right"/>
      </w:pPr>
      <w:r>
        <w:rPr>
          <w:rFonts w:ascii="Times New Roman" w:hAnsi="Times New Roman" w:cs="B Nazanin"/>
          <w:sz w:val="24"/>
          <w:szCs w:val="24"/>
          <w:rtl w:val="1"/>
          <w:b/>
          <w:bCs/>
          <w:color w:val="14203a"/>
        </w:rPr>
        <w:t>۳-۱-۱-۳ اصول کلی حقوقی</w:t>
      </w:r>
    </w:p>
    <w:p>
      <w:pPr>
        <w:bidi w:val="1"/>
        <w:spacing w:line="312" w:lineRule="auto" w:before="0" w:after="120"/>
        <w:ind w:firstLine="454"/>
        <w:jc w:val="both"/>
      </w:pPr>
      <w:r>
        <w:rPr>
          <w:rFonts w:ascii="Times New Roman" w:hAnsi="Times New Roman" w:cs="B Nazanin"/>
          <w:sz w:val="22"/>
          <w:szCs w:val="28"/>
          <w:rtl w:val="1"/>
        </w:rPr>
        <w:t>«اصول کلی حقوقی یک منبع مستقل حقوقبینالملل محسوب میشود که دارای قلمرو جهانی بوده و پیش از اینکه ناشی از اراده دولتها باشد، بیانگر وجدان حقوقی نوع بشر است. این اصول دارای ویژگی عینی است و کل نظام حقوقبینالملل باید در پرتو این اصول، تفسیر و اعمال شوند.»</w:t>
      </w:r>
      <w:r>
        <w:rPr>
          <w:rStyle w:val="FootnoteReference"/>
          <w:rtl w:val="1"/>
        </w:rPr>
        <w:footnoteReference w:id="130"/>
      </w:r>
      <w:r>
        <w:rPr>
          <w:rFonts w:ascii="Times New Roman" w:hAnsi="Times New Roman" w:cs="B Nazanin"/>
          <w:sz w:val="22"/>
          <w:szCs w:val="28"/>
          <w:rtl w:val="1"/>
        </w:rPr>
        <w:t xml:space="preserve"> هم چنین، «اصول کلی حقوقی، اصول مشترکی هستند که هم در سیستم حقوقی بینالمللی و هم در بسیاری از سیستمهای حقوقی داخلی کشورها معمول میباشند. دیوان بینالمللی دادگستری برخی اوقات اصول حقوق داخلی را بهمنظور توسعه یک قاعده مناسب حقوقبینالملل مورد بررسی قرار میدهد.»</w:t>
      </w:r>
      <w:r>
        <w:rPr>
          <w:rStyle w:val="FootnoteReference"/>
          <w:rtl w:val="1"/>
        </w:rPr>
        <w:footnoteReference w:id="131"/>
      </w:r>
      <w:r>
        <w:rPr>
          <w:rFonts w:ascii="Times New Roman" w:hAnsi="Times New Roman" w:cs="B Nazanin"/>
          <w:sz w:val="22"/>
          <w:szCs w:val="28"/>
          <w:rtl w:val="1"/>
        </w:rPr>
        <w:t xml:space="preserve"> «اصول کلی حقوقی از طرق مختلفی همچون رویه دولتها، درج در اسناد حقوقی بینالمللی، درج آنها در قوانین و مقررات داخلی و از طریق احکام دادگاهها و مراجع قضایی مورد شناسایی قرار میگیرند.»</w:t>
      </w:r>
      <w:r>
        <w:rPr>
          <w:rStyle w:val="FootnoteReference"/>
          <w:rtl w:val="1"/>
        </w:rPr>
        <w:footnoteReference w:id="132"/>
      </w:r>
      <w:r>
        <w:rPr>
          <w:rFonts w:ascii="Times New Roman" w:hAnsi="Times New Roman" w:cs="B Nazanin"/>
          <w:sz w:val="22"/>
          <w:szCs w:val="28"/>
          <w:rtl w:val="1"/>
        </w:rPr>
        <w:t xml:space="preserve"> «تقریباً، تمام اسناد بینالمللی محیطزیستی الزامآور و غیرالزامآور شامل این اصول هستند و یا به آنها ارجاع میدهند و در واقع این اصول موتورهای تکامل حقوقمحیطزیست هستند.»</w:t>
      </w:r>
      <w:r>
        <w:rPr>
          <w:rStyle w:val="FootnoteReference"/>
          <w:rtl w:val="1"/>
        </w:rPr>
        <w:footnoteReference w:id="133"/>
      </w:r>
    </w:p>
    <w:p>
      <w:pPr>
        <w:bidi w:val="1"/>
        <w:spacing w:line="312" w:lineRule="auto" w:before="0" w:after="120"/>
        <w:ind w:firstLine="454"/>
        <w:jc w:val="both"/>
      </w:pPr>
      <w:r>
        <w:rPr>
          <w:rFonts w:ascii="Times New Roman" w:hAnsi="Times New Roman" w:cs="B Nazanin"/>
          <w:sz w:val="22"/>
          <w:szCs w:val="28"/>
          <w:rtl w:val="1"/>
        </w:rPr>
        <w:t>«برخی از اصول به طور خاص در اسناد الزامآور منطقهای و جهانی بیان میشوند، در حالی که برخی دیگر غالباً مبنایی در حقوق عرفی دارند. در بسیاری از موارد تعیین مولفههای دقیق یا وضعیت حقوقی یک اصل خاص مشکل است. روشی که برای هر اصل در ارتباط با یک فعالیت یا حادثه خاص به کار میرود، نسبت به واقعیات و اوضاع و احوال آن مورد خاص در نظر گرفته میشود و عوامل گوناگون از قبیل منابع و سیاق متنی، زبان، فعالیتها و اوضاع و احوال مرتبط با آن از جمله بازیگران و منطقه جغرافیایی و هم چنین اثر حقوقی اصول که ممکن است از یک سیستم حقوقی به سیستم حقوقی دیگر تغییر کند را مورد توجه قرار میدهد.»</w:t>
      </w:r>
      <w:r>
        <w:rPr>
          <w:rStyle w:val="FootnoteReference"/>
          <w:rtl w:val="1"/>
        </w:rPr>
        <w:footnoteReference w:id="134"/>
      </w:r>
    </w:p>
    <w:p>
      <w:pPr>
        <w:bidi w:val="1"/>
        <w:spacing w:line="312" w:lineRule="auto" w:before="0" w:after="120"/>
        <w:ind w:firstLine="454"/>
        <w:jc w:val="both"/>
      </w:pPr>
      <w:r>
        <w:rPr>
          <w:rFonts w:ascii="Times New Roman" w:hAnsi="Times New Roman" w:cs="B Nazanin"/>
          <w:sz w:val="22"/>
          <w:szCs w:val="28"/>
          <w:rtl w:val="1"/>
        </w:rPr>
        <w:t>در جامعه جهانی دو دسته اصول کلی حقوقی مجزا وجود دارد: الف) اصول کلی حقوقبینالملل که از رهگذر استدلال و استنباط از قواعد عرفی و قراردادی حقوقبینالملل به دست میآیند، همانند اصل تساوی حاکمیت دولتها و ب) اصولی که به شاخه خاصی از حقوقبینالملل نظیر حقوق دریاها، حقوق محیطزیست و... اختصاص دارد.</w:t>
      </w:r>
      <w:r>
        <w:rPr>
          <w:rStyle w:val="FootnoteReference"/>
          <w:rtl w:val="1"/>
        </w:rPr>
        <w:footnoteReference w:id="135"/>
      </w:r>
      <w:r>
        <w:rPr>
          <w:rFonts w:ascii="Times New Roman" w:hAnsi="Times New Roman" w:cs="B Nazanin"/>
          <w:sz w:val="22"/>
          <w:szCs w:val="28"/>
          <w:rtl w:val="1"/>
        </w:rPr>
        <w:t xml:space="preserve"> این اصول معیارهای کلی حقوقی هستند که پیکره کلی حقوق حاکم بر یک حوزه موضوعی خاص را تحت پوشش خود قرار میدهند. هر دو نوع این اصول دو کارکرد مهم دارند. نخستین کارکرد، پرکردن خلاءهای احتمالی در قواعد عرفی و قراردادی و اجتناب تا حد ممکن از ابهام است. دومین کارکرد نیز انتخاب بین دو یا چند تفسیر متعارض از یک قاعده عرفی یا قراردادی است.</w:t>
      </w:r>
      <w:r>
        <w:rPr>
          <w:rStyle w:val="FootnoteReference"/>
          <w:rtl w:val="1"/>
        </w:rPr>
        <w:footnoteReference w:id="136"/>
      </w:r>
      <w:r>
        <w:rPr>
          <w:rFonts w:ascii="Times New Roman" w:hAnsi="Times New Roman" w:cs="B Nazanin"/>
          <w:sz w:val="22"/>
          <w:szCs w:val="28"/>
          <w:rtl w:val="1"/>
        </w:rPr>
        <w:t xml:space="preserve"> این دو کارکرد، تضمینی بر حفظ انسجام نظم حقوقی بینالمللی خواهدبود.</w:t>
      </w:r>
    </w:p>
    <w:p>
      <w:pPr>
        <w:bidi w:val="1"/>
        <w:spacing w:line="312" w:lineRule="auto" w:before="0" w:after="120"/>
        <w:ind w:firstLine="454"/>
        <w:jc w:val="both"/>
      </w:pPr>
      <w:r>
        <w:rPr>
          <w:rFonts w:ascii="Times New Roman" w:hAnsi="Times New Roman" w:cs="B Nazanin"/>
          <w:sz w:val="22"/>
          <w:szCs w:val="28"/>
          <w:rtl w:val="1"/>
        </w:rPr>
        <w:t>گستردگی دامنه اصول از یک سو و ارتباط متقابل اصول کلی با سایر منابع حقوقبینالملل (معاهده و عرف) از سوی دیگر، موجب تنوع نقش اصول شده است. با درنظر گرفتن نقشهای مختلفی که اصول کلی در ساخت، مدیریت، توسعه و بسط حقوقبینالملل ایفا میکند، میتوان آن را در چهار دسته اصلی شامل اصول کلی بنیادین</w:t>
      </w:r>
      <w:r>
        <w:rPr>
          <w:rStyle w:val="FootnoteReference"/>
          <w:rtl w:val="1"/>
        </w:rPr>
        <w:footnoteReference w:id="137"/>
      </w:r>
      <w:r>
        <w:rPr>
          <w:rFonts w:ascii="Times New Roman" w:hAnsi="Times New Roman" w:cs="B Nazanin"/>
          <w:sz w:val="22"/>
          <w:szCs w:val="28"/>
          <w:rtl w:val="1"/>
        </w:rPr>
        <w:t>، راهنما</w:t>
      </w:r>
      <w:r>
        <w:rPr>
          <w:rStyle w:val="FootnoteReference"/>
          <w:rtl w:val="1"/>
        </w:rPr>
        <w:footnoteReference w:id="138"/>
      </w:r>
      <w:r>
        <w:rPr>
          <w:rFonts w:ascii="Times New Roman" w:hAnsi="Times New Roman" w:cs="B Nazanin"/>
          <w:sz w:val="22"/>
          <w:szCs w:val="28"/>
          <w:rtl w:val="1"/>
        </w:rPr>
        <w:t>، مکمل</w:t>
      </w:r>
      <w:r>
        <w:rPr>
          <w:rStyle w:val="FootnoteReference"/>
          <w:rtl w:val="1"/>
        </w:rPr>
        <w:footnoteReference w:id="139"/>
      </w:r>
      <w:r>
        <w:rPr>
          <w:rFonts w:ascii="Times New Roman" w:hAnsi="Times New Roman" w:cs="B Nazanin"/>
          <w:sz w:val="22"/>
          <w:szCs w:val="28"/>
          <w:rtl w:val="1"/>
        </w:rPr>
        <w:t xml:space="preserve"> و تفسیری</w:t>
      </w:r>
      <w:r>
        <w:rPr>
          <w:rStyle w:val="FootnoteReference"/>
          <w:rtl w:val="1"/>
        </w:rPr>
        <w:footnoteReference w:id="140"/>
      </w:r>
      <w:r>
        <w:rPr>
          <w:rFonts w:ascii="Times New Roman" w:hAnsi="Times New Roman" w:cs="B Nazanin"/>
          <w:sz w:val="22"/>
          <w:szCs w:val="28"/>
          <w:rtl w:val="1"/>
        </w:rPr>
        <w:t xml:space="preserve"> تقسیمبندی کرد.</w:t>
      </w:r>
      <w:r>
        <w:rPr>
          <w:rStyle w:val="FootnoteReference"/>
          <w:rtl w:val="1"/>
        </w:rPr>
        <w:footnoteReference w:id="141"/>
      </w:r>
      <w:r>
        <w:rPr>
          <w:rFonts w:ascii="Times New Roman" w:hAnsi="Times New Roman" w:cs="B Nazanin"/>
          <w:sz w:val="22"/>
          <w:szCs w:val="28"/>
          <w:rtl w:val="1"/>
        </w:rPr>
        <w:t xml:space="preserve"> اصول کلی راهنما در روند ایجاد قواعد جدید برای حوزههای جدید حقوقبینالملل نقش بهسزایی دارند. اصولی همچون پیشگیری، احتیاط، مسئولیت مشترک اما متفاوت و پرداخت آلودهساز که همگی از مصادیق اصول راهنما در حوزه حقوقبینالمللمحیطزیست هستند. در این حوزه نسبتاً جدید، نمونههای بسیاری وجود دارد که نشان میدهد اصول کلی، هدایتگر واضعان در وضع قواعد حقوقی جدید بودهاند. برای مثال، اصل احتیاط به عنوان اصلی جدید برای هدایت فعالیتهای بشر و جلوگیری از صدمه به محیطزیست و حفظ سلامت انسان در حقوقبینالملل محیطزیست پدیدار شده و بعد از پذیرش اعلامیه ریو (1992) در اغلب موافقتنامههایچندجانبه محیطزیستی بهصورت صریح یا ضمنی درج شده است. روند روبه رشد اصول کلی راهنما میتواند دولتها را به وضع مقررات بینالمللی الزامآور در حوزههای جدید تشویق کند.</w:t>
      </w:r>
      <w:r>
        <w:rPr>
          <w:rStyle w:val="FootnoteReference"/>
          <w:rtl w:val="1"/>
        </w:rPr>
        <w:footnoteReference w:id="142"/>
      </w:r>
      <w:r>
        <w:rPr>
          <w:rFonts w:ascii="Times New Roman" w:hAnsi="Times New Roman" w:cs="B Nazanin"/>
          <w:sz w:val="22"/>
          <w:szCs w:val="28"/>
          <w:rtl w:val="1"/>
        </w:rPr>
        <w:t>نقش مهم اصول مکمل (آنچه در ماده 38 اساسنامه دیوان بینالمللی دادگستری آمده است) شفافسازی و جلوگیری از ابهام است. طبیعتاً به هر میزان که حوزهای جدیدتر باشد (مثلاً حقوقبینالملل محیطزیست) خلاءهای حقوقیاش نیز بیشتر است و در نتیجه، اصول مکمل ماهوی میتوانند نقش پررنگتر و موثرتری داشته باشد. اعمال اصول یادشده، علاوه بر رفع خلاءها، سبب توسعه حقوقبینالملل در این بخشها شده و نهایتاً بر رابطه میان شاخههای جدید با سایر حوزههای حقوقبینالملل، تاثیر مثبت خواهد گذاشت.</w:t>
      </w:r>
      <w:r>
        <w:rPr>
          <w:rStyle w:val="FootnoteReference"/>
          <w:rtl w:val="1"/>
        </w:rPr>
        <w:footnoteReference w:id="143"/>
      </w:r>
    </w:p>
    <w:p>
      <w:pPr>
        <w:bidi w:val="1"/>
        <w:spacing w:line="312" w:lineRule="auto" w:before="0" w:after="120"/>
        <w:ind w:firstLine="454"/>
        <w:jc w:val="both"/>
      </w:pPr>
      <w:r>
        <w:rPr>
          <w:rFonts w:ascii="Times New Roman" w:hAnsi="Times New Roman" w:cs="B Nazanin"/>
          <w:sz w:val="22"/>
          <w:szCs w:val="28"/>
          <w:rtl w:val="1"/>
        </w:rPr>
        <w:t>«توسعه حقوقمحیطزیست در طی دهههای اخیر منجر به شکلگیری شمار زیادی از مفاهیم، اصول و هنجارها شده است. دلیل اینکه چرا این اصول از چنین نقشهای مهمی برخوردارند، در واقع به توسعه حقوق بینالملل محیطزیست باز میگردد. حقوق محیطزیست عمدتاً به صورت یک مدل مقطعی توسعه یافته است نه در یک مسیر ساختاری منظم و در واقع این توسعه در قالب پاسخهای موضعی و موقتی به چالشها و تهدیدهای محیطزیستی بوده است. از این رو، اصول و مفاهیم در بسیاری از معاهدات و یا اسناد غیرالزامآور تکرار شدهاند یا به آنها ارجاع شده است. گنجاندن مکرر این اصول در اسناد بینالمللی موجب تقویت آنها میشود و به همراه رویه دولتها در ایجاد یک چارچوب جهانی برای حقوقبینالملل محیطزیست مشارکت میکنند.»</w:t>
      </w:r>
      <w:r>
        <w:rPr>
          <w:rStyle w:val="FootnoteReference"/>
          <w:rtl w:val="1"/>
        </w:rPr>
        <w:footnoteReference w:id="144"/>
      </w:r>
    </w:p>
    <w:p>
      <w:pPr>
        <w:bidi w:val="1"/>
        <w:spacing w:line="312" w:lineRule="auto" w:before="0" w:after="120"/>
        <w:ind w:firstLine="454"/>
        <w:jc w:val="both"/>
      </w:pPr>
      <w:r>
        <w:rPr>
          <w:rFonts w:ascii="Times New Roman" w:hAnsi="Times New Roman" w:cs="B Nazanin"/>
          <w:sz w:val="22"/>
          <w:szCs w:val="28"/>
          <w:rtl w:val="1"/>
        </w:rPr>
        <w:t>در رویه معاصر، ابهام و دشواری در بهکارگیری این اصول دیده میشود. برخی این اصول را ابزاری برای ارزیابی نوآورانه پدیدههای اجتماعی با تاکید کمتر بر حاکمیت سنتی دولتها میدانند، در حالی که برخی دیگر که حامیان دیدگاه کلاسیک هستند، ترجیح میدهند که حاکمیت دولتها را همچنان در اولویت قرار دهند.</w:t>
      </w:r>
      <w:r>
        <w:rPr>
          <w:rStyle w:val="FootnoteReference"/>
          <w:rtl w:val="1"/>
        </w:rPr>
        <w:footnoteReference w:id="145"/>
      </w:r>
      <w:r>
        <w:rPr>
          <w:rFonts w:ascii="Times New Roman" w:hAnsi="Times New Roman" w:cs="B Nazanin"/>
          <w:sz w:val="22"/>
          <w:szCs w:val="28"/>
          <w:rtl w:val="1"/>
        </w:rPr>
        <w:t xml:space="preserve"> نکته متقن در این است که «دولتها نسبت به اصول کلی با احتیاط عمل میکنند، چون میترسند بیجهت آزادی عمل خود را محدود سازند. در نتیجه به ندرت از این اصول استفاده مینمایند، جز زمانی که فکر میکنند استفاده از این اصول در برابر دولت دیگر، به نفع آنهاست و بر این باورند که برخی اصول موجود، حاکمیت آنها را محدود میسازد.»</w:t>
      </w:r>
      <w:r>
        <w:rPr>
          <w:rStyle w:val="FootnoteReference"/>
          <w:rtl w:val="1"/>
        </w:rPr>
        <w:footnoteReference w:id="146"/>
      </w:r>
      <w:r>
        <w:rPr>
          <w:rFonts w:ascii="Times New Roman" w:hAnsi="Times New Roman" w:cs="B Nazanin"/>
          <w:sz w:val="22"/>
          <w:szCs w:val="28"/>
          <w:rtl w:val="1"/>
        </w:rPr>
        <w:t xml:space="preserve"> در رویه نیز تعیین و تشخیص اصول در خلاءهای هنجاری و در نتیجه توسعه و تقویت پیکره کلی حقوقبینالملل بر عهده محاکم و دادگاههای بینالمللی بوده است.</w:t>
      </w:r>
      <w:r>
        <w:rPr>
          <w:rStyle w:val="FootnoteReference"/>
          <w:rtl w:val="1"/>
        </w:rPr>
        <w:footnoteReference w:id="147"/>
      </w:r>
      <w:r>
        <w:rPr>
          <w:rFonts w:ascii="Times New Roman" w:hAnsi="Times New Roman" w:cs="B Nazanin"/>
          <w:sz w:val="22"/>
          <w:szCs w:val="28"/>
          <w:rtl w:val="1"/>
        </w:rPr>
        <w:t xml:space="preserve"> رویه محاکم نیز نخست، رجوع به اصول مختص یک شاخه خاص از حقوقبینالملل و سپس در مقام شناسایی اصول کلی حقوقبینالملل میباشد.</w:t>
      </w:r>
      <w:r>
        <w:rPr>
          <w:rStyle w:val="FootnoteReference"/>
          <w:rtl w:val="1"/>
        </w:rPr>
        <w:footnoteReference w:id="148"/>
      </w:r>
      <w:r>
        <w:rPr>
          <w:rFonts w:ascii="Times New Roman" w:hAnsi="Times New Roman" w:cs="B Nazanin"/>
          <w:sz w:val="22"/>
          <w:szCs w:val="28"/>
          <w:rtl w:val="1"/>
        </w:rPr>
        <w:t xml:space="preserve"> اساساً اصول کلی حقوقی در حوزههای جدید حقوقبینالملل که هنوز در مرحله تکوین، مملو از خلاء یا دارای قاعدهای مبهم هستند، منبعی مفید فایده ارزیابی میگردد.</w:t>
      </w:r>
    </w:p>
    <w:p>
      <w:pPr>
        <w:bidi w:val="1"/>
        <w:spacing w:line="312" w:lineRule="auto" w:before="0" w:after="120"/>
        <w:ind w:firstLine="454"/>
        <w:jc w:val="both"/>
      </w:pPr>
      <w:r>
        <w:rPr>
          <w:rFonts w:ascii="Times New Roman" w:hAnsi="Times New Roman" w:cs="B Nazanin"/>
          <w:sz w:val="22"/>
          <w:szCs w:val="28"/>
          <w:rtl w:val="1"/>
        </w:rPr>
        <w:t>نکته قابل توجه در حوزه حقوقبینالملل محیطزیست این است که این حوزه از حقوق، دوره دیپلماسی و قانونگذاری فشرده بینالمللی خود را با کنفرانسملل متحد در مورد محیطزیست انسانی، معروف به کنفرانس استکهلم</w:t>
      </w:r>
      <w:r>
        <w:rPr>
          <w:rStyle w:val="FootnoteReference"/>
          <w:rtl w:val="1"/>
        </w:rPr>
        <w:footnoteReference w:id="149"/>
      </w:r>
      <w:r>
        <w:rPr>
          <w:rFonts w:ascii="Times New Roman" w:hAnsi="Times New Roman" w:cs="B Nazanin"/>
          <w:sz w:val="22"/>
          <w:szCs w:val="28"/>
          <w:rtl w:val="1"/>
        </w:rPr>
        <w:t xml:space="preserve"> در سال 1972 آغاز نمود. در همان گام که برای اولین بار مسائل محیطزیستی به طور رسمی در سطح جهانی مطرح گردید، دولتهای حاضر در کنفرانس، موفق به توافق بر سر 26 اصل در راستای حفاظت از محیطزیست در قالب اعلامیه استکهلم شدند. این اعلامیه توانست ضمن جمعآوری برخی از اصول عرفی پراکنده در یک متن حقوقی غیرالزامآور، باعث توسعه محتوای حقوقبینالملل محیطزیست در طول دهههای گذشته و ظهور شمار زیادی از موافقتنامههای چندجانبه محیطزیستی، اصول، مفاهیم و هنجارهای حقوقی شود.</w:t>
      </w:r>
      <w:r>
        <w:rPr>
          <w:rStyle w:val="FootnoteReference"/>
          <w:rtl w:val="1"/>
        </w:rPr>
        <w:footnoteReference w:id="150"/>
      </w:r>
      <w:r>
        <w:rPr>
          <w:rFonts w:ascii="Times New Roman" w:hAnsi="Times New Roman" w:cs="B Nazanin"/>
          <w:sz w:val="22"/>
          <w:szCs w:val="28"/>
          <w:rtl w:val="1"/>
        </w:rPr>
        <w:t xml:space="preserve"> 20 سال بعد، کنفرانس سازمانملل در مورد محیطزیست و توسعه معروف به نشست زمین</w:t>
      </w:r>
      <w:r>
        <w:rPr>
          <w:rStyle w:val="FootnoteReference"/>
          <w:rtl w:val="1"/>
        </w:rPr>
        <w:footnoteReference w:id="151"/>
      </w:r>
      <w:r>
        <w:rPr>
          <w:rFonts w:ascii="Times New Roman" w:hAnsi="Times New Roman" w:cs="B Nazanin"/>
          <w:sz w:val="22"/>
          <w:szCs w:val="28"/>
          <w:rtl w:val="1"/>
        </w:rPr>
        <w:t xml:space="preserve"> در سال 1992، منتهی به پذیرش اعلامیه ریو و طرح 27 اصل همچون اصل توسعه پایدار گردید. هرچند که این دو اعلامیه جزء اسناد حقوقی الزامآور محسوب نمیشوند ولی مبین ظهور اصولی هستند که در عملکرد دولتها مورد توجه قرار گرفته و مبنای شکلگیری سایر کنوانسیونهای بینالمللی محیطزیستی و شالوده حقوقبینالملل محیطزیست قرار گرفتهاند.</w:t>
      </w:r>
      <w:r>
        <w:rPr>
          <w:rStyle w:val="FootnoteReference"/>
          <w:rtl w:val="1"/>
        </w:rPr>
        <w:footnoteReference w:id="152"/>
      </w:r>
    </w:p>
    <w:p>
      <w:pPr>
        <w:bidi w:val="1"/>
        <w:spacing w:line="312" w:lineRule="auto" w:before="0" w:after="120"/>
        <w:ind w:firstLine="454"/>
        <w:jc w:val="both"/>
      </w:pPr>
      <w:r>
        <w:rPr>
          <w:rFonts w:ascii="Times New Roman" w:hAnsi="Times New Roman" w:cs="B Nazanin"/>
          <w:sz w:val="22"/>
          <w:szCs w:val="28"/>
          <w:rtl w:val="1"/>
        </w:rPr>
        <w:t>در گزارش دبیرکل، اصول حقوق بینالملل محیطزیست را به عنوان «بلوک‌های ساختمانی</w:t>
      </w:r>
      <w:r>
        <w:rPr>
          <w:rStyle w:val="FootnoteReference"/>
          <w:rtl w:val="1"/>
        </w:rPr>
        <w:footnoteReference w:id="153"/>
      </w:r>
      <w:r>
        <w:rPr>
          <w:rFonts w:ascii="Times New Roman" w:hAnsi="Times New Roman" w:cs="B Nazanin"/>
          <w:sz w:val="22"/>
          <w:szCs w:val="28"/>
          <w:rtl w:val="1"/>
        </w:rPr>
        <w:t>» معرفی می‌کنند (بند ۹).این اصول در منابع مختلف (معاهدات، اسناد غیرالزام‌آور و رویه قضایی) پراکنده‌اند. گزارش به صورت منتقدانه اشاره میکند که در مورد بسیاری از اصول، شفافیتی در مورد ماهیت، محتوا و جایگاه حقوقی آن‌ها وجود ندارد. همچنین در خصوص قابلیت اجرای بسیاری از اصول، اجماع قضایی شکل نگرفته است. عدم شناسایی در اسناد حقوقی الزامآور نیز قابل ذکر است. این وضعیت اصول تأثیر مستقیم و غیرمستقیم بر پیشبینی پذیری و اجرای رژیمهای محیطزیستی بخشی دارد. در پایان بند، گزارش برآن است که تدوین این اصول در یک سند جامع و وحدت‌بخش می‌تواند به هماهنگی، پیش‌بینی‌پذیری و اجرای مؤثرتر آن‌ها کمک کند (بند ۱۰۲).</w:t>
      </w:r>
    </w:p>
    <w:p>
      <w:pPr>
        <w:bidi w:val="1"/>
        <w:spacing w:line="312" w:lineRule="auto" w:before="0" w:after="120"/>
        <w:ind w:firstLine="454"/>
        <w:jc w:val="both"/>
      </w:pPr>
      <w:r>
        <w:rPr>
          <w:rFonts w:ascii="Times New Roman" w:hAnsi="Times New Roman" w:cs="B Nazanin"/>
          <w:sz w:val="22"/>
          <w:szCs w:val="28"/>
          <w:rtl w:val="1"/>
        </w:rPr>
        <w:t>در مجموع، اصول کلی حقوقی نقش حیاتی در شکل‌گیری، تفسیر، توسعه و تحکیم قواعد حقوقبینالملل محیطزیست ایفا می‌کنند. این اصول نه تنها بهعنوان ابزاری برای پرکردن خلأهای قانونی</w:t>
      </w:r>
      <w:r>
        <w:rPr>
          <w:rStyle w:val="FootnoteReference"/>
          <w:rtl w:val="1"/>
        </w:rPr>
        <w:footnoteReference w:id="154"/>
      </w:r>
      <w:r>
        <w:rPr>
          <w:rFonts w:ascii="Times New Roman" w:hAnsi="Times New Roman" w:cs="B Nazanin"/>
          <w:sz w:val="22"/>
          <w:szCs w:val="28"/>
          <w:rtl w:val="1"/>
        </w:rPr>
        <w:t xml:space="preserve"> و تفسیر قواعد موجود</w:t>
      </w:r>
      <w:r>
        <w:rPr>
          <w:rStyle w:val="FootnoteReference"/>
          <w:rtl w:val="1"/>
        </w:rPr>
        <w:footnoteReference w:id="155"/>
      </w:r>
      <w:r>
        <w:rPr>
          <w:rFonts w:ascii="Times New Roman" w:hAnsi="Times New Roman" w:cs="B Nazanin"/>
          <w:sz w:val="22"/>
          <w:szCs w:val="28"/>
          <w:rtl w:val="1"/>
        </w:rPr>
        <w:t xml:space="preserve"> عمل می‌کنند، بلکه بهعنوان چارچوبی برای هدایت توسعه حقوقبین‌الملل محیطزیست</w:t>
      </w:r>
      <w:r>
        <w:rPr>
          <w:rStyle w:val="FootnoteReference"/>
          <w:rtl w:val="1"/>
        </w:rPr>
        <w:footnoteReference w:id="156"/>
      </w:r>
      <w:r>
        <w:rPr>
          <w:rFonts w:ascii="Times New Roman" w:hAnsi="Times New Roman" w:cs="B Nazanin"/>
          <w:sz w:val="22"/>
          <w:szCs w:val="28"/>
          <w:rtl w:val="1"/>
        </w:rPr>
        <w:t xml:space="preserve"> نیز مورد استفاده قرار می‌گیرند. با این حال، چالش‌هایی مانند ابهام در تعریف و نحوه اجرای این اصول و تضاد احتمالی با منافع ملی، نیازمند توجه و درک دقیق از نظریههای حقوقی و رویه تاریخی هستند. «اغلب اصول کلی محیط زیست به صورت مبهم و کلی و بدون تعهدات خاص یا اهداف کمی تدوین شدهاند. بنابراین، اجرا و اثربخشی این اصول منحصراً به اراده سیاسی کشورها و ظرفیت مالی و فنی آنها بستگی دارد.»</w:t>
      </w:r>
      <w:r>
        <w:rPr>
          <w:rStyle w:val="FootnoteReference"/>
          <w:rtl w:val="1"/>
        </w:rPr>
        <w:footnoteReference w:id="157"/>
      </w:r>
      <w:r>
        <w:rPr>
          <w:rFonts w:ascii="Times New Roman" w:hAnsi="Times New Roman" w:cs="B Nazanin"/>
          <w:sz w:val="22"/>
          <w:szCs w:val="28"/>
          <w:rtl w:val="1"/>
        </w:rPr>
        <w:t xml:space="preserve"> با توجه به پویایی حقوقبینالملل محیطزیست به دلیل تغییرات مداوم چالشهای محیطزیستی، استفاده از اصول کلی حقوقبینالملل محیطزیست در شکل دادن به پاسخهای موثر و منصفانه به مسائل محیطزیستی جهانی، حیاتی تلقی میشود. پویایی حقوقبینالملل محیطزیست ثابت نموده است که گرچه برخی اصول کلی حقوقی محصول گذشتهاند، اما محصور به گذشته نیستند. در نهایت این مهم را باید در نظر داشت که حقوقبینالملل محیطزیست بخش جداناپذیری از حقوق بینالملل عمومی است. بنابراین اصول حقوقبینالملل عمومی میتواند به طور کلی بر تکامل اصول حقوقبینالملل محیطزیست موثر باشد. (همان)</w:t>
      </w:r>
    </w:p>
    <w:p>
      <w:pPr>
        <w:pStyle w:val="GPEHeading3"/>
        <w:bidi w:val="1"/>
        <w:spacing w:line="312" w:lineRule="auto" w:before="200" w:after="120"/>
        <w:jc w:val="right"/>
      </w:pPr>
      <w:r>
        <w:rPr>
          <w:rFonts w:ascii="Times New Roman" w:hAnsi="Times New Roman" w:cs="B Nazanin"/>
          <w:sz w:val="24"/>
          <w:szCs w:val="24"/>
          <w:rtl w:val="1"/>
          <w:b/>
          <w:bCs/>
          <w:color w:val="14203a"/>
        </w:rPr>
        <w:t>۳-۱-۱-۴ رویه قضایی و دکترین</w:t>
      </w:r>
    </w:p>
    <w:p>
      <w:pPr>
        <w:bidi w:val="1"/>
        <w:spacing w:line="312" w:lineRule="auto" w:before="0" w:after="120"/>
        <w:ind w:firstLine="454"/>
        <w:jc w:val="both"/>
      </w:pPr>
      <w:r>
        <w:rPr>
          <w:rFonts w:ascii="Times New Roman" w:hAnsi="Times New Roman" w:cs="B Nazanin"/>
          <w:sz w:val="22"/>
          <w:szCs w:val="28"/>
          <w:rtl w:val="1"/>
        </w:rPr>
        <w:t>منبع چهارمی که در بند یک ماده 38 اساسنامه دیوان بینالمللی دادگستری ذکر شده است، رویه قضایی و آموزههای برجستهترین صاحب نظران حقوقبینالملل کشورهای مختلف جهان، در حد ابزاری کمکی برای تعیین حد و حدود قواعد حقوقی شایسته میباشد. از تصمیمات دیوان بینالمللی دادگستری یا دیگر مراجع بینالمللی و نوشتههای صاحبنظران حقوقبینالملل پیداست که در صورتی که، معاهدهای در مورد مسئله چالش برانگیز خاص در حقوقبینالملل وجود نداشته باشد، قاعده عرفی حقوقبینالمللی و هیچ قاعده قابل اجرایی از اصول کلی حقوقی در ارتباط با آن موضوع خاص وجود نداشته باشد، رویه قضایی و دکترین به عنوان منبع استفاده میشود.</w:t>
      </w:r>
    </w:p>
    <w:p>
      <w:pPr>
        <w:bidi w:val="1"/>
        <w:spacing w:line="312" w:lineRule="auto" w:before="0" w:after="120"/>
        <w:ind w:firstLine="454"/>
        <w:jc w:val="both"/>
      </w:pPr>
      <w:r>
        <w:rPr>
          <w:rFonts w:ascii="Times New Roman" w:hAnsi="Times New Roman" w:cs="B Nazanin"/>
          <w:sz w:val="22"/>
          <w:szCs w:val="28"/>
          <w:rtl w:val="1"/>
        </w:rPr>
        <w:t>در گزارش دبیرکل تصممیات دیوان ب دادگستری بررسی شود.</w:t>
      </w:r>
    </w:p>
    <w:p>
      <w:pPr>
        <w:bidi w:val="1"/>
        <w:spacing w:line="312" w:lineRule="auto" w:before="0" w:after="120"/>
        <w:ind w:firstLine="454"/>
        <w:jc w:val="both"/>
      </w:pPr>
      <w:r>
        <w:rPr>
          <w:rFonts w:ascii="Times New Roman" w:hAnsi="Times New Roman" w:cs="B Nazanin"/>
          <w:sz w:val="22"/>
          <w:szCs w:val="28"/>
          <w:rtl w:val="1"/>
        </w:rPr>
        <w:t>شایان ذکر است که ماده 38 اساسنامه، در نظر ندارد تا یک فهرست جامعی از منابع حقوقبینالملل را فراهم کند. «منابع احتمالی دیگری نیز وجود دارد که دیوان بینالمللی دادگستری ممکن است بر آنها برای کمک به بررسیهایش جهت اتخاذ تصمیم اتکا کند که میتوان به اعمال سازمانهای بینالمللی و منطقهای، قطعنامههای شورای امنیت و مجمع عمومی سازمانمللمتحد و مقررات و تصمیمات و دستورالعملهای اتحادیه اروپا اشاره کرد. همچنین تصمیمات کنفرانس اعضای یک موافقتنامهچندجانبه محیطزیستی، بیانیهها و اعلامیههای کنفرانسها نیز میتوانند در توسعه حقوقبینالملل نقش داشته باشند.»</w:t>
      </w:r>
      <w:r>
        <w:rPr>
          <w:rStyle w:val="FootnoteReference"/>
          <w:rtl w:val="1"/>
        </w:rPr>
        <w:footnoteReference w:id="158"/>
      </w:r>
    </w:p>
    <w:p>
      <w:pPr>
        <w:pStyle w:val="GPEHeading3"/>
        <w:bidi w:val="1"/>
        <w:spacing w:line="312" w:lineRule="auto" w:before="200" w:after="120"/>
        <w:jc w:val="right"/>
      </w:pPr>
      <w:r>
        <w:rPr>
          <w:rFonts w:ascii="Times New Roman" w:hAnsi="Times New Roman" w:cs="B Nazanin"/>
          <w:sz w:val="24"/>
          <w:szCs w:val="24"/>
          <w:rtl w:val="1"/>
          <w:b/>
          <w:bCs/>
          <w:color w:val="14203a"/>
        </w:rPr>
        <w:t>۳-۱-۱-۵ جایگاه حقوق نرم در نظام منابع حقوق بین‌الملل محیط‌زیست</w:t>
      </w:r>
    </w:p>
    <w:p>
      <w:pPr>
        <w:bidi w:val="1"/>
        <w:spacing w:line="312" w:lineRule="auto" w:before="0" w:after="120"/>
        <w:ind w:firstLine="454"/>
        <w:jc w:val="both"/>
      </w:pPr>
      <w:r>
        <w:rPr>
          <w:rFonts w:ascii="Times New Roman" w:hAnsi="Times New Roman" w:cs="B Nazanin"/>
          <w:sz w:val="22"/>
          <w:szCs w:val="28"/>
          <w:rtl w:val="1"/>
        </w:rPr>
        <w:t>گزارش دبیرکل با عنوان «خلاءها در حقوق بین‌الملل محیط‌زیست و اسناد مرتبط با محیط‌زیست: به سوی پیمان جهانی برای محیط‌زیست» (نوامبر ۲۰۱۸) به عنوان نخستین سند سازمان ملل در این سطح، جایگاه ویژه‌ای را به تحلیل اسناد غیرالزام‌آور یا «حقوق نرم» اختصاص داده است. این گزارش با نگاهی انتقادی و در عین حال کاربردی، نقش این اسناد را در ساختار حقوق بین‌الملل محیط‌زیست و نسبت آن با خلاءهای موجود بررسی می‌کند. در ادامه، واکاوی دقیق این گزارش از حیث حقوق نرم ارائه می‌شود.</w:t>
      </w:r>
    </w:p>
    <w:p>
      <w:pPr>
        <w:bidi w:val="1"/>
        <w:spacing w:line="312" w:lineRule="auto" w:before="0" w:after="120"/>
        <w:ind w:firstLine="454"/>
        <w:jc w:val="both"/>
      </w:pPr>
      <w:r>
        <w:rPr>
          <w:rFonts w:ascii="Times New Roman" w:hAnsi="Times New Roman" w:cs="B Nazanin"/>
          <w:sz w:val="22"/>
          <w:szCs w:val="28"/>
          <w:rtl w:val="1"/>
        </w:rPr>
        <w:t>با توجه به چالش‌های حیاتی ناشی از مسائل محیط زیستی و همچنین فوریت اقدام و مشکلات ناشی از حصول توافق در خصوص اسناد بین‌المللی الزام‌آور، در نتیجه، مجموعه مهمی از اسناد غیرالزام‌آور نظیر اعلامیه‌ها، قطعنامه‌ها، دستورالعمل‌ها و توصیه‌ها - در حقوق بین الملل محیط زیست پدیدار شده است. نمونه‌های قابل توجه عبارتند از اعلامیه کنفرانس سازمان ملل متحد در مورد محیط زیست انسانی (اعلامیه استکهلم) و اعلامیه ریو در مورد محیط زیست و توسعه. چنین اسناد غیر الزام آوری به عنوان راهنمای مهم برای اقدامات ملی و بین المللی عمل می‌کنند و اغلب به عنوان پیشگامی برای توسعه بعدی و پذیرش اسناد الزام آور عمل می‌کنند. آنها معمولاً در چارچوب موافقت نامه‌های چندجانبه محیط زیستی برای تبیین معنای مقرره ی خاص نیز استفاده می‌شوند. پارا 5 گزارش دبیرکل</w:t>
      </w:r>
    </w:p>
    <w:p>
      <w:pPr>
        <w:bidi w:val="1"/>
        <w:spacing w:line="312" w:lineRule="auto" w:before="0" w:after="120"/>
        <w:ind w:firstLine="454"/>
        <w:jc w:val="both"/>
      </w:pPr>
      <w:r>
        <w:rPr>
          <w:rFonts w:ascii="Times New Roman" w:hAnsi="Times New Roman" w:cs="B Nazanin"/>
          <w:sz w:val="22"/>
          <w:szCs w:val="28"/>
          <w:rtl w:val="1"/>
        </w:rPr>
        <w:t>گزارش در بند ۵ به روشنی به نقش اسناد غیرالزام‌آور اشاره کرده و آن‌ها را چنین معرفی می‌کند: به دلیل چالش‌های بحرانی ناشی از مسائل محیط‌زیستی و نیز فوریت اقدام و دشواری‌های ذاتی در دستیابی به توافق بر روی اسناد الزام‌آور بین‌المللی، مجموعه مهمی از اسناد غیرالزام‌آور - اعلامیه‌ها، قطعنامه‌ها، رهنمودها و توصیه‌ها - در حقوق بین‌الملل محیط‌زیست پدید آمده است. (بند 5) گزارش با این بیان، دو کارکرد مهم حقوق نرم را برجسته می‌کند. نخست پاسخ به فوریت، در شرایطی که دستیابی به توافق الزام‌آور زمان‌بر و دشوار است، اسناد غیرالزام‌آور امکان واکنش سریع‌تر به بحران‌ها را فراهم می‌کنند.سپس، تنوع شکلی، حقوق نرم طیف وسیعی از اعلامیه‌های سیاسی تا رهنمودهای فنی را شامل می‌شود.</w:t>
      </w:r>
    </w:p>
    <w:p>
      <w:pPr>
        <w:bidi w:val="1"/>
        <w:spacing w:line="312" w:lineRule="auto" w:before="0" w:after="120"/>
        <w:ind w:firstLine="454"/>
        <w:jc w:val="both"/>
      </w:pPr>
      <w:r>
        <w:rPr>
          <w:rFonts w:ascii="Times New Roman" w:hAnsi="Times New Roman" w:cs="B Nazanin"/>
          <w:sz w:val="22"/>
          <w:szCs w:val="28"/>
          <w:rtl w:val="1"/>
        </w:rPr>
        <w:t>گزارش در بند ۵ این اعلامیه استکهلم ۱۹۷۲ و اعلامیه ریو ۱۹۹۲ را به عنوان «نمونه‌های قابل توجه» اسناد غیرالزام‌آور معرفی می‌کند. ارجاعات متعدد به این دو سند در سراسر گزارش نشان‌دهنده اهمیت بنیادین آن‌ها به عنوان منابع الهام‌بخش و جهت‌دهنده به حقوق بین‌الملل محیط‌زیست است. که از آن‌ها می‌توان به‌عنوان نقاط عطف در تحولات حقوق بین‌الملل محیط زیست یاد کرد</w:t>
      </w:r>
    </w:p>
    <w:p>
      <w:pPr>
        <w:bidi w:val="1"/>
        <w:spacing w:line="312" w:lineRule="auto" w:before="0" w:after="120"/>
        <w:ind w:firstLine="454"/>
        <w:jc w:val="both"/>
      </w:pPr>
      <w:r>
        <w:rPr>
          <w:rFonts w:ascii="Times New Roman" w:hAnsi="Times New Roman" w:cs="B Nazanin"/>
          <w:sz w:val="22"/>
          <w:szCs w:val="28"/>
          <w:rtl w:val="1"/>
        </w:rPr>
        <w:t>کارکرد حقوق نرم در گزارش دبیرکل به شرح ذیلند. بند ۵ گزارش به نقش حیاتی اسناد غیرالزام‌آور اشاره کرده و آن‌ها را به عنوان راهنمای مهمی برای اقدام ملی و بین‌المللی معرفی می‌کنند. این کارکرد به ویژه در شرایطی که قواعد الزام‌آور مبهم یا ناقص هستند، برجسته می‌شود. شکلگیری حقوق نرم اغلب پیش‌درآمدی برای تدوین و تصویب معاهدات الزام‌آور بعدی هستند و این امر حاکی از نقش تکاملی حقوق نرم در فرآیند شکل‌گیری حقوق بین‌الملل محیطزیست اذعان می‌کند. حقوق نرم، در چارچوب موافقتنامه‌ها برای شفاف‌سازی مفاد آن‌ها استفاده می‌شوند. این بدان معناست که حقوق نرم حتی پس از شکل‌گیری معاهدات الزام‌آور نیز نقش خود را به عنوان ابزاری برای تفسیر و اجرای بهتر آن‌ها حفظ می‌کند. گزارش در بخش‌های متعدد (از جمله بندهای ۱۰ و ۱۰۶) به کارکرد پرکننده خلاءها اشاره کرده است. برای نمونه، در بحث حفاظت از منابع آب شیرین (بند ۱۰۶) آمده: «اصول محیط‌زیستی می‌توانند خلاءهای هنجاری و نهادی ناشی از این ابزارها را پر کنند و ممکن است به هماهنگ‌سازی کاربرد آن‌ها کمک نمایند.» گزارش به رهنمودهای فنی سازمان‌های بین‌المللی به عنوان بخشی از حقوق نرم نظیر فائو و OECD اشاره می‌کند. این اشاره نشان می‌دهد که حقوق نرم صرفاً به اعلامیه‌های سیاسی سطح بالا محدود نمی‌شود، بلکه شامل رهنمودهای فنی و تخصصی نیز می‌گردد.</w:t>
      </w:r>
    </w:p>
    <w:p>
      <w:pPr>
        <w:bidi w:val="1"/>
        <w:spacing w:line="312" w:lineRule="auto" w:before="0" w:after="120"/>
        <w:ind w:firstLine="454"/>
        <w:jc w:val="both"/>
      </w:pPr>
      <w:r>
        <w:rPr>
          <w:rFonts w:ascii="Times New Roman" w:hAnsi="Times New Roman" w:cs="B Nazanin"/>
          <w:sz w:val="22"/>
          <w:szCs w:val="28"/>
          <w:rtl w:val="1"/>
        </w:rPr>
        <w:t>مهم‌ترین یافته گزارش در مورد حقوق نرم، ارتباط آن با خلاءهای حقوق بینالملل محیطزیست است. حقوق نرم گاهی به عنوان پاسخ به خلاء هنجاری به کار می‌رود. در مواردی که امکان دستیابی به توافق الزام‌آور وجود ندارد (مانند برخی مسائل نوظهور)، حقوق نرم به عنوان راهکاری موقت یا مکمل برای پر کردن خلاء هنجاری عمل می‌کند. حقوق نرم گاهی خود منبع خلاء می‌گردد. گزارش در بند ۱۴، عدم‌تقارن جغرافیایی در توسعه حقوق نرم را خود «یک خلاء قابل توجه» معرفی می‌کند. به عبارت دیگر، پراکندگی و ناهماهنگی در اسناد غیرالزام‌آور نیز می‌تواند منجر به ایجاد خلاء شود. ابهام در جایگاه حقوق نرم نیز قابل توجه است. بند ۲۰ در مورد توسعه پایدار نشان می‌دهد که عدم‌شفافیت در الزام‌آور بودن یا نبودن برخی اصول (که عمدتاً در اسناد نرم بیان شده‌اند) خود یک خلاء محسوب می‌شود.</w:t>
      </w:r>
    </w:p>
    <w:p>
      <w:pPr>
        <w:bidi w:val="1"/>
        <w:spacing w:line="312" w:lineRule="auto" w:before="0" w:after="120"/>
        <w:ind w:firstLine="454"/>
        <w:jc w:val="both"/>
      </w:pPr>
      <w:r>
        <w:rPr>
          <w:rFonts w:ascii="Times New Roman" w:hAnsi="Times New Roman" w:cs="B Nazanin"/>
          <w:sz w:val="22"/>
          <w:szCs w:val="28"/>
          <w:rtl w:val="1"/>
        </w:rPr>
        <w:t>گزارش دبیرکل تصویری دوگانه اما واقع‌بینانه از حقوق نرم در حقوق بین‌الملل محیط‌زیست ارائه می‌دهد. نقش حیاتی اما مکمل، حقوق نرم نمی‌تواند جایگزین تعهدات الزام‌آور شود، اما در فرآیند شکل‌گیری، تفسیر و اجرای آن‌ها نقشی بی‌بدیل دارد. گزارش در بند ۱۰۲ اذعان می‌کند که «یک سند بین‌المللی جامع و وحدت‌بخش که تمامی اصول حقوق محیط‌زیست را گرد آورد، می‌تواند هماهنگی، پیش‌بینی‌پذیری و قطعیت بهتری را فراهم آورد.» این دقیقاً اشاره به ضرورت تبدیل حقوق نرم پراکنده به یک سند الزام‌آور (یا دست‌کم منسجم) است. در مجموع، گزارش دبیرکل با واکاوی دقیق حقوق نرم، آن را نه در تقابل با حقوق سخت، بلکه در یک طیف تکاملی و با کارکردهای مکمل می‌بیند و بر ضرورت شفاف‌سازی، هماهنگ‌سازی و نهایتاً تدوین تدریجی آن‌ها در اسناد الزام‌آور تأکید می‌کند.</w:t>
      </w:r>
    </w:p>
    <w:p>
      <w:pPr>
        <w:pStyle w:val="GPEHeading3"/>
        <w:bidi w:val="1"/>
        <w:spacing w:line="312" w:lineRule="auto" w:before="200" w:after="120"/>
        <w:jc w:val="right"/>
      </w:pPr>
      <w:r>
        <w:rPr>
          <w:rFonts w:ascii="Times New Roman" w:hAnsi="Times New Roman" w:cs="B Nazanin"/>
          <w:sz w:val="24"/>
          <w:szCs w:val="24"/>
          <w:rtl w:val="1"/>
          <w:b/>
          <w:bCs/>
          <w:color w:val="14203a"/>
        </w:rPr>
        <w:t>۳-۱-۱-۶ جمع‌بندی و ارزیابی کلی از وضعیت منابع</w:t>
      </w:r>
    </w:p>
    <w:p>
      <w:pPr>
        <w:bidi w:val="1"/>
        <w:spacing w:line="312" w:lineRule="auto" w:before="0" w:after="120"/>
        <w:ind w:firstLine="454"/>
        <w:jc w:val="both"/>
      </w:pPr>
      <w:r>
        <w:rPr>
          <w:rFonts w:ascii="Times New Roman" w:hAnsi="Times New Roman" w:cs="B Nazanin"/>
          <w:sz w:val="22"/>
          <w:szCs w:val="28"/>
          <w:rtl w:val="1"/>
        </w:rPr>
        <w:t>پراکندگی هنجاری و نهادی حقوق بین‌الملل محیط‌زیست و رویکرد بخشی به مقررات محیط زیستی در طول سال‌ها منجر به ارائه پیشنهادهایی برای افزایش انسجام و هماهنگی حکمرانی جهانی محیط‌زیست شده است. از جمله پیشنهادات موفقیت آمیز برای تقویت هماهنگی میان موافقت نامه‌های چندجانبه محیط زیستی خاص، و پیشنهادات کمتر موفق برای ایجاد سازمان جهانی محیط زیست یا تصویب میثاق بین المللی محیط زیست و توسعه. اخیراً نیز ایده شکل گیری پیمان جهانی محیط زیست که اصول حقوق بین‌الملل محیط‌زیست را در یک سند ترکیب و تدوین ‌کند، مطرح شد. پارا 6</w:t>
      </w:r>
    </w:p>
    <w:p>
      <w:pPr>
        <w:bidi w:val="1"/>
        <w:spacing w:line="312" w:lineRule="auto" w:before="0" w:after="120"/>
        <w:ind w:firstLine="454"/>
        <w:jc w:val="both"/>
      </w:pPr>
      <w:r>
        <w:rPr>
          <w:rFonts w:ascii="Times New Roman" w:hAnsi="Times New Roman" w:cs="B Nazanin"/>
          <w:sz w:val="22"/>
          <w:szCs w:val="28"/>
          <w:rtl w:val="1"/>
        </w:rPr>
        <w:t>گزارش دبیرکل در نتیجه‌گیری خود (بندهای ۱۰۰ تا ۱۱۳) وضعیت منابع حقوق بین‌الملل محیط‌زیست را چنین جمع‌بندی می‌کند:</w:t>
      </w:r>
    </w:p>
    <w:p>
      <w:pPr>
        <w:bidi w:val="1"/>
        <w:spacing w:line="312" w:lineRule="auto" w:before="0" w:after="120"/>
        <w:ind w:firstLine="454"/>
        <w:jc w:val="both"/>
      </w:pPr>
      <w:r>
        <w:rPr>
          <w:rFonts w:ascii="Times New Roman" w:hAnsi="Times New Roman" w:cs="B Nazanin"/>
          <w:sz w:val="22"/>
          <w:szCs w:val="28"/>
          <w:rtl w:val="1"/>
        </w:rPr>
        <w:t>منابع موجود با وجود گستردگی، دچار کاستی‌های بنیادین هستند. این کاستی‌ها در سطوح مختلف از جمله محتوا و جایگاه اصول حقوقی، هماهنگی میان معاهدات، ساختار حکمرانی و اجرا مشاهده می‌شود.</w:t>
      </w:r>
    </w:p>
    <w:p>
      <w:pPr>
        <w:bidi w:val="1"/>
        <w:spacing w:line="312" w:lineRule="auto" w:before="0" w:after="120"/>
        <w:ind w:firstLine="454"/>
        <w:jc w:val="both"/>
      </w:pPr>
      <w:r>
        <w:rPr>
          <w:rFonts w:ascii="Times New Roman" w:hAnsi="Times New Roman" w:cs="B Nazanin"/>
          <w:sz w:val="22"/>
          <w:szCs w:val="28"/>
          <w:rtl w:val="1"/>
        </w:rPr>
        <w:t>چندپارگی یک ویژگی ذاتی اما چالش‌زا است. اگرچه چندپارگی ناشی از ماهیت تدریجی و واکنشی این رشته حقوقی است، اما برای افزایش کارآمدی نیازمند تلاش‌های آگاهانه برای ایجاد هماهنگی و همافزایی است.</w:t>
      </w:r>
    </w:p>
    <w:p>
      <w:pPr>
        <w:bidi w:val="1"/>
        <w:spacing w:line="312" w:lineRule="auto" w:before="0" w:after="120"/>
        <w:ind w:firstLine="454"/>
        <w:jc w:val="both"/>
      </w:pPr>
      <w:r>
        <w:rPr>
          <w:rFonts w:ascii="Times New Roman" w:hAnsi="Times New Roman" w:cs="B Nazanin"/>
          <w:sz w:val="22"/>
          <w:szCs w:val="28"/>
          <w:rtl w:val="1"/>
        </w:rPr>
        <w:t>شکاف در پوشش موضوعی و رویکرد بخشی‌نگر موجب شده برخی موضوعات مهم محیطزیستی همچنان فاقد مقررات الزام‌آور بمانند.</w:t>
      </w:r>
    </w:p>
    <w:p>
      <w:pPr>
        <w:bidi w:val="1"/>
        <w:spacing w:line="312" w:lineRule="auto" w:before="0" w:after="120"/>
        <w:ind w:firstLine="454"/>
        <w:jc w:val="both"/>
      </w:pPr>
      <w:r>
        <w:rPr>
          <w:rFonts w:ascii="Times New Roman" w:hAnsi="Times New Roman" w:cs="B Nazanin"/>
          <w:sz w:val="22"/>
          <w:szCs w:val="28"/>
          <w:rtl w:val="1"/>
        </w:rPr>
        <w:t>گزارش در نهایت پیشنهاد می‌کند که تدوین اصول پراکنده در یک سند جامع بین‌المللی می‌تواند به رفع ابهامات، ایجاد هماهنگی و تقویت اجرای حقوق بین‌الملل محیط‌زیست کمک کند. این دقیقاً همان نقطه‌ای است که بحث «پیمان جهانی محیط‌زیست» را به عنوان راهکاری برای ساماندهی منابع موجود مطرح می‌سازد.</w:t>
      </w:r>
    </w:p>
    <w:p>
      <w:pPr>
        <w:pStyle w:val="GPEHeading3"/>
        <w:bidi w:val="1"/>
        <w:spacing w:line="312" w:lineRule="auto" w:before="200" w:after="120"/>
        <w:jc w:val="right"/>
      </w:pPr>
      <w:r>
        <w:rPr>
          <w:rFonts w:ascii="Times New Roman" w:hAnsi="Times New Roman" w:cs="B Nazanin"/>
          <w:sz w:val="24"/>
          <w:szCs w:val="24"/>
          <w:rtl w:val="1"/>
          <w:b/>
          <w:bCs/>
          <w:color w:val="14203a"/>
        </w:rPr>
        <w:t>۳-۱-۲ مفهوم‌شناسی خلاء: تعریف، تشخیص و انواع آن</w:t>
      </w:r>
    </w:p>
    <w:p>
      <w:pPr>
        <w:bidi w:val="1"/>
        <w:spacing w:line="312" w:lineRule="auto" w:before="0" w:after="120"/>
        <w:ind w:firstLine="454"/>
        <w:jc w:val="both"/>
      </w:pPr>
      <w:r>
        <w:rPr>
          <w:rFonts w:ascii="Times New Roman" w:hAnsi="Times New Roman" w:cs="B Nazanin"/>
          <w:sz w:val="22"/>
          <w:szCs w:val="28"/>
          <w:rtl w:val="1"/>
        </w:rPr>
        <w:t>مفهوم‌شناسی خلاء گامی اساسی و نقطه‌شروع واکاوی خلاءها حقوق بین الملل محیط زیست محسوب می‌شود. بدون این مفهوم‌شناسی، نه‌تنها نمی‌توان خلاءهای واقعی را از غیرواقعی تشخیص داد، بلکه هر گونه راهکارِ اصلاحی نیز به‌جای ریشه‌یابیِ دقیق، به امری سطحی و ناکارآمد بدل خواهد شد. ازاین‌رو، بخش حاضر با تمرکز بر تبیین تعریف، شاخص‌های تشخیص و انواع خلاء، بستر تحلیلی لازم را برای واکاوی تفصیلی خلاء‌های حقوق بین‌الملل محیط‌زیست فراهم می‌آورد.</w:t>
      </w:r>
    </w:p>
    <w:p>
      <w:pPr>
        <w:pStyle w:val="GPEHeading3"/>
        <w:bidi w:val="1"/>
        <w:spacing w:line="312" w:lineRule="auto" w:before="200" w:after="120"/>
        <w:jc w:val="right"/>
      </w:pPr>
      <w:r>
        <w:rPr>
          <w:rFonts w:ascii="Times New Roman" w:hAnsi="Times New Roman" w:cs="B Nazanin"/>
          <w:sz w:val="24"/>
          <w:szCs w:val="24"/>
          <w:rtl w:val="1"/>
          <w:b/>
          <w:bCs/>
          <w:color w:val="14203a"/>
        </w:rPr>
        <w:t>۳-۱-۲-۱ تعریف و تشخیص خلاء</w:t>
      </w:r>
    </w:p>
    <w:p>
      <w:pPr>
        <w:bidi w:val="1"/>
        <w:spacing w:line="312" w:lineRule="auto" w:before="0" w:after="120"/>
        <w:ind w:firstLine="454"/>
        <w:jc w:val="both"/>
      </w:pPr>
      <w:r>
        <w:rPr>
          <w:rFonts w:ascii="Times New Roman" w:hAnsi="Times New Roman" w:cs="B Nazanin"/>
          <w:sz w:val="22"/>
          <w:szCs w:val="28"/>
          <w:rtl w:val="1"/>
        </w:rPr>
        <w:t>در قطعنامه 277 /72 مجمععمومی که به دبیرکل ماموریت داده شده تا «خلاءهای احتمالی در حقوقبینالملل محیطزیست و اسناد مرتبط با محیطزیست» را شناسایی و ارزیابی کند، تعریفی از خلاء ارائه نشده است. قطعنامه سازمانملل از عبارت «خلاءهای احتمالی»</w:t>
      </w:r>
      <w:r>
        <w:rPr>
          <w:rStyle w:val="FootnoteReference"/>
          <w:rtl w:val="1"/>
        </w:rPr>
        <w:footnoteReference w:id="159"/>
      </w:r>
      <w:r>
        <w:rPr>
          <w:rFonts w:ascii="Times New Roman" w:hAnsi="Times New Roman" w:cs="B Nazanin"/>
          <w:sz w:val="22"/>
          <w:szCs w:val="28"/>
          <w:rtl w:val="1"/>
        </w:rPr>
        <w:t xml:space="preserve"> استفاده کرده است. این ابهام، تعمدی و برای جلب حمایت گستردهتر کشورها بهکاررفته است. چراکه در فرایندهای بینالدولی، هرگونه پیشداوری و قضاوت زودهنگام نسبت به موضوع مورد مذاکره قبیح شمرده میشود. برخی از صاحبنظران، زبان قطعنامه در مورد خلاء را «پیشرو» و در عین حال برخی آن را «از نظر مفهومی نامنسجم» توصیف نمودهاند. زیرا از یک سو، خلاء فی نفسه دارای پیچیدگیهای زبانی و مفهومی است و از سوی دیگر، شناسایی خلاءها را با مقوله اجرای آنها مرتبط دانسته است. </w:t>
      </w:r>
      <w:r>
        <w:rPr>
          <w:rStyle w:val="FootnoteReference"/>
          <w:rtl w:val="1"/>
        </w:rPr>
        <w:footnoteReference w:id="160"/>
      </w:r>
      <w:r>
        <w:rPr>
          <w:rFonts w:ascii="Times New Roman" w:hAnsi="Times New Roman" w:cs="B Nazanin"/>
          <w:sz w:val="22"/>
          <w:szCs w:val="28"/>
          <w:rtl w:val="1"/>
        </w:rPr>
        <w:t xml:space="preserve"> علاوهبراین، پروفسور بودانسکی با طرح این سوال که آیا میتوان «خلاءها» را به شیوهای «فنی و مبتنی بر شواهد» آنطور که در قطعنامه قید گردیده است، شناسایی و ارزیابی نمود؟ ماموریت محوله به دبیرکل از سوی مجمععمومی را زیر سوال میبرد.</w:t>
      </w:r>
      <w:r>
        <w:rPr>
          <w:rStyle w:val="FootnoteReference"/>
          <w:rtl w:val="1"/>
        </w:rPr>
        <w:footnoteReference w:id="161"/>
      </w:r>
      <w:r>
        <w:rPr>
          <w:rFonts w:ascii="Times New Roman" w:hAnsi="Times New Roman" w:cs="B Nazanin"/>
          <w:sz w:val="22"/>
          <w:szCs w:val="28"/>
          <w:rtl w:val="1"/>
        </w:rPr>
        <w:t xml:space="preserve"> این سوال حاکی از چالش روششناختی در فرایند شناسایی خلاءهاست. وی به این نکته اشاره می‌کند که درخواست مجمععمومی سازمانملل برای تهیه‌ یک گزارش «فنی و مبتنی بر شواهد» درباره‌ خلاء‌ها، ممکن است غیرواقع‌بینانه باشد. او استدلال می‌کند که شناسایی خلاءها در حقوق بین‌الملل محیطزیست بیشتر به دیدگاه‌های سیاسی و اخلاقی بستگی دارد تا به شواهد عینی. بنابراین، این گزارش نمی‌تواند کاملاً بی‌طرفانه و علمی باشد.</w:t>
      </w:r>
      <w:r>
        <w:rPr>
          <w:rStyle w:val="FootnoteReference"/>
          <w:rtl w:val="1"/>
        </w:rPr>
        <w:footnoteReference w:id="162"/>
      </w:r>
    </w:p>
    <w:p>
      <w:pPr>
        <w:bidi w:val="1"/>
        <w:spacing w:line="312" w:lineRule="auto" w:before="0" w:after="120"/>
        <w:ind w:firstLine="454"/>
        <w:jc w:val="both"/>
      </w:pPr>
      <w:r>
        <w:rPr>
          <w:rFonts w:ascii="Times New Roman" w:hAnsi="Times New Roman" w:cs="B Nazanin"/>
          <w:sz w:val="22"/>
          <w:szCs w:val="28"/>
          <w:rtl w:val="1"/>
        </w:rPr>
        <w:t>دبیرکل در گزارش خود در سال 2018 در پاراگراف هفتم، به عنوان یک موضوع مقدماتی خلاء را مستفاد از یک فرهنگ لغت حقوقی به عنوان «شکاف، نقص، عیب یا کمبود»</w:t>
      </w:r>
      <w:r>
        <w:rPr>
          <w:rStyle w:val="FootnoteReference"/>
          <w:rtl w:val="1"/>
        </w:rPr>
        <w:footnoteReference w:id="163"/>
      </w:r>
      <w:r>
        <w:rPr>
          <w:rFonts w:ascii="Times New Roman" w:hAnsi="Times New Roman" w:cs="B Nazanin"/>
          <w:sz w:val="22"/>
          <w:szCs w:val="28"/>
          <w:rtl w:val="1"/>
        </w:rPr>
        <w:t xml:space="preserve"> تعریف میکند. تعریف ارائه شده در گزارش دبیرکل به جای ارائه پاسخ روشن، سوالات بیشتری را قابل طرح میسازد. خلاء چیست و چگونه تعریف میشود؟ این سؤال اساسی نشان‌دهنده فقدان تعریف دقیق و مورد توافق از مفهوم خلاء در چارچوب حقوقبین‌الملل محیط‌زیست است. تعریف ارائه‌شده در گزارش دبیرکل، اگرچه مختصر و مفید است، اما ممکن است به اندازه کافی برای همه ذینفعان قانع‌کننده نباشد. آیا خلاء‌های شناسایی‌شده توسط دبیرکل واقعاً خلاء محسوب می‌شوند؟ این سؤال به ماهیت خلاء‌های شناسایی‌شده اشاره دارد. آیا این خلاء‌ها ناشی از کمبودها یا نقص‌های واقعی و ناخواسته در حقوقبین‌الملل محیط‌زیست هستند، یا نتیجه تصمیمات سیاستی آگاهانه و عمدی کشورها در فرایند مذاکره بوده‌اند؟ این موضوع اهمیت تمایز بین «خلاء‌های ناخواسته» و «خلاءهای برنامه‌ریزی‌شده» را نشان می‌دهد. این امر نشان می‌دهد که فرآیند شناسایی و رفع خلاء‌ها در حقوقبین‌الملل محیط‌زیست با چالش‌های مفهومی و عملی مواجه است. لذا، تعریف و تشخیص «خلاء» در حقوق بین‌الملل محیط‌زیست می‌تواند پیچیده و مورد اختلاف باشد و به دیدگاه‌ها و رویکردهای مختلف کشورها بستگی پیدا کند.</w:t>
      </w:r>
    </w:p>
    <w:p>
      <w:pPr>
        <w:bidi w:val="1"/>
        <w:spacing w:line="312" w:lineRule="auto" w:before="0" w:after="120"/>
        <w:ind w:firstLine="454"/>
        <w:jc w:val="both"/>
      </w:pPr>
      <w:r>
        <w:rPr>
          <w:rFonts w:ascii="Times New Roman" w:hAnsi="Times New Roman" w:cs="B Nazanin"/>
          <w:sz w:val="22"/>
          <w:szCs w:val="28"/>
          <w:rtl w:val="1"/>
        </w:rPr>
        <w:t>در حقوقبینالمللمحیطزیست گاهی اوقات شاهد خلاءهای عمدی، آگاهانه و حسابشده</w:t>
      </w:r>
      <w:r>
        <w:rPr>
          <w:rStyle w:val="FootnoteReference"/>
          <w:rtl w:val="1"/>
        </w:rPr>
        <w:footnoteReference w:id="164"/>
      </w:r>
      <w:r>
        <w:rPr>
          <w:rFonts w:ascii="Times New Roman" w:hAnsi="Times New Roman" w:cs="B Nazanin"/>
          <w:sz w:val="22"/>
          <w:szCs w:val="28"/>
          <w:rtl w:val="1"/>
        </w:rPr>
        <w:t xml:space="preserve"> در چارچوب موافقتنامههایچندجانبه محیطزیستی هستیم. این امر لزوماً نشاندهنده نقص یا کمبود در نظام حقوقی نیست، بلکه بازتابی از مصالحه سیاسی</w:t>
      </w:r>
      <w:r>
        <w:rPr>
          <w:rStyle w:val="FootnoteReference"/>
          <w:rtl w:val="1"/>
        </w:rPr>
        <w:footnoteReference w:id="165"/>
      </w:r>
      <w:r>
        <w:rPr>
          <w:rFonts w:ascii="Times New Roman" w:hAnsi="Times New Roman" w:cs="B Nazanin"/>
          <w:sz w:val="22"/>
          <w:szCs w:val="28"/>
          <w:rtl w:val="1"/>
        </w:rPr>
        <w:t xml:space="preserve"> و انتخاب آگاهانه مذاکرهکنندگان به منظور حصول توافق است و به خلاء ضروری</w:t>
      </w:r>
      <w:r>
        <w:rPr>
          <w:rStyle w:val="FootnoteReference"/>
          <w:rtl w:val="1"/>
        </w:rPr>
        <w:footnoteReference w:id="166"/>
      </w:r>
      <w:r>
        <w:rPr>
          <w:rFonts w:ascii="Times New Roman" w:hAnsi="Times New Roman" w:cs="B Nazanin"/>
          <w:sz w:val="22"/>
          <w:szCs w:val="28"/>
          <w:rtl w:val="1"/>
        </w:rPr>
        <w:t xml:space="preserve"> تعبیر شدهاست.</w:t>
      </w:r>
      <w:r>
        <w:rPr>
          <w:rStyle w:val="FootnoteReference"/>
          <w:rtl w:val="1"/>
        </w:rPr>
        <w:footnoteReference w:id="167"/>
      </w:r>
      <w:r>
        <w:rPr>
          <w:rFonts w:ascii="Times New Roman" w:hAnsi="Times New Roman" w:cs="B Nazanin"/>
          <w:sz w:val="22"/>
          <w:szCs w:val="28"/>
          <w:rtl w:val="1"/>
        </w:rPr>
        <w:t xml:space="preserve"> این امر حاکی از وجود فضای تعاملی برای تحقق توافق میباشد. «ایالات متحده امریکا معتقد است که چنین وضعیتی را نباید به عنوان خلاء در موافقتنامههایچندجانبه محیطزیستی تلقی کرد»</w:t>
      </w:r>
      <w:r>
        <w:rPr>
          <w:rStyle w:val="FootnoteReference"/>
          <w:rtl w:val="1"/>
        </w:rPr>
        <w:footnoteReference w:id="168"/>
      </w:r>
      <w:r>
        <w:rPr>
          <w:rFonts w:ascii="Times New Roman" w:hAnsi="Times New Roman" w:cs="B Nazanin"/>
          <w:sz w:val="22"/>
          <w:szCs w:val="28"/>
          <w:rtl w:val="1"/>
        </w:rPr>
        <w:t>.این بدین معناست که چنین رویکردی بخشی از روند توافق حاصل شده به حساب میآید. بهعنوان مثال، تدوین مقررههای غیرالزامآور، لحاظ استثناءهایی بر قاعده کلی، امکان انصراف از تعهد خاص، فقدان سازوکارهای نظارتی و اجرایی چنین خلاءهایی تحت تاثیر ملاحظات مختلفی مانند ماهیت موضوع، زمینههای سیاسی و جلب مشارکت کشورها قرار دارد.</w:t>
      </w:r>
      <w:r>
        <w:rPr>
          <w:rStyle w:val="FootnoteReference"/>
          <w:rtl w:val="1"/>
        </w:rPr>
        <w:footnoteReference w:id="169"/>
      </w:r>
      <w:r>
        <w:rPr>
          <w:rFonts w:ascii="Times New Roman" w:hAnsi="Times New Roman" w:cs="B Nazanin"/>
          <w:sz w:val="22"/>
          <w:szCs w:val="28"/>
          <w:rtl w:val="1"/>
        </w:rPr>
        <w:t xml:space="preserve"> بنابراین بهنظرمیرسد این حالت را نمیتوان نقص یا کمبود در نظام حقوقی بدانیم، بلکه آنها بخشی از طراحی مذاکره هستند. رویکردهای حقوقی و سیاستی برای حل این خلاءها باید با در نظر گرفتن این پیچیدگی‌ها و تعادل‌ها طراحی شوند و در چارچوب همان سند و سازوکارهای موجود در آن، مورد بحث و بررسی قرار گیرند. این امر ریشه در ذات بخشیبودن حقوق بینالملل محیطزیست دارد.</w:t>
      </w:r>
    </w:p>
    <w:p>
      <w:pPr>
        <w:bidi w:val="1"/>
        <w:spacing w:line="312" w:lineRule="auto" w:before="0" w:after="120"/>
        <w:ind w:firstLine="454"/>
        <w:jc w:val="both"/>
      </w:pPr>
      <w:r>
        <w:rPr>
          <w:rFonts w:ascii="Times New Roman" w:hAnsi="Times New Roman" w:cs="B Nazanin"/>
          <w:sz w:val="22"/>
          <w:szCs w:val="28"/>
          <w:rtl w:val="1"/>
        </w:rPr>
        <w:t>منظور از بررسی خلاء، «خلاء در یک سیستم است، نه تفاوتها در تعهدات فردی دولتها.»</w:t>
      </w:r>
      <w:r>
        <w:rPr>
          <w:rStyle w:val="FootnoteReference"/>
          <w:rtl w:val="1"/>
        </w:rPr>
        <w:footnoteReference w:id="170"/>
      </w:r>
      <w:r>
        <w:rPr>
          <w:rFonts w:ascii="Times New Roman" w:hAnsi="Times New Roman" w:cs="B Nazanin"/>
          <w:sz w:val="22"/>
          <w:szCs w:val="28"/>
          <w:rtl w:val="1"/>
        </w:rPr>
        <w:t xml:space="preserve"> اگر متن یک توافق ‌محیط زیستی به نظر برسد که موضوعی را به طور کامل پوشش می‌دهد، اما به آن مسئله در عمل به صورت رضایت‌بخشی پرداخته نشود، آیا این یک خلأ است؟ برعکس، اگر یک توافق از نظر حقوقی ناقص به نظر برسد، با این حال مسئله زیست‌محیطی در عمل به طور کافی پرداخته شود، آیا آن یک خلأ است؟ اینجاست که مسائل مربوط به آستانه</w:t>
      </w:r>
      <w:r>
        <w:rPr>
          <w:rStyle w:val="FootnoteReference"/>
          <w:rtl w:val="1"/>
        </w:rPr>
        <w:footnoteReference w:id="171"/>
      </w:r>
      <w:r>
        <w:rPr>
          <w:rFonts w:ascii="Times New Roman" w:hAnsi="Times New Roman" w:cs="B Nazanin"/>
          <w:sz w:val="22"/>
          <w:szCs w:val="28"/>
          <w:rtl w:val="1"/>
        </w:rPr>
        <w:t xml:space="preserve"> در مورد میزان وجود «خلأها» در حقوق بین‌الملل محیط زیست اهمیت خواهد داشت.</w:t>
      </w:r>
      <w:r>
        <w:rPr>
          <w:rStyle w:val="FootnoteReference"/>
          <w:rtl w:val="1"/>
        </w:rPr>
        <w:footnoteReference w:id="172"/>
      </w:r>
    </w:p>
    <w:p>
      <w:pPr>
        <w:bidi w:val="1"/>
        <w:spacing w:line="312" w:lineRule="auto" w:before="0" w:after="120"/>
        <w:ind w:firstLine="454"/>
        <w:jc w:val="both"/>
      </w:pPr>
      <w:r>
        <w:rPr>
          <w:rFonts w:ascii="Times New Roman" w:hAnsi="Times New Roman" w:cs="B Nazanin"/>
          <w:sz w:val="22"/>
          <w:szCs w:val="28"/>
          <w:rtl w:val="1"/>
        </w:rPr>
        <w:t>در جلسات مذاکره قطعنامه 277 /72 موضوع بررسی مفهوم خلاء از موضوعات جدی مذاکرات واقع شد. برخی از هیئت‌های نمایندگی استدلال کردند که مفهوم «خلاء‌» باید به‌صورت محدود و در چارچوب خلاء هنجاری</w:t>
      </w:r>
      <w:r>
        <w:rPr>
          <w:rStyle w:val="FootnoteReference"/>
          <w:rtl w:val="1"/>
        </w:rPr>
        <w:footnoteReference w:id="173"/>
      </w:r>
      <w:r>
        <w:rPr>
          <w:rFonts w:ascii="Times New Roman" w:hAnsi="Times New Roman" w:cs="B Nazanin"/>
          <w:sz w:val="22"/>
          <w:szCs w:val="28"/>
          <w:rtl w:val="1"/>
        </w:rPr>
        <w:t xml:space="preserve"> (این نوع خلاء زمانی وجود دارد که هیچ توافقی در مورد لزوم رسیدگی به یک موضوع خاص وجود ندارد.) تفسیر شود. بر اساس این دیدگاه، خلاءهای مرتبط با اجرا نباید به‌عنوان خلاء در نظر گرفته شوند، بلکه صرفاً به‌عنوان «چالش‌» طبقه‌بندی شوند. آنها معتقد بودند که پرداختن به کمبو‌دهای اجرایی و چالش‌های مرتبط، کار در مراحل بعدی (مذاکرات در گروه کاری) را پیچیده می‌کند و بنابراین در این مرحله نباید مورد بحث قرار گیرد. با این حال، این تفسیر محدود از مفهوم خلاء‌ با استقبال مواجه نشد، زیرا بسیاری از هیئت‌های نمایندگی بر این موضوع تأکید داشتند که ابزارهای اجرا</w:t>
      </w:r>
      <w:r>
        <w:rPr>
          <w:rStyle w:val="FootnoteReference"/>
          <w:rtl w:val="1"/>
        </w:rPr>
        <w:footnoteReference w:id="174"/>
      </w:r>
      <w:r>
        <w:rPr>
          <w:rFonts w:ascii="Times New Roman" w:hAnsi="Times New Roman" w:cs="B Nazanin"/>
          <w:sz w:val="22"/>
          <w:szCs w:val="28"/>
          <w:rtl w:val="1"/>
        </w:rPr>
        <w:t xml:space="preserve"> یکی از نگرانی‌های اصلی آن‌ها است و بدون توجه به چالش‌های اجرایی، نمی‌توان به‌طور مؤثر به خلاء‌های موجود در حقوق بین‌الملل محیط‌زیست پرداخت. این کشورها معتقد بودند که کمبودهای مالی، فنی، نهادی و سیاسی به‌عنوان موانع اصلی در اجرای تعهدات محیط‌زیستی باید در فرآیند شناسایی و رفع خلاء‌ها مورد توجه قرار گیرند. لذا، آنها طرفدار مفهوم موسع خلاء شامل خلاءهای هنجاری، نهادی و اجرایی بودند.</w:t>
      </w:r>
      <w:r>
        <w:rPr>
          <w:rStyle w:val="FootnoteReference"/>
          <w:rtl w:val="1"/>
        </w:rPr>
        <w:footnoteReference w:id="175"/>
      </w:r>
      <w:r>
        <w:rPr>
          <w:rFonts w:ascii="Times New Roman" w:hAnsi="Times New Roman" w:cs="B Nazanin"/>
          <w:sz w:val="22"/>
          <w:szCs w:val="28"/>
          <w:rtl w:val="1"/>
        </w:rPr>
        <w:t xml:space="preserve"> در نهایت، گزارش دبیرکل تفسیر موسع خلاء را در نظر گرفت. بنابرآنچه در پاراگراف هفتم گزارش دبیرکل مقرر شده است، «با توجه به اهداف این گزارش، خلاءهای مقرراتی</w:t>
      </w:r>
      <w:r>
        <w:rPr>
          <w:rStyle w:val="FootnoteReference"/>
          <w:rtl w:val="1"/>
        </w:rPr>
        <w:footnoteReference w:id="176"/>
      </w:r>
      <w:r>
        <w:rPr>
          <w:rFonts w:ascii="Times New Roman" w:hAnsi="Times New Roman" w:cs="B Nazanin"/>
          <w:sz w:val="22"/>
          <w:szCs w:val="28"/>
          <w:rtl w:val="1"/>
        </w:rPr>
        <w:t xml:space="preserve"> به معنای خلاءهای ماهوی/هنجاری</w:t>
      </w:r>
      <w:r>
        <w:rPr>
          <w:rStyle w:val="FootnoteReference"/>
          <w:rtl w:val="1"/>
        </w:rPr>
        <w:footnoteReference w:id="177"/>
      </w:r>
      <w:r>
        <w:rPr>
          <w:rFonts w:ascii="Times New Roman" w:hAnsi="Times New Roman" w:cs="B Nazanin"/>
          <w:sz w:val="22"/>
          <w:szCs w:val="28"/>
          <w:rtl w:val="1"/>
        </w:rPr>
        <w:t xml:space="preserve"> (ازجمله رویه ای و نهادی</w:t>
      </w:r>
      <w:r>
        <w:rPr>
          <w:rStyle w:val="FootnoteReference"/>
          <w:rtl w:val="1"/>
        </w:rPr>
        <w:footnoteReference w:id="178"/>
      </w:r>
      <w:r>
        <w:rPr>
          <w:rFonts w:ascii="Times New Roman" w:hAnsi="Times New Roman" w:cs="B Nazanin"/>
          <w:sz w:val="22"/>
          <w:szCs w:val="28"/>
          <w:rtl w:val="1"/>
        </w:rPr>
        <w:t>) و خلاءهای حکمرانی</w:t>
      </w:r>
      <w:r>
        <w:rPr>
          <w:rStyle w:val="FootnoteReference"/>
          <w:rtl w:val="1"/>
        </w:rPr>
        <w:footnoteReference w:id="179"/>
      </w:r>
      <w:r>
        <w:rPr>
          <w:rFonts w:ascii="Times New Roman" w:hAnsi="Times New Roman" w:cs="B Nazanin"/>
          <w:sz w:val="22"/>
          <w:szCs w:val="28"/>
          <w:rtl w:val="1"/>
        </w:rPr>
        <w:t xml:space="preserve"> به معنای خلاءهای اجرایی در چارچوب حقوقی بین المللی</w:t>
      </w:r>
      <w:r>
        <w:rPr>
          <w:rStyle w:val="FootnoteReference"/>
          <w:rtl w:val="1"/>
        </w:rPr>
        <w:footnoteReference w:id="180"/>
      </w:r>
      <w:r>
        <w:rPr>
          <w:rFonts w:ascii="Times New Roman" w:hAnsi="Times New Roman" w:cs="B Nazanin"/>
          <w:sz w:val="22"/>
          <w:szCs w:val="28"/>
          <w:rtl w:val="1"/>
        </w:rPr>
        <w:t xml:space="preserve"> خواهد بود.»</w:t>
      </w:r>
      <w:r>
        <w:rPr>
          <w:rStyle w:val="FootnoteReference"/>
          <w:rtl w:val="1"/>
        </w:rPr>
        <w:footnoteReference w:id="181"/>
      </w:r>
      <w:r>
        <w:rPr>
          <w:rFonts w:ascii="Times New Roman" w:hAnsi="Times New Roman" w:cs="B Nazanin"/>
          <w:sz w:val="22"/>
          <w:szCs w:val="28"/>
          <w:rtl w:val="1"/>
        </w:rPr>
        <w:t xml:space="preserve"> گزارش خود در پاراگراف 7 اظهار نموده است که، خلاء میتواند در شکلهای مختلف ظاهر شود:</w:t>
      </w:r>
    </w:p>
    <w:p>
      <w:pPr>
        <w:bidi w:val="1"/>
        <w:spacing w:line="312" w:lineRule="auto" w:before="0" w:after="120"/>
        <w:ind w:firstLine="454"/>
        <w:jc w:val="both"/>
      </w:pPr>
      <w:r>
        <w:rPr>
          <w:rFonts w:ascii="Times New Roman" w:hAnsi="Times New Roman" w:cs="B Nazanin"/>
          <w:sz w:val="22"/>
          <w:szCs w:val="28"/>
          <w:rtl w:val="1"/>
        </w:rPr>
        <w:t>خلاء در یک موافقتنامه چندجانبه محیطزیستی؛ در این حالت، خلاء میتواند در رابطه با محتوای آن موافقتنامه یا ناتوانی آن در تحقق اهداف و مقاصد تعیینشده صورت پذیرد. به عبارت دیگر، ممکن است موافقتنامه از نظر محتوایی کامل نباشد یا نهادها و رویههای لازم برای اجرای موثر آن وجود نداشته باشد.</w:t>
      </w:r>
    </w:p>
    <w:p>
      <w:pPr>
        <w:bidi w:val="1"/>
        <w:spacing w:line="312" w:lineRule="auto" w:before="0" w:after="120"/>
        <w:ind w:firstLine="454"/>
        <w:jc w:val="both"/>
      </w:pPr>
      <w:r>
        <w:rPr>
          <w:rFonts w:ascii="Times New Roman" w:hAnsi="Times New Roman" w:cs="B Nazanin"/>
          <w:sz w:val="22"/>
          <w:szCs w:val="28"/>
          <w:rtl w:val="1"/>
        </w:rPr>
        <w:t>خلاء در میان چارچوبهای حقوقی؛ این نوع از خلاء به شکل همپوشانی، تناقض و تعارضهای ماهوی یا رویهای بین موافقتنامههای مختلف بروز میکند.</w:t>
      </w:r>
    </w:p>
    <w:p>
      <w:pPr>
        <w:bidi w:val="1"/>
        <w:spacing w:line="312" w:lineRule="auto" w:before="0" w:after="120"/>
        <w:ind w:firstLine="454"/>
        <w:jc w:val="both"/>
      </w:pPr>
      <w:r>
        <w:rPr>
          <w:rFonts w:ascii="Times New Roman" w:hAnsi="Times New Roman" w:cs="B Nazanin"/>
          <w:sz w:val="22"/>
          <w:szCs w:val="28"/>
          <w:rtl w:val="1"/>
        </w:rPr>
        <w:t xml:space="preserve">جایی که اصلاً مقرراتی وجود ندارد؛ در برخی موارد ممکن است هیچ مقرراتی در مورد یک موضوع خاص وجود نداشته باشد. این میتواند ناشی از محدودیتهای ماهوی، نهادی (فقدان نهادهای لازم برای نظارت و اجرا) یا جغرافیایی (عدم پوشش همه مناطق جهان). </w:t>
      </w:r>
      <w:r>
        <w:rPr>
          <w:rStyle w:val="FootnoteReference"/>
          <w:rtl w:val="1"/>
        </w:rPr>
        <w:footnoteReference w:id="182"/>
      </w:r>
    </w:p>
    <w:p>
      <w:pPr>
        <w:bidi w:val="1"/>
        <w:spacing w:line="312" w:lineRule="auto" w:before="0" w:after="120"/>
        <w:ind w:firstLine="454"/>
        <w:jc w:val="both"/>
      </w:pPr>
      <w:r>
        <w:rPr>
          <w:rFonts w:ascii="Times New Roman" w:hAnsi="Times New Roman" w:cs="B Nazanin"/>
          <w:sz w:val="22"/>
          <w:szCs w:val="28"/>
          <w:rtl w:val="1"/>
        </w:rPr>
        <w:t>اختلاف نظرها در مورد تعریف خلاء یکی از چالش‌های اصلی در فرآیند مذاکرات OEWG گروه کاری موقت نیز بوده است. در خصوص وجود خلاء، میان کشورها اختلاف نظر جدی برقرار بود. عده ای معتقد بودند که در حقوق بین‌الملل محیط‌زیست هیچ خلاءای وجود ندارد. آن چه هست در وهله نخست، پراکندگی است که خصیصه ذاتی حوزه محیطزیست است که موافقتنامههای چندجانبه محیطزیستی مختلفی برای پاسخگویی به نیازهای متفاوت طراحی و تدوین شود. در وهله دوم، خلاءهای موجود در نتیجه انتخاب آگاهانه کشورهاست. برخی دیگر با خلاءهای گزارش شده توسط دبیرکل موافقند، اما با طبقه بندی آن‌ها مخالفند. گروهی دیگر نیز با پذیرش وجود خلاء، قائل به خلاءهایی متفاوت از آن چه در گزارش آمده است، هستند. ترکیه در مذاکرات اذعان نمود که گاهی یک خلاء دوژوره بر روی کاغذ ممکن است به صورت دو فاکتو خلاء نباشد و برعکس.</w:t>
      </w:r>
      <w:r>
        <w:rPr>
          <w:rStyle w:val="FootnoteReference"/>
          <w:rtl w:val="1"/>
        </w:rPr>
        <w:footnoteReference w:id="183"/>
      </w:r>
      <w:r>
        <w:rPr>
          <w:rFonts w:ascii="Times New Roman" w:hAnsi="Times New Roman" w:cs="B Nazanin"/>
          <w:sz w:val="22"/>
          <w:szCs w:val="28"/>
          <w:rtl w:val="1"/>
        </w:rPr>
        <w:t xml:space="preserve"> این بدین معناست که نباید فقط خلاء را در بحث هنجار محدود نمود، اجرا و سازوکارهای اجرایی نیز حایز اهمیتاند.</w:t>
      </w:r>
    </w:p>
    <w:p>
      <w:pPr>
        <w:bidi w:val="1"/>
        <w:spacing w:line="312" w:lineRule="auto" w:before="0" w:after="120"/>
        <w:ind w:firstLine="454"/>
        <w:jc w:val="both"/>
      </w:pPr>
      <w:r>
        <w:rPr>
          <w:rFonts w:ascii="Times New Roman" w:hAnsi="Times New Roman" w:cs="B Nazanin"/>
          <w:sz w:val="22"/>
          <w:szCs w:val="28"/>
          <w:rtl w:val="1"/>
        </w:rPr>
        <w:t>عدم اجماع در مورد تعریف و شناسایی خلاء یکی از چالشهای اصلی این حوزه بوده است. عدهای طرفدار تفسیر مضیق و محدود شدن آن به خلاء هنجاری و عدهای طرفدار تفسیر موسع و مبتنی بر فرایند علمی که شامل خلاءهای هنجاری، نهادی، اجرایی گردیدند. دبیرخانه مستفاد از مذاکرات صورت گرفته در نشست دوم گروهکاری، به این نتیجه رسید که خلاء باید به صورت موسع تفسیر گردد تا شامل کمبود و نقص و چالش نیز بشود و تعریف صورت گرفته در گزارش دبیرکل را تایید می‌نماید. درنهایت، این اختلاف نظرها نه تنها بر روند کار تأثیر گذاشت، بلکه بر نتیجه‌گیری‌های نهایی نیز تأثیر مستقیمی داشت. برخی از کشورها با پررنگ سازی عدم اجماع در خصوص خلاء سعی در اجتناب از نهایی سازی نتیجه مذاکرات (ارائه توصیههای لازم به مجمععمومی) بودند. تلاش‌هایی مانند پیشنهاد «منوی راه‌حل‌های عملی»</w:t>
      </w:r>
      <w:r>
        <w:rPr>
          <w:rStyle w:val="FootnoteReference"/>
          <w:rtl w:val="1"/>
        </w:rPr>
        <w:footnoteReference w:id="184"/>
      </w:r>
      <w:r>
        <w:rPr>
          <w:rFonts w:ascii="Times New Roman" w:hAnsi="Times New Roman" w:cs="B Nazanin"/>
          <w:sz w:val="22"/>
          <w:szCs w:val="28"/>
          <w:rtl w:val="1"/>
        </w:rPr>
        <w:t xml:space="preserve"> توسط ژاپن و کانادا نشان‌دهنده تمایل به عبور از اختلاف نظرها و تمرکز بر اقدامات عملی است. این رویکرد می‌توانست به عنوان یک راه‌حل موقت برای پیشرفت در مذاکرات در شرایطی که اجماع وجود ندارد، در نظر گرفته شود. اختلاف نظرها در مورد تعریف و تشخیص خلاء‌ها به حدی جدی بود که امکان توافق بر سر استفاده از این واژه وجود نداشت. در نهایت، حذف واژه «خلاء» از توصیه‌های نهایی نیز نشان‌دهنده این است که گاهی اوقات برای پیشبرد مذاکرات، لازم است از ذکر مفاهیم بحث‌برانگیز اجتناب شود و به جای آن بر مفاهیم کلی‌تر یا اقدامات عملی تمرکز کرد.</w:t>
      </w:r>
    </w:p>
    <w:p>
      <w:pPr>
        <w:bidi w:val="1"/>
        <w:spacing w:line="312" w:lineRule="auto" w:before="0" w:after="120"/>
        <w:ind w:firstLine="454"/>
        <w:jc w:val="both"/>
      </w:pPr>
      <w:r>
        <w:rPr>
          <w:rFonts w:ascii="Times New Roman" w:hAnsi="Times New Roman" w:cs="B Nazanin"/>
          <w:sz w:val="22"/>
          <w:szCs w:val="28"/>
          <w:rtl w:val="1"/>
        </w:rPr>
        <w:t>بنابراین، تعریف و شناسایی خلاء‌ها در حقوق بین‌الملل محیط‌زیست یک مسئله پیچیده و چندوجهی است که نیازمند درک مشترک بین کشورها است. زیرا اختلاف نظرها در مورد وجود یا فقدان خلاء‌ها، تعریف، ماهیت آن‌ها و نحوه رسیدگی به آن‌ها نشان‌دهنده تفاوت در اولویت‌ها و دیدگاه‌های کشورها است. باید در نظر گرفت که خلاء‌ها لزوماً نشان‌دهنده نقص در نظام حقوقی نیستند، چراکه اغلب نتیجه تصمیمات سیاستی، مصالحه‌های سیاسی و طراحی‌های آگاهانه هستند.</w:t>
      </w:r>
    </w:p>
    <w:p>
      <w:pPr>
        <w:pStyle w:val="GPEHeading3"/>
        <w:bidi w:val="1"/>
        <w:spacing w:line="312" w:lineRule="auto" w:before="200" w:after="120"/>
        <w:jc w:val="right"/>
      </w:pPr>
      <w:r>
        <w:rPr>
          <w:rFonts w:ascii="Times New Roman" w:hAnsi="Times New Roman" w:cs="B Nazanin"/>
          <w:sz w:val="24"/>
          <w:szCs w:val="24"/>
          <w:rtl w:val="1"/>
          <w:b/>
          <w:bCs/>
          <w:color w:val="14203a"/>
        </w:rPr>
        <w:t>۳-۱-۲-۲ انواع خلاء</w:t>
      </w:r>
    </w:p>
    <w:p>
      <w:pPr>
        <w:bidi w:val="1"/>
        <w:spacing w:line="312" w:lineRule="auto" w:before="0" w:after="120"/>
        <w:ind w:firstLine="454"/>
        <w:jc w:val="both"/>
      </w:pPr>
      <w:r>
        <w:rPr>
          <w:rFonts w:ascii="Times New Roman" w:hAnsi="Times New Roman" w:cs="B Nazanin"/>
          <w:sz w:val="22"/>
          <w:szCs w:val="28"/>
          <w:rtl w:val="1"/>
        </w:rPr>
        <w:t>باید توجه نمود که در گزارش دبیرکل، دستهبندی خلاءها در گزارش نهایی به‌صورت دقیق منعکس نشدهاند و گزارش به چارچوب کلی برای تحلیل مفهوم خلاء بسنده نموده است. چراکه، مخاطبان بین‌الدولی ترجیح میدهند به جای جزئیات فنی، به یک تحلیل کلی و جامع قناعت کنند. این رویکرد نشان‌دهنده تعادل بین دقت مفهومی و نیازهای عملی در فرآیندهای بین‌الدولی است. سایر نویسندگان، خلاء در حقوق بینالملل محیطزیست را به گونههای مختلفی تقسیم بندی نمودهاند. در ادامه به برخی از آنها اشاره میکنیم.</w:t>
      </w:r>
    </w:p>
    <w:p>
      <w:pPr>
        <w:bidi w:val="1"/>
        <w:spacing w:line="312" w:lineRule="auto" w:before="0" w:after="120"/>
        <w:ind w:firstLine="454"/>
        <w:jc w:val="both"/>
      </w:pPr>
      <w:r>
        <w:rPr>
          <w:rFonts w:ascii="Times New Roman" w:hAnsi="Times New Roman" w:cs="B Nazanin"/>
          <w:sz w:val="22"/>
          <w:szCs w:val="28"/>
          <w:rtl w:val="1"/>
        </w:rPr>
        <w:t>پروفسور بودانسکی در مقالهای خلاء را به توصیفی</w:t>
      </w:r>
      <w:r>
        <w:rPr>
          <w:rStyle w:val="FootnoteReference"/>
          <w:rtl w:val="1"/>
        </w:rPr>
        <w:footnoteReference w:id="185"/>
      </w:r>
      <w:r>
        <w:rPr>
          <w:rFonts w:ascii="Times New Roman" w:hAnsi="Times New Roman" w:cs="B Nazanin"/>
          <w:sz w:val="22"/>
          <w:szCs w:val="28"/>
          <w:rtl w:val="1"/>
        </w:rPr>
        <w:t xml:space="preserve"> و هنجاری</w:t>
      </w:r>
      <w:r>
        <w:rPr>
          <w:rStyle w:val="FootnoteReference"/>
          <w:rtl w:val="1"/>
        </w:rPr>
        <w:footnoteReference w:id="186"/>
      </w:r>
      <w:r>
        <w:rPr>
          <w:rFonts w:ascii="Times New Roman" w:hAnsi="Times New Roman" w:cs="B Nazanin"/>
          <w:sz w:val="22"/>
          <w:szCs w:val="28"/>
          <w:rtl w:val="1"/>
        </w:rPr>
        <w:t xml:space="preserve"> تقسیم میکند. از منظر توصیفی، خلاء صرفاً یک ناپیوستگی</w:t>
      </w:r>
      <w:r>
        <w:rPr>
          <w:rStyle w:val="FootnoteReference"/>
          <w:rtl w:val="1"/>
        </w:rPr>
        <w:footnoteReference w:id="187"/>
      </w:r>
      <w:r>
        <w:rPr>
          <w:rFonts w:ascii="Times New Roman" w:hAnsi="Times New Roman" w:cs="B Nazanin"/>
          <w:sz w:val="22"/>
          <w:szCs w:val="28"/>
          <w:rtl w:val="1"/>
        </w:rPr>
        <w:t xml:space="preserve"> است. از نظر هنجاری، خلاء چیزی است که وجود ندارد و نیاز به پر شدن دارد، نقص یا کمبود است. وی توضیح میدهد که «خلاء حقوقی در معنای توصیفی به ندرت وجود دارد</w:t>
      </w:r>
      <w:r>
        <w:rPr>
          <w:rStyle w:val="FootnoteReference"/>
          <w:rtl w:val="1"/>
        </w:rPr>
        <w:footnoteReference w:id="188"/>
      </w:r>
      <w:r>
        <w:rPr>
          <w:rFonts w:ascii="Times New Roman" w:hAnsi="Times New Roman" w:cs="B Nazanin"/>
          <w:sz w:val="22"/>
          <w:szCs w:val="28"/>
          <w:rtl w:val="1"/>
        </w:rPr>
        <w:t>. زیرا فقدان یک قاعده حقوقی در مورد موضوعی (به عنوان مثال آلودگی پلاستیکی)، لزوماً به معنای خلاء نیست. بلکه به این معناست که کشورها از نظر حقوقی آزادند به هر نحوی که مایلند عمل کنند. این یک ناپیوستگی است، نه یک نقص که نیاز به رفع داشته باشد.»</w:t>
      </w:r>
      <w:r>
        <w:rPr>
          <w:rStyle w:val="FootnoteReference"/>
          <w:rtl w:val="1"/>
        </w:rPr>
        <w:footnoteReference w:id="189"/>
      </w:r>
      <w:r>
        <w:rPr>
          <w:rFonts w:ascii="Times New Roman" w:hAnsi="Times New Roman" w:cs="B Nazanin"/>
          <w:sz w:val="22"/>
          <w:szCs w:val="28"/>
          <w:rtl w:val="1"/>
        </w:rPr>
        <w:t xml:space="preserve"> لذا، منبع ناپیوستگی، فقدان قاعده‌ حقوقی در مورد یک موضوع خاص است و لزوماً به معنای نقص نیست. این نوع از خلاء، مشابه تعریف نویسندگان از خلاءهای فنی و واقعی است که بدانها اشاره خواهیم کرد. بودانسکی تاکید می‌کند که شناسایی این خلاءها یک فرآیند فنی، عینی و مبتنی بر شواهد نیست، بلکه یک فرآیند ذهنی و ارزش‌محور است که به قضاوت‌های سیاسی و اخلاقی بستگی دارد.</w:t>
      </w:r>
      <w:r>
        <w:rPr>
          <w:rStyle w:val="FootnoteReference"/>
          <w:rtl w:val="1"/>
        </w:rPr>
        <w:footnoteReference w:id="190"/>
      </w:r>
      <w:r>
        <w:rPr>
          <w:rFonts w:ascii="Times New Roman" w:hAnsi="Times New Roman" w:cs="B Nazanin"/>
          <w:sz w:val="22"/>
          <w:szCs w:val="28"/>
          <w:rtl w:val="1"/>
        </w:rPr>
        <w:t xml:space="preserve"> برخی دیگر از منابع</w:t>
      </w:r>
      <w:r>
        <w:rPr>
          <w:rStyle w:val="FootnoteReference"/>
          <w:rtl w:val="1"/>
        </w:rPr>
        <w:footnoteReference w:id="191"/>
      </w:r>
      <w:r>
        <w:rPr>
          <w:rFonts w:ascii="Times New Roman" w:hAnsi="Times New Roman" w:cs="B Nazanin"/>
          <w:sz w:val="22"/>
          <w:szCs w:val="28"/>
          <w:rtl w:val="1"/>
        </w:rPr>
        <w:t>، خلاء را به دو دسته کلی واقعی و هنجاری به شرح زیر تقسیم میکنند.</w:t>
      </w:r>
    </w:p>
    <w:p>
      <w:pPr>
        <w:bidi w:val="1"/>
        <w:spacing w:line="312" w:lineRule="auto" w:before="0" w:after="120"/>
        <w:ind w:firstLine="454"/>
        <w:jc w:val="both"/>
      </w:pPr>
      <w:r>
        <w:rPr>
          <w:rFonts w:ascii="Times New Roman" w:hAnsi="Times New Roman" w:cs="B Nazanin"/>
          <w:sz w:val="22"/>
          <w:szCs w:val="28"/>
          <w:rtl w:val="1"/>
        </w:rPr>
        <w:t>«خلاءهای واقعی</w:t>
      </w:r>
      <w:r>
        <w:rPr>
          <w:rStyle w:val="FootnoteReference"/>
          <w:rtl w:val="1"/>
        </w:rPr>
        <w:footnoteReference w:id="192"/>
      </w:r>
      <w:r>
        <w:rPr>
          <w:rFonts w:ascii="Times New Roman" w:hAnsi="Times New Roman" w:cs="B Nazanin"/>
          <w:sz w:val="22"/>
          <w:szCs w:val="28"/>
          <w:rtl w:val="1"/>
        </w:rPr>
        <w:t xml:space="preserve"> شامل:</w:t>
      </w:r>
    </w:p>
    <w:p>
      <w:pPr>
        <w:bidi w:val="1"/>
        <w:spacing w:line="312" w:lineRule="auto" w:before="0" w:after="120"/>
        <w:ind w:firstLine="454"/>
        <w:jc w:val="both"/>
      </w:pPr>
      <w:r>
        <w:rPr>
          <w:rFonts w:ascii="Times New Roman" w:hAnsi="Times New Roman" w:cs="B Nazanin"/>
          <w:sz w:val="22"/>
          <w:szCs w:val="28"/>
          <w:rtl w:val="1"/>
        </w:rPr>
        <w:t>خلاء‌های ماهوی</w:t>
      </w:r>
      <w:r>
        <w:rPr>
          <w:rStyle w:val="FootnoteReference"/>
          <w:rtl w:val="1"/>
        </w:rPr>
        <w:footnoteReference w:id="193"/>
      </w:r>
      <w:r>
        <w:rPr>
          <w:rFonts w:ascii="Times New Roman" w:hAnsi="Times New Roman" w:cs="B Nazanin"/>
          <w:sz w:val="22"/>
          <w:szCs w:val="28"/>
          <w:rtl w:val="1"/>
        </w:rPr>
        <w:t>: زمانی که یک موضوع خاص تحت پوشش موافقتنامه‌های موجود قرار ندارد. (بالاترین سطح خلاء، زمانی است که یک موضوع محیطزیستی به طور کامل نادیده گرفته شده یا به اندازه کافی به آن پرداخته نشده است. مثال بارز آن آلودگی پلاستیکی در محیطزیست دریایی)</w:t>
      </w:r>
    </w:p>
    <w:p>
      <w:pPr>
        <w:bidi w:val="1"/>
        <w:spacing w:line="312" w:lineRule="auto" w:before="0" w:after="120"/>
        <w:ind w:firstLine="454"/>
        <w:jc w:val="both"/>
      </w:pPr>
      <w:r>
        <w:rPr>
          <w:rFonts w:ascii="Times New Roman" w:hAnsi="Times New Roman" w:cs="B Nazanin"/>
          <w:sz w:val="22"/>
          <w:szCs w:val="28"/>
          <w:rtl w:val="1"/>
        </w:rPr>
        <w:t>خلاءهای حقوقی</w:t>
      </w:r>
      <w:r>
        <w:rPr>
          <w:rStyle w:val="FootnoteReference"/>
          <w:rtl w:val="1"/>
        </w:rPr>
        <w:footnoteReference w:id="194"/>
      </w:r>
      <w:r>
        <w:rPr>
          <w:rFonts w:ascii="Times New Roman" w:hAnsi="Times New Roman" w:cs="B Nazanin"/>
          <w:sz w:val="22"/>
          <w:szCs w:val="28"/>
          <w:rtl w:val="1"/>
        </w:rPr>
        <w:t>: مربوط به ماهیت حقوقی است. زمانی که دستورالعمل‌ها وجود دارند، اما از نظر حقوقی الزام‌آور نیستند.</w:t>
      </w:r>
    </w:p>
    <w:p>
      <w:pPr>
        <w:bidi w:val="1"/>
        <w:spacing w:line="312" w:lineRule="auto" w:before="0" w:after="120"/>
        <w:ind w:firstLine="454"/>
        <w:jc w:val="both"/>
      </w:pPr>
      <w:r>
        <w:rPr>
          <w:rFonts w:ascii="Times New Roman" w:hAnsi="Times New Roman" w:cs="B Nazanin"/>
          <w:sz w:val="22"/>
          <w:szCs w:val="28"/>
          <w:rtl w:val="1"/>
        </w:rPr>
        <w:t>خلاء‌های مرتبط با عضویت</w:t>
      </w:r>
      <w:r>
        <w:rPr>
          <w:rStyle w:val="FootnoteReference"/>
          <w:rtl w:val="1"/>
        </w:rPr>
        <w:footnoteReference w:id="195"/>
      </w:r>
      <w:r>
        <w:rPr>
          <w:rFonts w:ascii="Times New Roman" w:hAnsi="Times New Roman" w:cs="B Nazanin"/>
          <w:sz w:val="22"/>
          <w:szCs w:val="28"/>
          <w:rtl w:val="1"/>
        </w:rPr>
        <w:t>: زمانی که برخی از اعضای موافقتنامه از تمام یا برخی تعهدات مستثنی شده‌اند.</w:t>
      </w:r>
    </w:p>
    <w:p>
      <w:pPr>
        <w:bidi w:val="1"/>
        <w:spacing w:line="312" w:lineRule="auto" w:before="0" w:after="120"/>
        <w:ind w:firstLine="454"/>
        <w:jc w:val="both"/>
      </w:pPr>
      <w:r>
        <w:rPr>
          <w:rFonts w:ascii="Times New Roman" w:hAnsi="Times New Roman" w:cs="B Nazanin"/>
          <w:sz w:val="22"/>
          <w:szCs w:val="28"/>
          <w:rtl w:val="1"/>
        </w:rPr>
        <w:t>خلاء‌های جغرافیایی</w:t>
      </w:r>
      <w:r>
        <w:rPr>
          <w:rStyle w:val="FootnoteReference"/>
          <w:rtl w:val="1"/>
        </w:rPr>
        <w:footnoteReference w:id="196"/>
      </w:r>
      <w:r>
        <w:rPr>
          <w:rFonts w:ascii="Times New Roman" w:hAnsi="Times New Roman" w:cs="B Nazanin"/>
          <w:sz w:val="22"/>
          <w:szCs w:val="28"/>
          <w:rtl w:val="1"/>
        </w:rPr>
        <w:t>: زمانی که یک سند حقوقی بر همه مناطق جهان اعمال نمی‌شود.</w:t>
      </w:r>
    </w:p>
    <w:p>
      <w:pPr>
        <w:bidi w:val="1"/>
        <w:spacing w:line="312" w:lineRule="auto" w:before="0" w:after="120"/>
        <w:ind w:firstLine="454"/>
        <w:jc w:val="both"/>
      </w:pPr>
      <w:r>
        <w:rPr>
          <w:rFonts w:ascii="Times New Roman" w:hAnsi="Times New Roman" w:cs="B Nazanin"/>
          <w:sz w:val="22"/>
          <w:szCs w:val="28"/>
          <w:rtl w:val="1"/>
        </w:rPr>
        <w:t>خلاهای نهادی</w:t>
      </w:r>
      <w:r>
        <w:rPr>
          <w:rStyle w:val="FootnoteReference"/>
          <w:rtl w:val="1"/>
        </w:rPr>
        <w:footnoteReference w:id="197"/>
      </w:r>
      <w:r>
        <w:rPr>
          <w:rFonts w:ascii="Times New Roman" w:hAnsi="Times New Roman" w:cs="B Nazanin"/>
          <w:sz w:val="22"/>
          <w:szCs w:val="28"/>
          <w:rtl w:val="1"/>
        </w:rPr>
        <w:t>: زمانی که نهاد، سازمان یا سازوکاری برای انجام وظایف خاص وجود ندارد.</w:t>
      </w:r>
    </w:p>
    <w:p>
      <w:pPr>
        <w:bidi w:val="1"/>
        <w:spacing w:line="312" w:lineRule="auto" w:before="0" w:after="120"/>
        <w:ind w:firstLine="454"/>
        <w:jc w:val="both"/>
      </w:pPr>
      <w:r>
        <w:rPr>
          <w:rFonts w:ascii="Times New Roman" w:hAnsi="Times New Roman" w:cs="B Nazanin"/>
          <w:sz w:val="22"/>
          <w:szCs w:val="28"/>
          <w:rtl w:val="1"/>
        </w:rPr>
        <w:t>خلاء‌های مرتبط با اجرا و پایبندی</w:t>
      </w:r>
      <w:r>
        <w:rPr>
          <w:rStyle w:val="FootnoteReference"/>
          <w:rtl w:val="1"/>
        </w:rPr>
        <w:footnoteReference w:id="198"/>
      </w:r>
      <w:r>
        <w:rPr>
          <w:rFonts w:ascii="Times New Roman" w:hAnsi="Times New Roman" w:cs="B Nazanin"/>
          <w:sz w:val="22"/>
          <w:szCs w:val="28"/>
          <w:rtl w:val="1"/>
        </w:rPr>
        <w:t>: زمانی که موافقتنامه و تعهدات مرتبط وجود دارد، اما مکانیسم‌های اجرایی و پایبندی وجود ندارد یا بسیار ضعیف هستند.</w:t>
      </w:r>
    </w:p>
    <w:p>
      <w:pPr>
        <w:bidi w:val="1"/>
        <w:spacing w:line="312" w:lineRule="auto" w:before="0" w:after="120"/>
        <w:ind w:firstLine="454"/>
        <w:jc w:val="both"/>
      </w:pPr>
      <w:r>
        <w:rPr>
          <w:rFonts w:ascii="Times New Roman" w:hAnsi="Times New Roman" w:cs="B Nazanin"/>
          <w:sz w:val="22"/>
          <w:szCs w:val="28"/>
          <w:rtl w:val="1"/>
        </w:rPr>
        <w:t>خلاءهای هنجاری</w:t>
      </w:r>
      <w:r>
        <w:rPr>
          <w:rStyle w:val="FootnoteReference"/>
          <w:rtl w:val="1"/>
        </w:rPr>
        <w:footnoteReference w:id="199"/>
      </w:r>
      <w:r>
        <w:rPr>
          <w:rFonts w:ascii="Times New Roman" w:hAnsi="Times New Roman" w:cs="B Nazanin"/>
          <w:sz w:val="22"/>
          <w:szCs w:val="28"/>
          <w:rtl w:val="1"/>
        </w:rPr>
        <w:t>: این نوع خلاء زمانی وجود دارد که هیچ توافقی در مورد لزوم رسیدگی به یک موضوع خاص وجود ندارد. برای مثال، ممکن است همه توافق داشته باشند که سند حقوقی خاصی برای یک موضوع وجود ندارد (خلاء ماهوی)، اما در مورد ضرورت ایجاد چنین سندی اختلافنظر وجود داشته باشد.»</w:t>
      </w:r>
      <w:r>
        <w:rPr>
          <w:rStyle w:val="FootnoteReference"/>
          <w:rtl w:val="1"/>
        </w:rPr>
        <w:footnoteReference w:id="200"/>
      </w:r>
    </w:p>
    <w:p>
      <w:pPr>
        <w:bidi w:val="1"/>
        <w:spacing w:line="312" w:lineRule="auto" w:before="0" w:after="120"/>
        <w:ind w:firstLine="454"/>
        <w:jc w:val="both"/>
      </w:pPr>
      <w:r>
        <w:rPr>
          <w:rFonts w:ascii="Times New Roman" w:hAnsi="Times New Roman" w:cs="B Nazanin"/>
          <w:sz w:val="22"/>
          <w:szCs w:val="28"/>
          <w:rtl w:val="1"/>
        </w:rPr>
        <w:t>برخی دیگری از منابع، خلاء را به سه دسته واقعی، فنی و هنجاری تقسیم میکنند که با توجه به اهمیت تبیین آن، در ادامه بررسی خواهد شد. شایان ذکر است، اکثر نویسندگان تأکید می‌کنند که این دسته‌بندی‌ها ممکن است با هم همپوشانی داشته باشند. برای مثال، یک خلاء واقعی ممکن است به شناسایی یک خلاء هنجاری نیز منجر شود.</w:t>
      </w:r>
    </w:p>
    <w:p>
      <w:pPr>
        <w:pStyle w:val="GPEHeading3"/>
        <w:bidi w:val="1"/>
        <w:spacing w:line="312" w:lineRule="auto" w:before="200" w:after="120"/>
        <w:jc w:val="right"/>
      </w:pPr>
      <w:r>
        <w:rPr>
          <w:rFonts w:ascii="Times New Roman" w:hAnsi="Times New Roman" w:cs="B Nazanin"/>
          <w:sz w:val="24"/>
          <w:szCs w:val="24"/>
          <w:rtl w:val="1"/>
          <w:b/>
          <w:bCs/>
          <w:color w:val="14203a"/>
        </w:rPr>
        <w:t>۳-۱-۲-۲-۱ خلاءهای واقعی</w:t>
      </w:r>
    </w:p>
    <w:p>
      <w:pPr>
        <w:bidi w:val="1"/>
        <w:spacing w:line="312" w:lineRule="auto" w:before="0" w:after="120"/>
        <w:ind w:firstLine="454"/>
        <w:jc w:val="both"/>
      </w:pPr>
      <w:r>
        <w:rPr>
          <w:rFonts w:ascii="Times New Roman" w:hAnsi="Times New Roman" w:cs="B Nazanin"/>
          <w:sz w:val="22"/>
          <w:szCs w:val="28"/>
          <w:rtl w:val="1"/>
        </w:rPr>
        <w:t>خلاء‌های واقعی به مواردی اشاره دارند که در حقوق بین‌الملل محیطزیست به اندازه کافی پوشش داده نشده‌اند و به نظر می‌رسد باید تنظیم شوند. شناسایی یک خلاء واقعی اولین مرحله برای احراز وجود خلاء هنجاری است، اگرچه این دو متمایز هستند. خلاء هنجاری به این موضوع اشاره دارد که آیا یک مشکل خاص نیاز به پاسخ حقوقی دارد یا خیر. این نوع خلاء‌ها مستقل از خلاء‌های واقعی هستند و ممکن است حتی اگر مشکلی پذیرفته شده باشد، لزوماً نیاز به پاسخ حقوقی نداشته باشد.</w:t>
      </w:r>
      <w:r>
        <w:rPr>
          <w:rStyle w:val="FootnoteReference"/>
          <w:rtl w:val="1"/>
        </w:rPr>
        <w:footnoteReference w:id="201"/>
      </w:r>
      <w:r>
        <w:rPr>
          <w:rFonts w:ascii="Times New Roman" w:hAnsi="Times New Roman" w:cs="B Nazanin"/>
          <w:sz w:val="22"/>
          <w:szCs w:val="28"/>
          <w:rtl w:val="1"/>
        </w:rPr>
        <w:t xml:space="preserve"> بهترین مثال برای این موضوع، مقوله آلودگی پلاستیکی در محیطزیست دریایی است. در ابتدا این موضوع به عنوان یک خلاء واقعی شناسایی شده است. در این خصوص اجماع گسترده، اگر نه جهانی، وجود دارد که باید اقدامی صورت پذیرد. اما این که آیا این اقدام باید شامل یک پاسخ حقوقی باشد، یا اگر باشد، ماهیت و شکل پاسخ چگونه باشد، در حال مذاکره میباشد. در این حوزه چارچوب کلی و گستردهای از قواعد عمومی وجود دارد، اما آیا وجود قواعد چارچوبی کلی</w:t>
      </w:r>
      <w:r>
        <w:rPr>
          <w:rStyle w:val="FootnoteReference"/>
          <w:rtl w:val="1"/>
        </w:rPr>
        <w:footnoteReference w:id="202"/>
      </w:r>
      <w:r>
        <w:rPr>
          <w:rFonts w:ascii="Times New Roman" w:hAnsi="Times New Roman" w:cs="B Nazanin"/>
          <w:sz w:val="22"/>
          <w:szCs w:val="28"/>
          <w:rtl w:val="1"/>
        </w:rPr>
        <w:t xml:space="preserve"> برای اعلام فقدان خلاء اعم از واقعی یا هنجاری کافی است؟ در پاسخ «این دیدگاه عمومی وجود دارد که مؤثرترین شکل تنظیم حقوق بین‌الملل محیطزیست، تصویب قواعد دقیق در چارچوب رژیم‌های خاص معاهدهای</w:t>
      </w:r>
      <w:r>
        <w:rPr>
          <w:rStyle w:val="FootnoteReference"/>
          <w:rtl w:val="1"/>
        </w:rPr>
        <w:footnoteReference w:id="203"/>
      </w:r>
      <w:r>
        <w:rPr>
          <w:rFonts w:ascii="Times New Roman" w:hAnsi="Times New Roman" w:cs="B Nazanin"/>
          <w:sz w:val="22"/>
          <w:szCs w:val="28"/>
          <w:rtl w:val="1"/>
        </w:rPr>
        <w:t xml:space="preserve"> است. تجمیع اصول کلی و هنجارهای فراگیر به ندرت به عنوان جایگزین در نظرگرفته می‌شوند، اگرچه می‌توانند چارچوبی مفید برای تنظیم مقررههای بیشتر فراهم کنند.»</w:t>
      </w:r>
      <w:r>
        <w:rPr>
          <w:rStyle w:val="FootnoteReference"/>
          <w:rtl w:val="1"/>
        </w:rPr>
        <w:footnoteReference w:id="204"/>
      </w:r>
      <w:r>
        <w:rPr>
          <w:rFonts w:ascii="Times New Roman" w:hAnsi="Times New Roman" w:cs="B Nazanin"/>
          <w:sz w:val="22"/>
          <w:szCs w:val="28"/>
          <w:rtl w:val="1"/>
        </w:rPr>
        <w:t xml:space="preserve"> نمونهای از موفقیت این رویکرد، موضوع حفاظت از لایه اوزن میباشد که در ابتدا کنوانسیون چارچوبی حفاظت از لایه اوزن به بیان اهداف، تعهدات کلی و هنجارهای فراگیر پرداخته، سپس تعهدات جزئی و دقیق در قالب پروتکل مونترال (اسم پروتکل) و اصلاحیههای مکرر (آخرین اصلاحیه: اصلاحیه کیگالی 2016) درج گردید.</w:t>
      </w:r>
    </w:p>
    <w:p>
      <w:pPr>
        <w:bidi w:val="1"/>
        <w:spacing w:line="312" w:lineRule="auto" w:before="0" w:after="120"/>
        <w:ind w:firstLine="454"/>
        <w:jc w:val="both"/>
      </w:pPr>
      <w:r>
        <w:rPr>
          <w:rFonts w:ascii="Times New Roman" w:hAnsi="Times New Roman" w:cs="B Nazanin"/>
          <w:sz w:val="22"/>
          <w:szCs w:val="28"/>
          <w:rtl w:val="1"/>
        </w:rPr>
        <w:t>«با این حال، همه مسائل به راحتی به اجماع جهانی کافی دست نمییابند تا بتوان گفت که یک خلاء واقعی وجود دارد و در نتیجه نیاز فوری به تنظیم این نگرانی‌ها از طریق رژیم‌های دقیق و جزئیتر احساس می‌شود (خلاء هنجاری). به عنوان مثال در خصوص زباله‌های فضایی و رفاه حیوانات بسیاری از محققان این موارد را نگرانی‌های حیاتی می‌دانند که به خودی خود مستحق تنظیم مقررههای جهانی هستند. اما به نظر نمی‌رسد (هنوز) اجماع سیاسی کافی در مورد این که آیا این‌ها "مشکلات محیطزیستی" هستند که نیاز به تنظیم مقررات بین‌المللی دارند یا حتی اگر هستند، ماهیت و شکلی که چنین مقررات بین‌المللی باید داشته باشد، وجود داشته باشد.»</w:t>
      </w:r>
      <w:r>
        <w:rPr>
          <w:rStyle w:val="FootnoteReference"/>
          <w:rtl w:val="1"/>
        </w:rPr>
        <w:footnoteReference w:id="205"/>
      </w:r>
      <w:r>
        <w:rPr>
          <w:rFonts w:ascii="Times New Roman" w:hAnsi="Times New Roman" w:cs="B Nazanin"/>
          <w:sz w:val="22"/>
          <w:szCs w:val="28"/>
          <w:rtl w:val="1"/>
        </w:rPr>
        <w:t xml:space="preserve"> به عبارتی، برای پرکردن خلاء‌های هنجاری، ابتدا باید خلاءهای واقعی را بهدرستی درک کرد و سپس اجماع سیاسی برای اقدام لازم ایجاد نمود. در مورد تثبیت گازهای گلخانه‌ای در سطح ۱.۵ درجه سانتیگراد بالاتر از سطح پیش از صنعتی شدن، شاهد اجماع در عین اختلافات سیاسی بهدلیل درک آسیبهای مخرب گازهای گلخانهای برای محیطزیست جهانی بودهایم. گرچه هنوز در عرصه محیطزیست، آسیبهای ناشناخته بسیاری وجود دارد که هنوز به طور کامل آنها را درک نمیکنیم یا هنوز نمیدانیم که باعث آنها هستیم. در نتیجه، ما به سادگی یا خطرات را به اندازه کافی درک نمی‌کنیم یا هنوز از نظر سیاسی آماده اقدام متناسب نیستیم.</w:t>
      </w:r>
    </w:p>
    <w:p>
      <w:pPr>
        <w:pStyle w:val="GPEHeading3"/>
        <w:bidi w:val="1"/>
        <w:spacing w:line="312" w:lineRule="auto" w:before="200" w:after="120"/>
        <w:jc w:val="right"/>
      </w:pPr>
      <w:r>
        <w:rPr>
          <w:rFonts w:ascii="Times New Roman" w:hAnsi="Times New Roman" w:cs="B Nazanin"/>
          <w:sz w:val="24"/>
          <w:szCs w:val="24"/>
          <w:rtl w:val="1"/>
          <w:b/>
          <w:bCs/>
          <w:color w:val="14203a"/>
        </w:rPr>
        <w:t>۳-۱-۲-۲-۲ خلاءهای فنی</w:t>
      </w:r>
    </w:p>
    <w:p>
      <w:pPr>
        <w:bidi w:val="1"/>
        <w:spacing w:line="312" w:lineRule="auto" w:before="0" w:after="120"/>
        <w:ind w:firstLine="454"/>
        <w:jc w:val="both"/>
      </w:pPr>
      <w:r>
        <w:rPr>
          <w:rFonts w:ascii="Times New Roman" w:hAnsi="Times New Roman" w:cs="B Nazanin"/>
          <w:sz w:val="22"/>
          <w:szCs w:val="28"/>
          <w:rtl w:val="1"/>
        </w:rPr>
        <w:t>نوع دوم خلاء، خلاء‌های فنی</w:t>
      </w:r>
      <w:r>
        <w:rPr>
          <w:rStyle w:val="FootnoteReference"/>
          <w:rtl w:val="1"/>
        </w:rPr>
        <w:footnoteReference w:id="206"/>
      </w:r>
      <w:r>
        <w:rPr>
          <w:rFonts w:ascii="Times New Roman" w:hAnsi="Times New Roman" w:cs="B Nazanin"/>
          <w:sz w:val="22"/>
          <w:szCs w:val="28"/>
          <w:rtl w:val="1"/>
        </w:rPr>
        <w:t xml:space="preserve"> است که با توجه به محتوای قطعنامه 277 /72 مجمععمومی، حولمحور مقوله اجرا تفسیر می‌گردد. منظور از اجرا در این قطعنامه اجرای حقوق بین‌الملل محیطزیست و اسناد مرتبط با محیطزیست میباشد. این موضوع سؤالات مهمی را درباره هدف از شناسایی خلاء‌ها و سپس، بررسی گزینه‌های ممکن برای رسیدگی به خلاء‌های احتمالی مطرح میسازد. بنابراین، این نوع از خلاء به طور خاص به چگونگی تقویت اجرای تعهدات کشورها و بهبود اثربخشی حقوق بین‌الملل محیطزیست مربوط می‌شوند. بدون شک فاصلهای بین تعهداتی که کشورها می‌پذیرند و اجرای کامل آنها وجود دارد و فاصله بزرگ‌تری بین این تعهدات، وضعیت فعلی محیطزیست و وضعیت مطلوب وجود دارد. از این رو، برخی کشوها مانند فدراسیون روسیه معتقدند که تمرکز اصلی باید بر اجرای مؤثر تعهدات موجود باشد، نه ایجاد سندها یا معاهدات جدید.</w:t>
      </w:r>
      <w:r>
        <w:rPr>
          <w:rStyle w:val="FootnoteReference"/>
          <w:rtl w:val="1"/>
        </w:rPr>
        <w:footnoteReference w:id="207"/>
      </w:r>
      <w:r>
        <w:rPr>
          <w:rFonts w:ascii="Times New Roman" w:hAnsi="Times New Roman" w:cs="B Nazanin"/>
          <w:sz w:val="22"/>
          <w:szCs w:val="28"/>
          <w:rtl w:val="1"/>
        </w:rPr>
        <w:t xml:space="preserve"> از نظر سیاسی، مسئله اجرا یکی از مسایل محوری در حقوق بین‌الملل محیطزیست است. این سوال مطرح گردیده است که با توجه به چالشهای اجرایی در حقوق بینالملل محیطزیست از جمله فاصله موجود میان تعهد و اجرا، آیا به هنجارها و سند جدیدی نیاز داریم یا خیر؟ این سوال در چارچوب قطعنامه 277 /72 مجمععمومی با توجه به هدف غایی آن که تدوین پیمان جهانی محیطزیست بود، مطرح گردید. از همان ابتدا یکی از نگرانی‌های اصلی این بود که «گسترش هنجاری</w:t>
      </w:r>
      <w:r>
        <w:rPr>
          <w:rStyle w:val="FootnoteReference"/>
          <w:rtl w:val="1"/>
        </w:rPr>
        <w:footnoteReference w:id="208"/>
      </w:r>
      <w:r>
        <w:rPr>
          <w:rFonts w:ascii="Times New Roman" w:hAnsi="Times New Roman" w:cs="B Nazanin"/>
          <w:sz w:val="22"/>
          <w:szCs w:val="28"/>
          <w:rtl w:val="1"/>
        </w:rPr>
        <w:t xml:space="preserve"> ممکن است منجر به تورم معاهدهای</w:t>
      </w:r>
      <w:r>
        <w:rPr>
          <w:rStyle w:val="FootnoteReference"/>
          <w:rtl w:val="1"/>
        </w:rPr>
        <w:footnoteReference w:id="209"/>
      </w:r>
      <w:r>
        <w:rPr>
          <w:rFonts w:ascii="Times New Roman" w:hAnsi="Times New Roman" w:cs="B Nazanin"/>
          <w:sz w:val="22"/>
          <w:szCs w:val="28"/>
          <w:rtl w:val="1"/>
        </w:rPr>
        <w:t xml:space="preserve"> گردد و به جای حل مشکل باعث تشدید پراکندگی در نظام‌ حقوقی و حکمرانی جهانی محیطزیست شود.»</w:t>
      </w:r>
      <w:r>
        <w:rPr>
          <w:rStyle w:val="FootnoteReference"/>
          <w:rtl w:val="1"/>
        </w:rPr>
        <w:footnoteReference w:id="210"/>
      </w:r>
      <w:r>
        <w:rPr>
          <w:rFonts w:ascii="Times New Roman" w:hAnsi="Times New Roman" w:cs="B Nazanin"/>
          <w:sz w:val="22"/>
          <w:szCs w:val="28"/>
          <w:rtl w:val="1"/>
        </w:rPr>
        <w:t xml:space="preserve"> شایان ذکر است، این مسئله با هدف "تقویت انسجام حکمرانی جهانی محیطزیست" که در قطعنامه مورد اشاره آمده است، در تضاد است.</w:t>
      </w:r>
    </w:p>
    <w:p>
      <w:pPr>
        <w:bidi w:val="1"/>
        <w:spacing w:line="312" w:lineRule="auto" w:before="0" w:after="120"/>
        <w:ind w:firstLine="454"/>
        <w:jc w:val="both"/>
      </w:pPr>
      <w:r>
        <w:rPr>
          <w:rFonts w:ascii="Times New Roman" w:hAnsi="Times New Roman" w:cs="B Nazanin"/>
          <w:sz w:val="22"/>
          <w:szCs w:val="28"/>
          <w:rtl w:val="1"/>
        </w:rPr>
        <w:t>مسئله اجرا در حقوق بینالملل محیطزیست به شدت سیاسی و ماحصل مذاکرات طولانی مدت است. علاوه بر این، مسئله اجرا با اصل مسئولیت‌های مشترک اما متفاوت</w:t>
      </w:r>
      <w:r>
        <w:rPr>
          <w:rStyle w:val="FootnoteReference"/>
          <w:rtl w:val="1"/>
        </w:rPr>
        <w:footnoteReference w:id="211"/>
      </w:r>
      <w:r>
        <w:rPr>
          <w:rFonts w:ascii="Times New Roman" w:hAnsi="Times New Roman" w:cs="B Nazanin"/>
          <w:sz w:val="22"/>
          <w:szCs w:val="28"/>
          <w:rtl w:val="1"/>
        </w:rPr>
        <w:t xml:space="preserve"> و توانایی‌های مربوطه مرتبط است. این اصل به طور خاص در روابط بین کشورهای توسعه‌یافته (شمال) و کشورهای درحال توسعه (جنوب) مطرح می‌شود و نشان‌دهنده اختلافات عمیق در اولویت‌ها و توانایی‌های این کشورها است. همچنین جنبه دوم (مرتبط اما مجزا) در مفهوم خلاء‌های فنی مربوط به وجود خلاء‌ در داده‌های فنی، علمی و اجتماعی-اقتصادی</w:t>
      </w:r>
      <w:r>
        <w:rPr>
          <w:rStyle w:val="FootnoteReference"/>
          <w:rtl w:val="1"/>
        </w:rPr>
        <w:footnoteReference w:id="212"/>
      </w:r>
      <w:r>
        <w:rPr>
          <w:rFonts w:ascii="Times New Roman" w:hAnsi="Times New Roman" w:cs="B Nazanin"/>
          <w:sz w:val="22"/>
          <w:szCs w:val="28"/>
          <w:rtl w:val="1"/>
        </w:rPr>
        <w:t xml:space="preserve"> است که برای درک چالش‌های محیطزیستی بهمنظور توسعه هنجارهای استراتژیک و متمرکز ضروری است و در نهایت بستری را برای اجرای بهتر تعهدات بینالمللی فراهم می‌کنند.</w:t>
      </w:r>
      <w:r>
        <w:rPr>
          <w:rStyle w:val="FootnoteReference"/>
          <w:rtl w:val="1"/>
        </w:rPr>
        <w:footnoteReference w:id="213"/>
      </w:r>
      <w:r>
        <w:rPr>
          <w:rFonts w:ascii="Times New Roman" w:hAnsi="Times New Roman" w:cs="B Nazanin"/>
          <w:sz w:val="22"/>
          <w:szCs w:val="28"/>
          <w:rtl w:val="1"/>
        </w:rPr>
        <w:t xml:space="preserve"> باید در نظر داشته باشیم که شناسایی چنین خلاء‌هایی یک موضوع است، در حالی که ارزیابی آن‌ها و اقدام جهت رفع آن موضوع دیگری است. بهعنوان مثال، چالش انتقال فناوری به عنوان یکی از نمونههای کلیدی خلاء فنی، بهطور گسترده‌ در نظام‌های بین‌المللی مورد بحث قرارگرفته است، اما پیشرفت چندانی در حل آن حاصل نشده است. زیرا برای اصلاح آن‌ به اراده سیاسی بیشتر و منابع قابل توجهی نیاز بوده که تاکنون محقق نگردیده است.</w:t>
      </w:r>
    </w:p>
    <w:p>
      <w:pPr>
        <w:pStyle w:val="GPEHeading3"/>
        <w:bidi w:val="1"/>
        <w:spacing w:line="312" w:lineRule="auto" w:before="200" w:after="120"/>
        <w:jc w:val="right"/>
      </w:pPr>
      <w:r>
        <w:rPr>
          <w:rFonts w:ascii="Times New Roman" w:hAnsi="Times New Roman" w:cs="B Nazanin"/>
          <w:sz w:val="24"/>
          <w:szCs w:val="24"/>
          <w:rtl w:val="1"/>
          <w:b/>
          <w:bCs/>
          <w:color w:val="14203a"/>
        </w:rPr>
        <w:t>۳-۱-۲-۲-۳ خلاءهای هنجاری</w:t>
      </w:r>
    </w:p>
    <w:p>
      <w:pPr>
        <w:bidi w:val="1"/>
        <w:spacing w:line="312" w:lineRule="auto" w:before="0" w:after="120"/>
        <w:ind w:firstLine="454"/>
        <w:jc w:val="both"/>
      </w:pPr>
      <w:r>
        <w:rPr>
          <w:rFonts w:ascii="Times New Roman" w:hAnsi="Times New Roman" w:cs="B Nazanin"/>
          <w:sz w:val="22"/>
          <w:szCs w:val="28"/>
          <w:rtl w:val="1"/>
        </w:rPr>
        <w:t>همانطور که پیشتر بدان اشاره شد، خلاء هنجاری زمانی ایجاد میشود که هیچ توافقی در مورد لزوم رسیدگی یا پاسخ حقوقی به یک موضوع خاص وجود ندارد. از آن جایی که حقوق بین‌الملل محیطزیست از طیف گسترده‌ای از منابع، از جمله قواعد معاهده‌ای، قواعد عرفی، رویه قضایی، حقوقنرم و تصمیمات کنفرانس‌های اعضای موافقتنامههای چندجانبه محیطزیستی بهرهمند است، این تنوع باعث می‌شود که تعیین خلاءهای هنجاری پیچیده‌تر شود. سوالی که مطرح میشود این است که هنگامی که از خلاءهای هنجاری صحبت میکنیم منظور فقط قواعد الزامآور است یا قواعد غیرالزامآور را هم شامل میشود؟ پاسخ به این سوال به دیدگاه غالب نسبت به سیستم حقوق بینالملل و نحوه نگرش هر دیدگاه به جایگاه و نقش این قواعد در حقوق بین‌الملل بستگی دارد.</w:t>
      </w:r>
    </w:p>
    <w:p>
      <w:pPr>
        <w:bidi w:val="1"/>
        <w:spacing w:line="312" w:lineRule="auto" w:before="0" w:after="120"/>
        <w:ind w:firstLine="454"/>
        <w:jc w:val="both"/>
      </w:pPr>
      <w:r>
        <w:rPr>
          <w:rFonts w:ascii="Times New Roman" w:hAnsi="Times New Roman" w:cs="B Nazanin"/>
          <w:sz w:val="22"/>
          <w:szCs w:val="28"/>
          <w:rtl w:val="1"/>
        </w:rPr>
        <w:t>سه دیدگاه نسبت به سیستم حقوق بینالملل وجود دارد: بسته، کامل و باز.</w:t>
      </w:r>
      <w:r>
        <w:rPr>
          <w:rStyle w:val="FootnoteReference"/>
          <w:rtl w:val="1"/>
        </w:rPr>
        <w:footnoteReference w:id="214"/>
      </w:r>
      <w:r>
        <w:rPr>
          <w:rFonts w:ascii="Times New Roman" w:hAnsi="Times New Roman" w:cs="B Nazanin"/>
          <w:sz w:val="22"/>
          <w:szCs w:val="28"/>
          <w:rtl w:val="1"/>
        </w:rPr>
        <w:t>برخی معتقدند که حقوق بین‌الملل یک سیستم بسته است و براساس فرضیه لوتوس</w:t>
      </w:r>
      <w:r>
        <w:rPr>
          <w:rStyle w:val="FootnoteReference"/>
          <w:rtl w:val="1"/>
        </w:rPr>
        <w:footnoteReference w:id="215"/>
      </w:r>
      <w:r>
        <w:rPr>
          <w:rFonts w:ascii="Times New Roman" w:hAnsi="Times New Roman" w:cs="B Nazanin"/>
          <w:sz w:val="22"/>
          <w:szCs w:val="28"/>
          <w:rtl w:val="1"/>
        </w:rPr>
        <w:t>، هر آنچه ممنوع نشده است، مجاز است. براین اساس، تنها قواعد الزامآور دارای اعتبار هستند و قواعد غیرالزامآور فاقد اثرحقوقی هستند. لذا، خلاء هنجاری در این سیستم، بهمعنای فقدان قواعد الزامآور است. این دیدگاه ممکن است مانع از توسعه حقوق بین‌الملل شود. زیرا خلاءهای هنجاری را بهعنوان مجوزی برای آزادی عمل دولتها تفسیر میکند. با توجه به اینکه حقوق بین‌الملل محیطزیست با چالش‌های پیچیده‌ای روبهرو است که نیازمند تعریف دقیق مفاهیم، تعیین استانداردهای رفتاری و انعطاف‌پذیری در مواجهه با تفاوت‌های بین کشورهای شمال و جنوب هستند، به نظر میرسد که فرضیه لوتوس، دیگر نمی‌تواند پاسخگوی نیازهای پیچیده حقوق بینالملل محیطزیست باشد و بهعنوان یک اصل راهنما در حقوق بین‌الملل محیطزیست پذیرفته شود.</w:t>
      </w:r>
    </w:p>
    <w:p>
      <w:pPr>
        <w:bidi w:val="1"/>
        <w:spacing w:line="312" w:lineRule="auto" w:before="0" w:after="120"/>
        <w:ind w:firstLine="454"/>
        <w:jc w:val="both"/>
      </w:pPr>
      <w:r>
        <w:rPr>
          <w:rFonts w:ascii="Times New Roman" w:hAnsi="Times New Roman" w:cs="B Nazanin"/>
          <w:sz w:val="22"/>
          <w:szCs w:val="28"/>
          <w:rtl w:val="1"/>
        </w:rPr>
        <w:t>برخی دیگر معتقدند که حقوق بین‌الملل یک سیستم کامل است که اگرچه ممکن است خلاء‌هایی داشته باشد، اما روش‌هایی برای رفع آن خلاءها مانند تفسیر قواعد موجود یا استفاده از اصول کلی حقوقی و حتی استناد به قواعد غیرالزامآور بهعنوان ابزاری برای تفسیر یا تکمیل قواعد الزامآور وجود دارد. در این سیستم از یکسو شاهد ثبات و پیشبینیپذیری بهجهت استفاده از قواعد موجود و پرکردن خلاءها با استفاده از اصول کلی حقوقی و از سویدیگر شاهد محدودیت در توسعه قواعد و در نتیجه عدم انعطافپذیری در مواجهه با مسائل جدید و پیچیده حقوق بینالملل محیطزیست هستیم.</w:t>
      </w:r>
    </w:p>
    <w:p>
      <w:pPr>
        <w:bidi w:val="1"/>
        <w:spacing w:line="312" w:lineRule="auto" w:before="0" w:after="120"/>
        <w:ind w:firstLine="454"/>
        <w:jc w:val="both"/>
      </w:pPr>
      <w:r>
        <w:rPr>
          <w:rFonts w:ascii="Times New Roman" w:hAnsi="Times New Roman" w:cs="B Nazanin"/>
          <w:sz w:val="22"/>
          <w:szCs w:val="28"/>
          <w:rtl w:val="1"/>
        </w:rPr>
        <w:t>دیدگاه سوم این است که حقوق بین‌الملل یک سیستم باز است و ممکن است در مورد برخی مسائل سکوت کند. این دیدگاه توسط قاضی برونو سیما، قاضی دیوان بین‌المللی دادگستری</w:t>
      </w:r>
      <w:r>
        <w:rPr>
          <w:rStyle w:val="FootnoteReference"/>
          <w:rtl w:val="1"/>
        </w:rPr>
        <w:footnoteReference w:id="216"/>
      </w:r>
      <w:r>
        <w:rPr>
          <w:rFonts w:ascii="Times New Roman" w:hAnsi="Times New Roman" w:cs="B Nazanin"/>
          <w:sz w:val="22"/>
          <w:szCs w:val="28"/>
          <w:rtl w:val="1"/>
        </w:rPr>
        <w:t>، نیز تأیید شده است.</w:t>
      </w:r>
      <w:r>
        <w:rPr>
          <w:rStyle w:val="FootnoteReference"/>
          <w:rtl w:val="1"/>
        </w:rPr>
        <w:footnoteReference w:id="217"/>
      </w:r>
      <w:r>
        <w:rPr>
          <w:rFonts w:ascii="Times New Roman" w:hAnsi="Times New Roman" w:cs="B Nazanin"/>
          <w:sz w:val="22"/>
          <w:szCs w:val="28"/>
          <w:rtl w:val="1"/>
        </w:rPr>
        <w:t xml:space="preserve"> براساس این دیدگاه، حقوق بینالملل محیطزیست میتواند با توجه به تحولات جدید و نیازهای روز توسعه یابد. در نتیجه میتوانیم شاهد انعطافپذیری، توسعهپذیری و هماهنگی با واقعیتهای بینالمللی (تفاوتهای بین کشورهای شمال و جنوب) باشیم. به نظر میرسد، با توجه به پویایی و پیچیدگی مسائل محیطزیستی، سیستم باز گزینه مناسب‌تری برای مواجهه با خلاءهای هنجاری و تحولات بین‌المللی است. چراکه در این سیستم، قواعد غیرالزامآور نه تنها در پرکردن خلاء هنجاری، بلکه بهعنوان ابزاری برای توسعه و تکامل حقوق بینالملل تاثیرگذارند.</w:t>
      </w:r>
    </w:p>
    <w:p>
      <w:pPr>
        <w:bidi w:val="1"/>
        <w:spacing w:line="312" w:lineRule="auto" w:before="0" w:after="120"/>
        <w:ind w:firstLine="454"/>
        <w:jc w:val="both"/>
      </w:pPr>
      <w:r>
        <w:rPr>
          <w:rFonts w:ascii="Times New Roman" w:hAnsi="Times New Roman" w:cs="B Nazanin"/>
          <w:sz w:val="22"/>
          <w:szCs w:val="28"/>
          <w:rtl w:val="1"/>
        </w:rPr>
        <w:t>بهعنوان آخرین نکته ذیل خلاءهای هنجاری «باید به آن قواعد و اصولی توجه داشته باشیم که هنوز توسط جامعه بین‌المللی مورد توافق قرار نگرفته‌اند. این قواعد و اصول مشابه خلاءهای هنجاری هستند، اما از آن‌ها متمایزند. زیرا این اصول بیشتر آرمان‌گرایانه و رادیکال در ماهیت</w:t>
      </w:r>
      <w:r>
        <w:rPr>
          <w:rStyle w:val="FootnoteReference"/>
          <w:rtl w:val="1"/>
        </w:rPr>
        <w:footnoteReference w:id="218"/>
      </w:r>
      <w:r>
        <w:rPr>
          <w:rFonts w:ascii="Times New Roman" w:hAnsi="Times New Roman" w:cs="B Nazanin"/>
          <w:sz w:val="22"/>
          <w:szCs w:val="28"/>
          <w:rtl w:val="1"/>
        </w:rPr>
        <w:t xml:space="preserve"> هستند و منشأ آن‌ها به جای گفتمان اصلی حقوق بین‌الملل، از منابع دیگری مانند رویه قضایی، رویکردهای فلسفی و اخلاقی به حفاظت از محیط زیست، آموزه‌های مذهبی یا صرفاً ایده‌های جدید نشأت می‌گیرند. به این نوع از خلاء، «خلاءهای ناگفتنی»</w:t>
      </w:r>
      <w:r>
        <w:rPr>
          <w:rStyle w:val="FootnoteReference"/>
          <w:rtl w:val="1"/>
        </w:rPr>
        <w:footnoteReference w:id="219"/>
      </w:r>
      <w:r>
        <w:rPr>
          <w:rFonts w:ascii="Times New Roman" w:hAnsi="Times New Roman" w:cs="B Nazanin"/>
          <w:sz w:val="22"/>
          <w:szCs w:val="28"/>
          <w:rtl w:val="1"/>
        </w:rPr>
        <w:t xml:space="preserve"> میگویند، زیرا هنوز بخشی از گفتمان اصلی حقوق بین‌الملل محسوب نمی‌شوند یا اگر هم گنجانده شوند، معمولاً به صورت مقدمه‌ای و غیرالزام‌آور هستند. برخی از نمونه‌های آن شامل حقوق طبیعت</w:t>
      </w:r>
      <w:r>
        <w:rPr>
          <w:rStyle w:val="FootnoteReference"/>
          <w:rtl w:val="1"/>
        </w:rPr>
        <w:footnoteReference w:id="220"/>
      </w:r>
      <w:r>
        <w:rPr>
          <w:rFonts w:ascii="Times New Roman" w:hAnsi="Times New Roman" w:cs="B Nazanin"/>
          <w:sz w:val="22"/>
          <w:szCs w:val="28"/>
          <w:rtl w:val="1"/>
        </w:rPr>
        <w:t>، دموکراسی اکولوژیک</w:t>
      </w:r>
      <w:r>
        <w:rPr>
          <w:rStyle w:val="FootnoteReference"/>
          <w:rtl w:val="1"/>
        </w:rPr>
        <w:footnoteReference w:id="221"/>
      </w:r>
      <w:r>
        <w:rPr>
          <w:rFonts w:ascii="Times New Roman" w:hAnsi="Times New Roman" w:cs="B Nazanin"/>
          <w:sz w:val="22"/>
          <w:szCs w:val="28"/>
          <w:rtl w:val="1"/>
        </w:rPr>
        <w:t>، حکمرانی و حقوق سیستمزمین</w:t>
      </w:r>
      <w:r>
        <w:rPr>
          <w:rStyle w:val="FootnoteReference"/>
          <w:rtl w:val="1"/>
        </w:rPr>
        <w:footnoteReference w:id="222"/>
      </w:r>
      <w:r>
        <w:rPr>
          <w:rFonts w:ascii="Times New Roman" w:hAnsi="Times New Roman" w:cs="B Nazanin"/>
          <w:sz w:val="22"/>
          <w:szCs w:val="28"/>
          <w:rtl w:val="1"/>
        </w:rPr>
        <w:t>، یکپارچگی سیستم زمین</w:t>
      </w:r>
      <w:r>
        <w:rPr>
          <w:rStyle w:val="FootnoteReference"/>
          <w:rtl w:val="1"/>
        </w:rPr>
        <w:footnoteReference w:id="223"/>
      </w:r>
      <w:r>
        <w:rPr>
          <w:rFonts w:ascii="Times New Roman" w:hAnsi="Times New Roman" w:cs="B Nazanin"/>
          <w:sz w:val="22"/>
          <w:szCs w:val="28"/>
          <w:rtl w:val="1"/>
        </w:rPr>
        <w:t>، اصل تردید به نفع طبیعت</w:t>
      </w:r>
      <w:r>
        <w:rPr>
          <w:rStyle w:val="FootnoteReference"/>
          <w:rtl w:val="1"/>
        </w:rPr>
        <w:footnoteReference w:id="224"/>
      </w:r>
      <w:r>
        <w:rPr>
          <w:rFonts w:ascii="Times New Roman" w:hAnsi="Times New Roman" w:cs="B Nazanin"/>
          <w:sz w:val="22"/>
          <w:szCs w:val="28"/>
          <w:rtl w:val="1"/>
        </w:rPr>
        <w:t xml:space="preserve"> و حاکمیت قانون اکولوژیک</w:t>
      </w:r>
      <w:r>
        <w:rPr>
          <w:rStyle w:val="FootnoteReference"/>
          <w:rtl w:val="1"/>
        </w:rPr>
        <w:footnoteReference w:id="225"/>
      </w:r>
      <w:r>
        <w:rPr>
          <w:rFonts w:ascii="Times New Roman" w:hAnsi="Times New Roman" w:cs="B Nazanin"/>
          <w:sz w:val="22"/>
          <w:szCs w:val="28"/>
          <w:rtl w:val="1"/>
        </w:rPr>
        <w:t xml:space="preserve"> می‌شوند.»</w:t>
      </w:r>
      <w:r>
        <w:rPr>
          <w:rStyle w:val="FootnoteReference"/>
          <w:rtl w:val="1"/>
        </w:rPr>
        <w:footnoteReference w:id="226"/>
      </w:r>
      <w:r>
        <w:rPr>
          <w:rFonts w:ascii="Times New Roman" w:hAnsi="Times New Roman" w:cs="B Nazanin"/>
          <w:sz w:val="22"/>
          <w:szCs w:val="28"/>
          <w:rtl w:val="1"/>
        </w:rPr>
        <w:t xml:space="preserve"> این‌ اصول پتانسیل ایجاد یک چارچوب هنجاری متفاوت و بلندپروازانه‌تر را دارند تا بتواند چالش‌های سیستماتیک ذاتی در حقوق بین‌الملل محیطزیست و حکمرانی جهانی محیطزیست را برطرف کند و علاوهبرآن، دامنه، قدرت و تأثیر هنجارهایی را افزایش دهند که در نهایت باید به مقابله با انسان‌محوری نئولیبرال</w:t>
      </w:r>
      <w:r>
        <w:rPr>
          <w:rStyle w:val="FootnoteReference"/>
          <w:rtl w:val="1"/>
        </w:rPr>
        <w:footnoteReference w:id="227"/>
      </w:r>
      <w:r>
        <w:rPr>
          <w:rFonts w:ascii="Times New Roman" w:hAnsi="Times New Roman" w:cs="B Nazanin"/>
          <w:sz w:val="22"/>
          <w:szCs w:val="28"/>
          <w:rtl w:val="1"/>
        </w:rPr>
        <w:t xml:space="preserve"> و بهره‌برداری از سیستم زمین بپردازند. شایان ذکر است، برخی از این اصول قبلاً در قوانین داخلی و حتی در اسناد بین‌المللی غیرالزام‌آور مانند منشور جهانی طبیعت مصوب 1982 درج گردیدهاند و پتانسیل قابل توجهی برای شکلدهی به بنیان یک پارادایم حقوقی جدید برای عصر آنتروپوسن (دوران جدید زمین‌شناسی که تحت تأثیر فعالیت‌های انسانی است) </w:t>
      </w:r>
      <w:r>
        <w:rPr>
          <w:rStyle w:val="FootnoteReference"/>
          <w:rtl w:val="1"/>
        </w:rPr>
        <w:footnoteReference w:id="228"/>
      </w:r>
      <w:r>
        <w:rPr>
          <w:rFonts w:ascii="Times New Roman" w:hAnsi="Times New Roman" w:cs="B Nazanin"/>
          <w:sz w:val="22"/>
          <w:szCs w:val="28"/>
          <w:rtl w:val="1"/>
        </w:rPr>
        <w:t xml:space="preserve"> دارند؛ پارادایمی که هنوز محورها و محتوای دقیق آن مشخص نیست.</w:t>
      </w:r>
      <w:r>
        <w:rPr>
          <w:rStyle w:val="FootnoteReference"/>
          <w:rtl w:val="1"/>
        </w:rPr>
        <w:footnoteReference w:id="229"/>
      </w:r>
      <w:r>
        <w:rPr>
          <w:rFonts w:ascii="Times New Roman" w:hAnsi="Times New Roman" w:cs="B Nazanin"/>
          <w:sz w:val="22"/>
          <w:szCs w:val="28"/>
          <w:rtl w:val="1"/>
        </w:rPr>
        <w:t>گزارش خلاء دبیرکل می‌توانست فرصتی برای طرح بحث در خصوص این نوع از خلاء و گنجاندن چنین مقرراتی در سند الزام‌آور «پیمان جهانی محیط زیست» باشد، اما چالش‌های سیاسی و محدودیت‌های گزارش‌ دبیرکل به دلیل ماهیت فنی و مبتنی بر شواهد آن مانع از این امر گردید. از ان گذشته این نوع از خلاء نیز در پیشنویس پیمان جهانی محیطزیست مورد توجه قرار نگرفته است.</w:t>
      </w:r>
    </w:p>
    <w:p>
      <w:pPr>
        <w:bidi w:val="1"/>
        <w:spacing w:line="312" w:lineRule="auto" w:before="0" w:after="120"/>
        <w:ind w:firstLine="454"/>
        <w:jc w:val="both"/>
      </w:pPr>
      <w:r>
        <w:rPr>
          <w:rFonts w:ascii="Times New Roman" w:hAnsi="Times New Roman" w:cs="B Nazanin"/>
          <w:sz w:val="22"/>
          <w:szCs w:val="28"/>
          <w:rtl w:val="1"/>
        </w:rPr>
        <w:t>مفهوم «خلاء» در حقوق بین‌الملل محیطزیست - مانند اکثر حوزه‌های حقوق بین‌الملل - مفهومی است که اگرچه در سطح زبانی به راحتی قابل درک است، از نظر مفهومی پیچیدگی‌های اساسی را ایجاد می‌کند.</w:t>
      </w:r>
      <w:r>
        <w:rPr>
          <w:rStyle w:val="FootnoteReference"/>
          <w:rtl w:val="1"/>
        </w:rPr>
        <w:footnoteReference w:id="230"/>
      </w:r>
      <w:r>
        <w:rPr>
          <w:rFonts w:ascii="Times New Roman" w:hAnsi="Times New Roman" w:cs="B Nazanin"/>
          <w:sz w:val="22"/>
          <w:szCs w:val="28"/>
          <w:rtl w:val="1"/>
        </w:rPr>
        <w:t xml:space="preserve"> از اینرو، تعریف و شناسایی خلاءها در حقوق بین‌الملل محیط‌زیست یک مسئله پیچیده، چندبعدی</w:t>
      </w:r>
      <w:r>
        <w:rPr>
          <w:rStyle w:val="FootnoteReference"/>
          <w:rtl w:val="1"/>
        </w:rPr>
        <w:footnoteReference w:id="231"/>
      </w:r>
      <w:r>
        <w:rPr>
          <w:rFonts w:ascii="Times New Roman" w:hAnsi="Times New Roman" w:cs="B Nazanin"/>
          <w:sz w:val="22"/>
          <w:szCs w:val="28"/>
          <w:rtl w:val="1"/>
        </w:rPr>
        <w:t>، ساختاری</w:t>
      </w:r>
      <w:r>
        <w:rPr>
          <w:rStyle w:val="FootnoteReference"/>
          <w:rtl w:val="1"/>
        </w:rPr>
        <w:footnoteReference w:id="232"/>
      </w:r>
      <w:r>
        <w:rPr>
          <w:rFonts w:ascii="Times New Roman" w:hAnsi="Times New Roman" w:cs="B Nazanin"/>
          <w:sz w:val="22"/>
          <w:szCs w:val="28"/>
          <w:rtl w:val="1"/>
        </w:rPr>
        <w:t xml:space="preserve"> و پویا</w:t>
      </w:r>
      <w:r>
        <w:rPr>
          <w:rStyle w:val="FootnoteReference"/>
          <w:rtl w:val="1"/>
        </w:rPr>
        <w:footnoteReference w:id="233"/>
      </w:r>
      <w:r>
        <w:rPr>
          <w:rFonts w:ascii="Times New Roman" w:hAnsi="Times New Roman" w:cs="B Nazanin"/>
          <w:sz w:val="22"/>
          <w:szCs w:val="28"/>
          <w:rtl w:val="1"/>
        </w:rPr>
        <w:t xml:space="preserve"> است که رسیدن به اجماع در مورد چیستی خلاء‌ را یک چالش اساسی نموده است. زیرا اختلاف نظرها در مورد وجود یا فقدان خلاء، تعریف، ماهیت، انواع و نحوه رسیدگی به آنها نشان‌دهنده تفاوت در اولویت‌ها و دیدگاه‌های کشورها است. «آنچه برای یک کشور یک خلاء تلقی می‌شود، ممکن است برای دیگری یک انتخاب طراحی عمدی ناشی از مصالحه‌های سیاسی در مذاکرات باشد.»</w:t>
      </w:r>
      <w:r>
        <w:rPr>
          <w:rStyle w:val="FootnoteReference"/>
          <w:rtl w:val="1"/>
        </w:rPr>
        <w:footnoteReference w:id="234"/>
      </w:r>
      <w:r>
        <w:rPr>
          <w:rFonts w:ascii="Times New Roman" w:hAnsi="Times New Roman" w:cs="B Nazanin"/>
          <w:sz w:val="22"/>
          <w:szCs w:val="28"/>
          <w:rtl w:val="1"/>
        </w:rPr>
        <w:t xml:space="preserve"> این عبارت نشاندهنده این نکته است که خلاءها لزوماً نشان‌دهنده نقص در نظامحقوقی نیستند، چراکه اغلب نتیجه تصمیمات سیاستی، مصالحه‌های سیاسی و طراحی‌های آگاهانه هستند و رسیدگی به آن مستلزم راه‌حل‌های ترکیبی است. رفع خلأها صرفاً از طریق معاهدات جدید ممکن نیست و نیازمند ترکیبی از راهکارهای حقوقی، نهادی و مشارکتی است.</w:t>
      </w:r>
    </w:p>
    <w:p>
      <w:pPr>
        <w:pStyle w:val="GPEHeading3"/>
        <w:bidi w:val="1"/>
        <w:spacing w:line="312" w:lineRule="auto" w:before="200" w:after="120"/>
        <w:jc w:val="right"/>
      </w:pPr>
      <w:r>
        <w:rPr>
          <w:rFonts w:ascii="Times New Roman" w:hAnsi="Times New Roman" w:cs="B Nazanin"/>
          <w:sz w:val="24"/>
          <w:szCs w:val="24"/>
          <w:rtl w:val="1"/>
          <w:b/>
          <w:bCs/>
          <w:color w:val="14203a"/>
        </w:rPr>
        <w:t>۳-۱-۳ خلاءهای مرتبط با اصول حقوق بین الملل محیط زیست وامکان سنجی رفع آن ها</w:t>
      </w:r>
    </w:p>
    <w:p>
      <w:pPr>
        <w:bidi w:val="1"/>
        <w:spacing w:line="312" w:lineRule="auto" w:before="0" w:after="120"/>
        <w:ind w:firstLine="454"/>
        <w:jc w:val="both"/>
      </w:pPr>
      <w:r>
        <w:rPr>
          <w:rFonts w:ascii="Times New Roman" w:hAnsi="Times New Roman" w:cs="B Nazanin"/>
          <w:sz w:val="22"/>
          <w:szCs w:val="28"/>
          <w:rtl w:val="1"/>
        </w:rPr>
        <w:t>اصول کلی حقوقی، به‌عنوان یکی از منابع رسمی حقوق بین‌الملل، در حوزه محیط‌زیست از جایگاهی دوگانه و تا حدودی متزلزل برخوردارند. گزارش دبیرکل، اصول را «بلوک‌های ساختمانی مهم» حقوق بین‌الملل محیط‌زیست توصیف می‌کند که نقش‌های چندگانه‌ای از جمله راهنمایی تفسیر معاهدات، تکمیل قواعد خاص و یکپارچه‌سازی رویکرد بخشی را ایفا می‌کنند. با این حال، همین گزارش به‌صراحت اعلام می‌کند که حقوق بین‌الملل محیط‌زیست فاقد «چارچوب هنجاری فراگیری» است که اصول و قواعد باکاربرد عمومی را تعیین کند. فقدان چنین چارچوبی، یکی از مهم‌ترین خلاءهای ساختاری محسوب می‌شود که بر شفافیت، پیش‌بینی‌پذیری و اجرای اصول تأثیر منفی گذاشته است.</w:t>
      </w:r>
    </w:p>
    <w:p>
      <w:pPr>
        <w:bidi w:val="1"/>
        <w:spacing w:line="312" w:lineRule="auto" w:before="0" w:after="120"/>
        <w:ind w:firstLine="454"/>
        <w:jc w:val="both"/>
      </w:pPr>
      <w:r>
        <w:rPr>
          <w:rFonts w:ascii="Times New Roman" w:hAnsi="Times New Roman" w:cs="B Nazanin"/>
          <w:sz w:val="22"/>
          <w:szCs w:val="28"/>
          <w:rtl w:val="1"/>
        </w:rPr>
        <w:t>گزارش دبیرکل در این بند حول محور دامنه اصول</w:t>
      </w:r>
      <w:r>
        <w:rPr>
          <w:rStyle w:val="FootnoteReference"/>
          <w:rtl w:val="1"/>
        </w:rPr>
        <w:footnoteReference w:id="235"/>
      </w:r>
      <w:r>
        <w:rPr>
          <w:rFonts w:ascii="Times New Roman" w:hAnsi="Times New Roman" w:cs="B Nazanin"/>
          <w:sz w:val="22"/>
          <w:szCs w:val="28"/>
          <w:rtl w:val="1"/>
        </w:rPr>
        <w:t xml:space="preserve"> با هدف بررسی ماهیت و جایگاه اصول در حقوق بینالملل محیطزیست و سپس وضعیت اصول</w:t>
      </w:r>
      <w:r>
        <w:rPr>
          <w:rStyle w:val="FootnoteReference"/>
          <w:rtl w:val="1"/>
        </w:rPr>
        <w:footnoteReference w:id="236"/>
      </w:r>
      <w:r>
        <w:rPr>
          <w:rFonts w:ascii="Times New Roman" w:hAnsi="Times New Roman" w:cs="B Nazanin"/>
          <w:sz w:val="22"/>
          <w:szCs w:val="28"/>
          <w:rtl w:val="1"/>
        </w:rPr>
        <w:t xml:space="preserve"> با تبیین برخی از اصول محیطزیستی و وضعیت حقوقی آنها در حقوق بینالملل تدوین یافتهاست.</w:t>
      </w:r>
    </w:p>
    <w:p>
      <w:pPr>
        <w:pStyle w:val="GPEHeading3"/>
        <w:bidi w:val="1"/>
        <w:spacing w:line="312" w:lineRule="auto" w:before="200" w:after="120"/>
        <w:jc w:val="right"/>
      </w:pPr>
      <w:r>
        <w:rPr>
          <w:rFonts w:ascii="Times New Roman" w:hAnsi="Times New Roman" w:cs="B Nazanin"/>
          <w:sz w:val="24"/>
          <w:szCs w:val="24"/>
          <w:rtl w:val="1"/>
          <w:b/>
          <w:bCs/>
          <w:color w:val="14203a"/>
        </w:rPr>
        <w:t>۳-۱-۳-۱ دامنه اصول</w:t>
      </w:r>
    </w:p>
    <w:p>
      <w:pPr>
        <w:bidi w:val="1"/>
        <w:spacing w:line="312" w:lineRule="auto" w:before="0" w:after="120"/>
        <w:ind w:firstLine="454"/>
        <w:jc w:val="both"/>
      </w:pPr>
      <w:r>
        <w:rPr>
          <w:rFonts w:ascii="Times New Roman" w:hAnsi="Times New Roman" w:cs="B Nazanin"/>
          <w:sz w:val="22"/>
          <w:szCs w:val="28"/>
          <w:rtl w:val="1"/>
        </w:rPr>
        <w:t>به رسمیت شناختن اصول حقوق بینالملل محیطزیست ریشه در کنفرانس استکهلم ۱۹۷۲ سازمان ملل در مورد محیطزیست انسانی دارد که منتهی به اعلامیه استکهلم گردید. برای اینکه تصویب اصول به توسعه مترقی حقوق بین‌الملل منجر گردد، چنین اصولی نیازمند تبدیل شدن به تعهدات الزام‌آور هستند.</w:t>
      </w:r>
      <w:r>
        <w:rPr>
          <w:rStyle w:val="FootnoteReference"/>
          <w:rtl w:val="1"/>
        </w:rPr>
        <w:footnoteReference w:id="237"/>
      </w:r>
    </w:p>
    <w:p>
      <w:pPr>
        <w:bidi w:val="1"/>
        <w:spacing w:line="312" w:lineRule="auto" w:before="0" w:after="120"/>
        <w:ind w:firstLine="454"/>
        <w:jc w:val="both"/>
      </w:pPr>
      <w:r>
        <w:rPr>
          <w:rFonts w:ascii="Times New Roman" w:hAnsi="Times New Roman" w:cs="B Nazanin"/>
          <w:sz w:val="22"/>
          <w:szCs w:val="28"/>
          <w:rtl w:val="1"/>
        </w:rPr>
        <w:t>گزارش دبیرکل در اولین گام، تصویری روشن از جایگاه دوگانه و کارکردهای چندلایه «اصول» در سیستم حقوق بین‌الملل محیطزیست ترسیم می‌کند که خود می‌تواند سرآغاز ایجاد «خلاء» در نظامحقوقی باشد. بسیاری از اصول بنیادین در اسناد غیرالزامآور سیاسی یا اعلامیه‌های محیطزیستی (مانند اعلامیه ریو) ظهور یافته‌اند. این اصول اگرچه الزام‌آور نیستند، اما بهعنوان «بلوک‌های ساختمانی»</w:t>
      </w:r>
      <w:r>
        <w:rPr>
          <w:rStyle w:val="FootnoteReference"/>
          <w:rtl w:val="1"/>
        </w:rPr>
        <w:footnoteReference w:id="238"/>
      </w:r>
      <w:r>
        <w:rPr>
          <w:rFonts w:ascii="Times New Roman" w:hAnsi="Times New Roman" w:cs="B Nazanin"/>
          <w:sz w:val="22"/>
          <w:szCs w:val="28"/>
          <w:rtl w:val="1"/>
        </w:rPr>
        <w:t xml:space="preserve"> و منابع تفسیری و الهام‌بخش برای توسعه معاهدات آتی عمل می‌کنند. برخی اصول در موافقتنامههای چندجانبه محیطزیستی گنجانده شده‌اند. اما یک «خلاء» بالقوه در اینجا وجود دارد و آن دامنه شمول محدود است</w:t>
      </w:r>
      <w:r>
        <w:rPr>
          <w:rStyle w:val="FootnoteReference"/>
          <w:rtl w:val="1"/>
        </w:rPr>
        <w:footnoteReference w:id="239"/>
      </w:r>
      <w:r>
        <w:rPr>
          <w:rFonts w:ascii="Times New Roman" w:hAnsi="Times New Roman" w:cs="B Nazanin"/>
          <w:sz w:val="22"/>
          <w:szCs w:val="28"/>
          <w:rtl w:val="1"/>
        </w:rPr>
        <w:t xml:space="preserve">. اصول تنها در چارچوب آن سند خاص الزام‌آور است و لزوماً قابل تسری به کل نظام حقوق بین‌الملل محیطزیست نیست. با این حال، گزارش دبیرکل تصریح می‌کند که «آن دسته از اصولی که در موافقت‌نامه‌های چندجانبه محیط زیستی گنجانده نشده‌اند، نیز نقش مهمی در هدایت تفسیر و توسعه بیشتر آن موافقت‌نامه‌ها دارند» </w:t>
      </w:r>
      <w:r>
        <w:rPr>
          <w:rStyle w:val="FootnoteReference"/>
          <w:rtl w:val="1"/>
        </w:rPr>
        <w:footnoteReference w:id="240"/>
      </w:r>
      <w:r>
        <w:rPr>
          <w:rFonts w:ascii="Times New Roman" w:hAnsi="Times New Roman" w:cs="B Nazanin"/>
          <w:sz w:val="22"/>
          <w:szCs w:val="28"/>
          <w:rtl w:val="1"/>
        </w:rPr>
        <w:t xml:space="preserve"> این اصول در مقام «پرکردن خلاء»</w:t>
      </w:r>
      <w:r>
        <w:rPr>
          <w:rStyle w:val="FootnoteReference"/>
          <w:rtl w:val="1"/>
        </w:rPr>
        <w:footnoteReference w:id="241"/>
      </w:r>
      <w:r>
        <w:rPr>
          <w:rFonts w:ascii="Times New Roman" w:hAnsi="Times New Roman" w:cs="B Nazanin"/>
          <w:sz w:val="22"/>
          <w:szCs w:val="28"/>
          <w:rtl w:val="1"/>
        </w:rPr>
        <w:t>و نیز بهعنوان معیاری برای تفسیر پویا مفاد موافقتنامههای موجود عمل می‌کنند. به عنوان مثال، وقتی یک معاهده در برابر پدیده‌ای نوین (مثلاً تغییرات اقلیمی یا تکنولوژی‌های نوظهور) ساکت است یا هنجار صریحی ندارد، اصول کلی حقوقی به روزآمدی و انطباق آن معاهده با شرایط جدید کمک می‌کنند.</w:t>
      </w:r>
    </w:p>
    <w:p>
      <w:pPr>
        <w:bidi w:val="1"/>
        <w:spacing w:line="312" w:lineRule="auto" w:before="0" w:after="120"/>
        <w:ind w:firstLine="454"/>
        <w:jc w:val="both"/>
      </w:pPr>
      <w:r>
        <w:rPr>
          <w:rFonts w:ascii="Times New Roman" w:hAnsi="Times New Roman" w:cs="B Nazanin"/>
          <w:sz w:val="22"/>
          <w:szCs w:val="28"/>
          <w:rtl w:val="1"/>
        </w:rPr>
        <w:t>یکی از نکات مهم مورد اشاره در گزارش دبیرکل، خلاءهای ناشی از کاربست منابع حقوقی متفاوت</w:t>
      </w:r>
      <w:r>
        <w:rPr>
          <w:rStyle w:val="FootnoteReference"/>
          <w:rtl w:val="1"/>
        </w:rPr>
        <w:footnoteReference w:id="242"/>
      </w:r>
      <w:r>
        <w:rPr>
          <w:rFonts w:ascii="Times New Roman" w:hAnsi="Times New Roman" w:cs="B Nazanin"/>
          <w:sz w:val="22"/>
          <w:szCs w:val="28"/>
          <w:rtl w:val="1"/>
        </w:rPr>
        <w:t xml:space="preserve"> است. تعدد منابع گاهی به تعارض یا عدم انسجام منجر می‌شود. این گزارش تصریح می‌کند که «اصول همچنین با توجه به خلأهای بالقوه ناشی از استفاده از منابع حقوقی مختلف نقش ایفا می‌کنند» و «حمایت متقابل در حقوق بین‌الملل معاصر، فراتر از پارادایم پرکردن خلأ توسط اصول حقوقی است و در عوض، ترکیب منابع حقوق بین‌الملل را در یک موقعیت معین ایجاب می‌کند»</w:t>
      </w:r>
      <w:r>
        <w:rPr>
          <w:rStyle w:val="FootnoteReference"/>
          <w:rtl w:val="1"/>
        </w:rPr>
        <w:footnoteReference w:id="243"/>
      </w:r>
      <w:r>
        <w:rPr>
          <w:rFonts w:ascii="Times New Roman" w:hAnsi="Times New Roman" w:cs="B Nazanin"/>
          <w:sz w:val="22"/>
          <w:szCs w:val="28"/>
          <w:rtl w:val="1"/>
        </w:rPr>
        <w:t>. گزارش با ظرافت از پارادایم سنتی «پرکردن خلاء» فراتر رفته و مفهوم حمایت متقابل/ هم‌افزایی</w:t>
      </w:r>
      <w:r>
        <w:rPr>
          <w:rStyle w:val="FootnoteReference"/>
          <w:rtl w:val="1"/>
        </w:rPr>
        <w:footnoteReference w:id="244"/>
      </w:r>
      <w:r>
        <w:rPr>
          <w:rFonts w:ascii="Times New Roman" w:hAnsi="Times New Roman" w:cs="B Nazanin"/>
          <w:sz w:val="22"/>
          <w:szCs w:val="28"/>
          <w:rtl w:val="1"/>
        </w:rPr>
        <w:t xml:space="preserve"> را مطرح می‌کند. ریشه‌های حمایت متقابل در عرصه بین‌المللی را باید در دستور کار ۲۱، سند کلیدی که توسط کنفرانس سازمان ملل متحد در مورد محیطزیست و توسعه در سال ۱۹۹۲ تصویب شد، جستجو کرد. این دستور کار تصریح می‌کند که «اقتصاد بین‌الملل باید با... حمایت متقابل تجارت و محیطزیست، فضایی بین‌المللی و حمایتی برای دستیابی به اهداف محیطزیستی و توسعه فراهم کند»</w:t>
      </w:r>
      <w:r>
        <w:rPr>
          <w:rStyle w:val="FootnoteReference"/>
          <w:rtl w:val="1"/>
        </w:rPr>
        <w:footnoteReference w:id="245"/>
      </w:r>
      <w:r>
        <w:rPr>
          <w:rFonts w:ascii="Times New Roman" w:hAnsi="Times New Roman" w:cs="B Nazanin"/>
          <w:sz w:val="22"/>
          <w:szCs w:val="28"/>
          <w:rtl w:val="1"/>
        </w:rPr>
        <w:t xml:space="preserve"> در این پارادایم نوین، اصول صرفاً برای پرکردن نقطه‌ای کور به کار نمی‌روند، بلکه هدف، ترکیب و تلفیق</w:t>
      </w:r>
      <w:r>
        <w:rPr>
          <w:rStyle w:val="FootnoteReference"/>
          <w:rtl w:val="1"/>
        </w:rPr>
        <w:footnoteReference w:id="246"/>
      </w:r>
      <w:r>
        <w:rPr>
          <w:rFonts w:ascii="Times New Roman" w:hAnsi="Times New Roman" w:cs="B Nazanin"/>
          <w:sz w:val="22"/>
          <w:szCs w:val="28"/>
          <w:rtl w:val="1"/>
        </w:rPr>
        <w:t xml:space="preserve"> منابع حقوقی گوناگون برای رسیدن به یک راه‌حل منسجم و هماهنگ است. اینجاست که نقش اصول به عنوان عناصر وحدت‌بخش، پررنگ‌تر از همیشه می‌شود.</w:t>
      </w:r>
    </w:p>
    <w:p>
      <w:pPr>
        <w:bidi w:val="1"/>
        <w:spacing w:line="312" w:lineRule="auto" w:before="0" w:after="120"/>
        <w:ind w:firstLine="454"/>
        <w:jc w:val="both"/>
      </w:pPr>
      <w:r>
        <w:rPr>
          <w:rFonts w:ascii="Times New Roman" w:hAnsi="Times New Roman" w:cs="B Nazanin"/>
          <w:sz w:val="22"/>
          <w:szCs w:val="28"/>
          <w:rtl w:val="1"/>
        </w:rPr>
        <w:t>در بند ۱۰ گزارش دبیرکل، به شکل ظریفی به کارکرد یکپارچه‌سازی رویکرد بخشی حقوق بین‌الملل محیطزیست اشاره شده است. این رویکرد بخشی، که ناشی از شکل‌گیری معاهده‌محور و تدریجی این شاخه از حقوق است، موجب پراکندگی هنجارها و نبود انسجام در نظام حقوقی گردیده است. در این میان، اصول حقوقی می‌توانند با ارائه یک زبان و منطق مشترک، این رویکرد بخشی را تعدیل کرده و نظام را به سمت یک کل بههم پیوسته سوق دهند. گزارش، خلاء نهایی را نه در درون اصول، بلکه در نبود یک «چارچوب مادر» می‌بیند.</w:t>
      </w:r>
      <w:r>
        <w:rPr>
          <w:rStyle w:val="FootnoteReference"/>
          <w:rtl w:val="1"/>
        </w:rPr>
        <w:footnoteReference w:id="247"/>
      </w:r>
      <w:r>
        <w:rPr>
          <w:rFonts w:ascii="Times New Roman" w:hAnsi="Times New Roman" w:cs="B Nazanin"/>
          <w:sz w:val="22"/>
          <w:szCs w:val="28"/>
          <w:rtl w:val="1"/>
        </w:rPr>
        <w:t xml:space="preserve"> پراکندگی موجود اصول در اسناد متعدد با درجات مختلف الزام‌آوری، موجب کاهش کارایی</w:t>
      </w:r>
      <w:r>
        <w:rPr>
          <w:rStyle w:val="FootnoteReference"/>
          <w:rtl w:val="1"/>
        </w:rPr>
        <w:footnoteReference w:id="248"/>
      </w:r>
      <w:r>
        <w:rPr>
          <w:rFonts w:ascii="Times New Roman" w:hAnsi="Times New Roman" w:cs="B Nazanin"/>
          <w:sz w:val="22"/>
          <w:szCs w:val="28"/>
          <w:rtl w:val="1"/>
        </w:rPr>
        <w:t xml:space="preserve"> و اجرای</w:t>
      </w:r>
      <w:r>
        <w:rPr>
          <w:rStyle w:val="FootnoteReference"/>
          <w:rtl w:val="1"/>
        </w:rPr>
        <w:footnoteReference w:id="249"/>
      </w:r>
      <w:r>
        <w:rPr>
          <w:rFonts w:ascii="Times New Roman" w:hAnsi="Times New Roman" w:cs="B Nazanin"/>
          <w:sz w:val="22"/>
          <w:szCs w:val="28"/>
          <w:rtl w:val="1"/>
        </w:rPr>
        <w:t xml:space="preserve"> ناقص این اصول شده است. ازاین‌رو، گزارش به صراحت بر ضرورت تدوین یک سند جامع و یکپارچه‌کننده بین‌المللی</w:t>
      </w:r>
      <w:r>
        <w:rPr>
          <w:rStyle w:val="FootnoteReference"/>
          <w:rtl w:val="1"/>
        </w:rPr>
        <w:footnoteReference w:id="250"/>
      </w:r>
      <w:r>
        <w:rPr>
          <w:rFonts w:ascii="Times New Roman" w:hAnsi="Times New Roman" w:cs="B Nazanin"/>
          <w:sz w:val="22"/>
          <w:szCs w:val="28"/>
          <w:rtl w:val="1"/>
        </w:rPr>
        <w:t xml:space="preserve"> تأکید می‌کند که تمامی اصول حقوق محیطزیست را بهصورت شفاف و منسجم گرد همآورد. چنین سندی نه تنها خلآءهای اجرایی را کاهش می‌دهد، بلکه با تثبیت جایگاه اصول، نقش آنها را در ایجاد انسجام و هم‌افزایی در کل نظام حقوق بین‌الملل نهادینه می‌سازد.</w:t>
      </w:r>
    </w:p>
    <w:p>
      <w:pPr>
        <w:bidi w:val="1"/>
        <w:spacing w:line="312" w:lineRule="auto" w:before="0" w:after="120"/>
        <w:ind w:firstLine="454"/>
        <w:jc w:val="both"/>
      </w:pPr>
      <w:r>
        <w:rPr>
          <w:rFonts w:ascii="Times New Roman" w:hAnsi="Times New Roman" w:cs="B Nazanin"/>
          <w:sz w:val="22"/>
          <w:szCs w:val="28"/>
          <w:rtl w:val="1"/>
        </w:rPr>
        <w:t>در مقام ارزیابی می‌توان اذعان نمود که اصول حقوق بین‌الملل محیطزیست در حال گذار از نقشی صرفاً تکمیلی به نقشی ساختاری و بنیادین هستند. خلاءهای موجود در این نظام حقوقی که ناشی از دامنه محدود معاهدات، پراکندگی منابع حقوقی و رویکرد واکنشی و بخشی به مسائل محیطزیستی است، نه تنها مانعی بر سر راه کارآمدی این اصول محسوب نمی‌شود، بلکه اهمیت راهبردی آنها را دوچندان می‌کند. زیرا دقیقاً در مواجهه با این خلاءهاست که قابلیت اصول در پرکردن خلاء، تفسیر یکپارچه و ایجاد انسجام میان رژیم‌های حقوقی پراکنده آشکار می‌گردد. با این حال، کارآمدی نهایی این اصول، در گروی حرکت جامعهبین‌المللی بهسمت تدوین و توسعه تدریجی آنها در قالب یک سند جامع و الزام‌آور است. چنین سندی می‌تواند با تجمیع اصول پراکنده، رفع ابهامات موجود در مورد ماهیت و دامنه آنها و تثبیت جایگاه هنجاری‌شان، زمینه را برای اجرای مؤثر و یکپارچه این اصول در سراسر نظام حقوق بین‌الملل محیطزیست فراهم آورد.</w:t>
      </w:r>
    </w:p>
    <w:p>
      <w:pPr>
        <w:pStyle w:val="GPEHeading3"/>
        <w:bidi w:val="1"/>
        <w:spacing w:line="312" w:lineRule="auto" w:before="200" w:after="120"/>
        <w:jc w:val="right"/>
      </w:pPr>
      <w:r>
        <w:rPr>
          <w:rFonts w:ascii="Times New Roman" w:hAnsi="Times New Roman" w:cs="B Nazanin"/>
          <w:sz w:val="24"/>
          <w:szCs w:val="24"/>
          <w:rtl w:val="1"/>
          <w:b/>
          <w:bCs/>
          <w:color w:val="14203a"/>
        </w:rPr>
        <w:t>۳-۱-۳-۲ وضعیت اصول</w:t>
      </w:r>
    </w:p>
    <w:p>
      <w:pPr>
        <w:bidi w:val="1"/>
        <w:spacing w:line="312" w:lineRule="auto" w:before="0" w:after="120"/>
        <w:ind w:firstLine="454"/>
        <w:jc w:val="both"/>
      </w:pPr>
      <w:r>
        <w:rPr>
          <w:rFonts w:ascii="Times New Roman" w:hAnsi="Times New Roman" w:cs="B Nazanin"/>
          <w:sz w:val="22"/>
          <w:szCs w:val="28"/>
          <w:rtl w:val="1"/>
        </w:rPr>
        <w:t>در خصوص وضعیت اصول، گزارش به بررسی مختصر 9 اصل محیطزیستی</w:t>
      </w:r>
      <w:r>
        <w:rPr>
          <w:rStyle w:val="FootnoteReference"/>
          <w:rtl w:val="1"/>
        </w:rPr>
        <w:footnoteReference w:id="251"/>
      </w:r>
      <w:r>
        <w:rPr>
          <w:rFonts w:ascii="Times New Roman" w:hAnsi="Times New Roman" w:cs="B Nazanin"/>
          <w:sz w:val="22"/>
          <w:szCs w:val="28"/>
          <w:rtl w:val="1"/>
        </w:rPr>
        <w:t xml:space="preserve"> پرداخته است که صرفاً توصیفی از اصول ارزیابی نمیشود، بلکه بیانگر چالش هنجاری اصول و چالش موجود میان نقش آرمانگرایانه اصول و واقعیت حقوقی موجود است. مستفاد از توضیح مختصر از هر اصل میتوان دریافت که گزارش در مقام بیان نکات زیر است. نخست، عدم شفافیت در محتوا و دامنه شمول برخی اصول از جمله تعریف دقیق، محتوای مشخص و حدود کاربرد اصول در اسناد بینالمللی نظیر حق بر محیطزیست پاک و سالم است. دوم، تنوع تفسیری برخی از اصول همچون توسعه پایدار یا مسئولیت مشترک اما متفاوت نیز به دلیل ذات پویا و منعطف، موجب میگردد که اسناد بینالمللی مختلف به شکلهای گوناگون تفسیر و اجرا شوند و در نهایت منتهی به عدم وحدترویه گردد. البته این ویژگی را میتوان هم نقطه قوتی برای انعطافپذیری و هم نقطه ضعفی برای قابلیت پیشبینی اصول ارزیابی کرد. سوم، وضعیت اصول نوظهوری همچون عدم پسرفت</w:t>
      </w:r>
      <w:r>
        <w:rPr>
          <w:rStyle w:val="FootnoteReference"/>
          <w:rtl w:val="1"/>
        </w:rPr>
        <w:footnoteReference w:id="252"/>
      </w:r>
      <w:r>
        <w:rPr>
          <w:rFonts w:ascii="Times New Roman" w:hAnsi="Times New Roman" w:cs="B Nazanin"/>
          <w:sz w:val="22"/>
          <w:szCs w:val="28"/>
          <w:rtl w:val="1"/>
        </w:rPr>
        <w:t>، که هنوز در اسناد محدودی مانند موافقتنامه پاریس ظهور یافتهاند و در حقوق بینالملل عرفی یا معاهدهای نهادینه نشدهاند، وضعیت بلاتکلیف و در هالهای از ابهام ارزیابی میشود.</w:t>
      </w:r>
    </w:p>
    <w:p>
      <w:pPr>
        <w:bidi w:val="1"/>
        <w:spacing w:line="312" w:lineRule="auto" w:before="0" w:after="120"/>
        <w:ind w:firstLine="454"/>
        <w:jc w:val="both"/>
      </w:pPr>
      <w:r>
        <w:rPr>
          <w:rFonts w:ascii="Times New Roman" w:hAnsi="Times New Roman" w:cs="B Nazanin"/>
          <w:sz w:val="22"/>
          <w:szCs w:val="28"/>
          <w:rtl w:val="1"/>
        </w:rPr>
        <w:t>گزارش دبیرکل بهصورت ضمنی به «عدم قطعیت حقوقی» و «ابهام در جایگاه حقوقی» برخی از اصول به دلایلی همچون درج در اسناد غیرالزامآور مانند اصل حق بر محیطزیست پاک و سالم</w:t>
      </w:r>
      <w:r>
        <w:rPr>
          <w:rStyle w:val="FootnoteReference"/>
          <w:rtl w:val="1"/>
        </w:rPr>
        <w:footnoteReference w:id="253"/>
      </w:r>
      <w:r>
        <w:rPr>
          <w:rFonts w:ascii="Times New Roman" w:hAnsi="Times New Roman" w:cs="B Nazanin"/>
          <w:sz w:val="22"/>
          <w:szCs w:val="28"/>
          <w:rtl w:val="1"/>
        </w:rPr>
        <w:t>، فقدان اجماع قضایی در خصوص برخی اصول مانند اصل احتیاط</w:t>
      </w:r>
      <w:r>
        <w:rPr>
          <w:rStyle w:val="FootnoteReference"/>
          <w:rtl w:val="1"/>
        </w:rPr>
        <w:footnoteReference w:id="254"/>
      </w:r>
      <w:r>
        <w:rPr>
          <w:rFonts w:ascii="Times New Roman" w:hAnsi="Times New Roman" w:cs="B Nazanin"/>
          <w:sz w:val="22"/>
          <w:szCs w:val="28"/>
          <w:rtl w:val="1"/>
        </w:rPr>
        <w:t xml:space="preserve"> و فقدان کاربرد جهانی برخی اصول مانند اجرای اصل پرداخت آلودهکننده</w:t>
      </w:r>
      <w:r>
        <w:rPr>
          <w:rStyle w:val="FootnoteReference"/>
          <w:rtl w:val="1"/>
        </w:rPr>
        <w:footnoteReference w:id="255"/>
      </w:r>
      <w:r>
        <w:rPr>
          <w:rFonts w:ascii="Times New Roman" w:hAnsi="Times New Roman" w:cs="B Nazanin"/>
          <w:sz w:val="22"/>
          <w:szCs w:val="28"/>
          <w:rtl w:val="1"/>
        </w:rPr>
        <w:t xml:space="preserve"> میپردازد. در مقوله اجرا نیز گزارش نشان می‌دهد که برخی اصول در غیاب سازوکارهای نظارتی قدرتمند با چالش مواجه هستند. بهعنوان مثال، رکن حل و فصل اختلاف سازمان تجارت جهانی در خصوص اجرای اصل احتیاط ملاحظاتی دارد.</w:t>
      </w:r>
      <w:r>
        <w:rPr>
          <w:rStyle w:val="FootnoteReference"/>
          <w:rtl w:val="1"/>
        </w:rPr>
        <w:footnoteReference w:id="256"/>
      </w:r>
    </w:p>
    <w:p>
      <w:pPr>
        <w:bidi w:val="1"/>
        <w:spacing w:line="312" w:lineRule="auto" w:before="0" w:after="120"/>
        <w:ind w:firstLine="454"/>
        <w:jc w:val="both"/>
      </w:pPr>
      <w:r>
        <w:rPr>
          <w:rFonts w:ascii="Times New Roman" w:hAnsi="Times New Roman" w:cs="B Nazanin"/>
          <w:sz w:val="22"/>
          <w:szCs w:val="28"/>
          <w:rtl w:val="1"/>
        </w:rPr>
        <w:t>براساس بندهای 8 الی 22 گزارش دبیرکل در مییابیم که که اصول کلی حقوق محیطزیست دارای سه کارکرد اساسی هستند. اول، بهعنوان مبنایی برای تفسیر مقررات معاهدات محیطزیستی عمل می‌کنند، دوم، خلاءهای حقوقی موجود در نظام‌های موضوعی را پر می‌کنند و سوم، امکان تعامل نظام‌های حقوقی مختلف را فراهم می‌آورند. در مقام ارزیابی میتوان گفت، اول، تنوع تفسیری برخی از اصول بهدلیل ذات پویا و منعطف، موجب میگردد که اسناد بینالمللی مختلف بهشکلهای گوناگون تفسیر و اجرا شوند. دوم، علیرغم اینکه اصول محیطزیستی اغلب خلاءهای موجود در حقوق بینالملل محیطزیست را رفع میکند، اما خود این اصول نیز دچار یک سری خلاءهایی در تعریف و اجرا هستند. روح گزارش حاکی از عملکرد دوگانه اصول است: آنها هم ابزاری برای پرکردن خلاء‌ هستند و هم منشأ خودِ خلاء. این پارادوکس قابل توجه است. بهعنوان مثال، اصول قرار است انسجام فراهم کنند، اما محتوا و جایگاه نامشخص خود آنها به ناسازگاری می‌انجامد. این عدم قطعیت حقوقی تأثیر مستقیم و غیرمستقیمی بر قابلیت پیش‌بینی و اجرای حقوق بینالملل محیطزیست دارد. سوم، در کاربرد فرارژیمی اصول، تعامل اصول حقوق بینالملل محیطزیست با نظامهای حقوقی دیگر همچون تجارت، سرمایه‌گذاری و حقوق بشر، با موانعی مواجه میشود که در ادامه به آنها خواهیم پرداخت.</w:t>
      </w:r>
    </w:p>
    <w:p>
      <w:pPr>
        <w:bidi w:val="1"/>
        <w:spacing w:line="312" w:lineRule="auto" w:before="0" w:after="120"/>
        <w:ind w:firstLine="454"/>
        <w:jc w:val="both"/>
      </w:pPr>
      <w:r>
        <w:rPr>
          <w:rFonts w:ascii="Times New Roman" w:hAnsi="Times New Roman" w:cs="B Nazanin"/>
          <w:sz w:val="22"/>
          <w:szCs w:val="28"/>
          <w:rtl w:val="1"/>
        </w:rPr>
        <w:t>در نتیجه، چالش محوری حقوق بین‌الملل محیطزیست معاصر، کمبود هنجارها نیست، بلکه بحرانی از مرجعیت هنجاری، یکپارچگی و کارکرد است. فقدان یک چارچوب فراگیر و یکپارچه که اصول را بهصورت منسجم و جهانشمول بیان کند، یکی از مهمترین خلاءهای ساختاری حقوق بینالملل محیطزیست محسوب میشود. فارغ از آن، عدم شفافیت در دامنه و وضعیت اصول، باعث ایجاد اختلال در همکاری بین کشورها و نهادهای بینالمللی و همینطور ممانعت از شکلگیری رویه قضایی یکپارچه و توسعه تدریجی حقوق بینالملل عرفی محیطزیست میشود. بنابراین، حرکت به سمت یکپارچگی هنجاری، شفافیت حقوقی و تقویت سازوکارهای اجرایی را بهعنوان ضرورتی اجتنابناپذیر در حقوق بینالملل محیطزیست مطرح میکند.</w:t>
      </w:r>
    </w:p>
    <w:p>
      <w:pPr>
        <w:pStyle w:val="GPEHeading3"/>
        <w:bidi w:val="1"/>
        <w:spacing w:line="312" w:lineRule="auto" w:before="200" w:after="120"/>
        <w:jc w:val="right"/>
      </w:pPr>
      <w:r>
        <w:rPr>
          <w:rFonts w:ascii="Times New Roman" w:hAnsi="Times New Roman" w:cs="B Nazanin"/>
          <w:sz w:val="24"/>
          <w:szCs w:val="24"/>
          <w:rtl w:val="1"/>
          <w:b/>
          <w:bCs/>
          <w:color w:val="14203a"/>
        </w:rPr>
        <w:t>۳-۱-۴ خلاءهای مرتبط با رژیمهای مقرراتی بخشی موجود</w:t>
      </w:r>
    </w:p>
    <w:p>
      <w:pPr>
        <w:bidi w:val="1"/>
        <w:spacing w:line="312" w:lineRule="auto" w:before="0" w:after="120"/>
        <w:ind w:firstLine="454"/>
        <w:jc w:val="both"/>
      </w:pPr>
      <w:r>
        <w:rPr>
          <w:rFonts w:ascii="Times New Roman" w:hAnsi="Times New Roman" w:cs="B Nazanin"/>
          <w:sz w:val="22"/>
          <w:szCs w:val="28"/>
          <w:rtl w:val="1"/>
        </w:rPr>
        <w:t>از زمان شکل‌گیری مدرن حقوق بین‌الملل محیطزیست در دهه ۱۹۶۰، این نظام حقوقی با سه چالش اساسی روبهرو بوده است: توجیه نیاز به تنظیم بین‌المللی مسائل محیط‌زیستی (مشروعیت)</w:t>
      </w:r>
      <w:r>
        <w:rPr>
          <w:rStyle w:val="FootnoteReference"/>
          <w:rtl w:val="1"/>
        </w:rPr>
        <w:footnoteReference w:id="257"/>
      </w:r>
      <w:r>
        <w:rPr>
          <w:rFonts w:ascii="Times New Roman" w:hAnsi="Times New Roman" w:cs="B Nazanin"/>
          <w:sz w:val="22"/>
          <w:szCs w:val="28"/>
          <w:rtl w:val="1"/>
        </w:rPr>
        <w:t>؛ یافتن سازوکارهایی برای تضمین اجرا و پایبندی با حقوق بین‌الملل محیطزیست (کارایی)</w:t>
      </w:r>
      <w:r>
        <w:rPr>
          <w:rStyle w:val="FootnoteReference"/>
          <w:rtl w:val="1"/>
        </w:rPr>
        <w:footnoteReference w:id="258"/>
      </w:r>
      <w:r>
        <w:rPr>
          <w:rFonts w:ascii="Times New Roman" w:hAnsi="Times New Roman" w:cs="B Nazanin"/>
          <w:sz w:val="22"/>
          <w:szCs w:val="28"/>
          <w:rtl w:val="1"/>
        </w:rPr>
        <w:t>؛ و توزیع عادلانه منافع و هزینه‌های حفاظت از محیطزیست (انصاف)</w:t>
      </w:r>
      <w:r>
        <w:rPr>
          <w:rStyle w:val="FootnoteReference"/>
          <w:rtl w:val="1"/>
        </w:rPr>
        <w:footnoteReference w:id="259"/>
      </w:r>
      <w:r>
        <w:rPr>
          <w:rFonts w:ascii="Times New Roman" w:hAnsi="Times New Roman" w:cs="B Nazanin"/>
          <w:sz w:val="22"/>
          <w:szCs w:val="28"/>
          <w:rtl w:val="1"/>
        </w:rPr>
        <w:t>. اگرچه امروزه می‌توان گفت که نیاز به تنظیم «بین‌المللی» برخی از مسائل محیط‌زیستی دیگر محل تردید نیست، اما چالش‌های دوم و سوم هرگز به اندازه امروز فوری و حیاتی نبوده‌اند. این امر به ویژه در زمینه بازطراحی نظام حقوق بینالملل محیطزیست صادق است، زیرا ممکن است راهکارهای رفع چالش‌های دوم و سوم با یکدیگر در تعارض باشند.</w:t>
      </w:r>
      <w:r>
        <w:rPr>
          <w:rStyle w:val="FootnoteReference"/>
          <w:rtl w:val="1"/>
        </w:rPr>
        <w:footnoteReference w:id="260"/>
      </w:r>
    </w:p>
    <w:p>
      <w:pPr>
        <w:bidi w:val="1"/>
        <w:spacing w:line="312" w:lineRule="auto" w:before="0" w:after="120"/>
        <w:ind w:firstLine="454"/>
        <w:jc w:val="both"/>
      </w:pPr>
      <w:r>
        <w:rPr>
          <w:rFonts w:ascii="Times New Roman" w:hAnsi="Times New Roman" w:cs="B Nazanin"/>
          <w:sz w:val="22"/>
          <w:szCs w:val="28"/>
          <w:rtl w:val="1"/>
        </w:rPr>
        <w:t>گزارش دبیرکل ذیل عنوان خلاءهای مرتبط با رژیمهای مقرراتی بخشی موجود</w:t>
      </w:r>
      <w:r>
        <w:rPr>
          <w:rStyle w:val="FootnoteReference"/>
          <w:rtl w:val="1"/>
        </w:rPr>
        <w:footnoteReference w:id="261"/>
      </w:r>
      <w:r>
        <w:rPr>
          <w:rFonts w:ascii="Times New Roman" w:hAnsi="Times New Roman" w:cs="B Nazanin"/>
          <w:sz w:val="22"/>
          <w:szCs w:val="28"/>
          <w:rtl w:val="1"/>
        </w:rPr>
        <w:t xml:space="preserve"> بهصورت ضمنی به یک تنش ساختاری در حقوق بین‌الملل محیطزیست اشاره می‌کند: از یک سو، ماهیت جهانی تهدیدات محیط زیستی، «اقدام جمعی» و «مشارکت حداکثری» را ایجاب می‌کند.</w:t>
      </w:r>
      <w:r>
        <w:rPr>
          <w:rStyle w:val="FootnoteReference"/>
          <w:rtl w:val="1"/>
        </w:rPr>
        <w:footnoteReference w:id="262"/>
      </w:r>
      <w:r>
        <w:rPr>
          <w:rFonts w:ascii="Times New Roman" w:hAnsi="Times New Roman" w:cs="B Nazanin"/>
          <w:sz w:val="22"/>
          <w:szCs w:val="28"/>
          <w:rtl w:val="1"/>
        </w:rPr>
        <w:t xml:space="preserve"> از سوی دیگر، ضرورت جذب بازیگران با «شرایط و اولویت‌های ملی متنوع»، به «سازش‌های سیاسی» منجر می‌شود.</w:t>
      </w:r>
      <w:r>
        <w:rPr>
          <w:rStyle w:val="FootnoteReference"/>
          <w:rtl w:val="1"/>
        </w:rPr>
        <w:footnoteReference w:id="263"/>
      </w:r>
      <w:r>
        <w:rPr>
          <w:rFonts w:ascii="Times New Roman" w:hAnsi="Times New Roman" w:cs="B Nazanin"/>
          <w:sz w:val="22"/>
          <w:szCs w:val="28"/>
          <w:rtl w:val="1"/>
        </w:rPr>
        <w:t xml:space="preserve"> چالش ایجاد تعهدات بلندپروازانه در مقابل فراگیری سند، قابل اجرا بودن تعهدات و پایبندی در طراحی موافقتنامههای چندجانبه محیطزیستی و غلبه مصلحتاندیشی سیاسی مشهود است. چگونه می‌توان موافقتنامه‌ای طراحی کرد که همزمان مشارکت حداکثری کشورها را جلب کند و تعهدات کافی برای حل مؤثر بحران‌های جهانی ایجاد نماید. تاجایی که گزارش اعلام میدارد که " مشارکت گسترده همچنین به مفاهیم عملی از انصاف</w:t>
      </w:r>
      <w:r>
        <w:rPr>
          <w:rStyle w:val="FootnoteReference"/>
          <w:rtl w:val="1"/>
        </w:rPr>
        <w:footnoteReference w:id="264"/>
      </w:r>
      <w:r>
        <w:rPr>
          <w:rFonts w:ascii="Times New Roman" w:hAnsi="Times New Roman" w:cs="B Nazanin"/>
          <w:sz w:val="22"/>
          <w:szCs w:val="28"/>
          <w:rtl w:val="1"/>
        </w:rPr>
        <w:t>، از جمله تقسیم عادلانه بار</w:t>
      </w:r>
      <w:r>
        <w:rPr>
          <w:rStyle w:val="FootnoteReference"/>
          <w:rtl w:val="1"/>
        </w:rPr>
        <w:footnoteReference w:id="265"/>
      </w:r>
      <w:r>
        <w:rPr>
          <w:rFonts w:ascii="Times New Roman" w:hAnsi="Times New Roman" w:cs="B Nazanin"/>
          <w:sz w:val="22"/>
          <w:szCs w:val="28"/>
          <w:rtl w:val="1"/>
        </w:rPr>
        <w:t xml:space="preserve"> و اشتراک مسئولیت</w:t>
      </w:r>
      <w:r>
        <w:rPr>
          <w:rStyle w:val="FootnoteReference"/>
          <w:rtl w:val="1"/>
        </w:rPr>
        <w:footnoteReference w:id="266"/>
      </w:r>
      <w:r>
        <w:rPr>
          <w:rFonts w:ascii="Times New Roman" w:hAnsi="Times New Roman" w:cs="B Nazanin"/>
          <w:sz w:val="22"/>
          <w:szCs w:val="28"/>
          <w:rtl w:val="1"/>
        </w:rPr>
        <w:t>، وابسته است."</w:t>
      </w:r>
      <w:r>
        <w:rPr>
          <w:rStyle w:val="FootnoteReference"/>
          <w:rtl w:val="1"/>
        </w:rPr>
        <w:footnoteReference w:id="267"/>
      </w:r>
      <w:r>
        <w:rPr>
          <w:rFonts w:ascii="Times New Roman" w:hAnsi="Times New Roman" w:cs="B Nazanin"/>
          <w:sz w:val="22"/>
          <w:szCs w:val="28"/>
          <w:rtl w:val="1"/>
        </w:rPr>
        <w:t xml:space="preserve"> این جمله به این نکته اشاره دارد که برای جلب همکاری و مشارکت گسترده کشورها در توافق‌های بین‌المللی، لازم است که اصل انصاف در نظر گرفته شود.</w:t>
      </w:r>
    </w:p>
    <w:p>
      <w:pPr>
        <w:bidi w:val="1"/>
        <w:spacing w:line="312" w:lineRule="auto" w:before="0" w:after="120"/>
        <w:ind w:firstLine="454"/>
        <w:jc w:val="both"/>
      </w:pPr>
      <w:r>
        <w:rPr>
          <w:rFonts w:ascii="Times New Roman" w:hAnsi="Times New Roman" w:cs="B Nazanin"/>
          <w:sz w:val="22"/>
          <w:szCs w:val="28"/>
          <w:rtl w:val="1"/>
        </w:rPr>
        <w:t xml:space="preserve">موافقت‌نامه‌های چندجانبه محیطزیستی اغلب حاوی مقرراتی هستند که شرایط مختلف کشورها را در نظر می‌گیرند. برایناساس، گروههای خاصی از دولت‌ها، اغلب کشورهای درحالتوسعه، مشمول تعهدات «نرم‌تر» هستند، به‌عنوان مثال دوره‌های طولانی‌تر حذف تدریجی یا اهداف انعطاف‌پذیرتر، درحالی که کشورهایتوسعهیافته مشمول تعهداتی برای ارائه حمایتهای مالی، فناوری و ظرفیتسازی برای کشورهای درحالتوسعه و اقتصادهای درحالگذار هستند. </w:t>
      </w:r>
      <w:r>
        <w:rPr>
          <w:rStyle w:val="FootnoteReference"/>
          <w:rtl w:val="1"/>
        </w:rPr>
        <w:footnoteReference w:id="268"/>
      </w:r>
      <w:r>
        <w:rPr>
          <w:rFonts w:ascii="Times New Roman" w:hAnsi="Times New Roman" w:cs="B Nazanin"/>
          <w:sz w:val="22"/>
          <w:szCs w:val="28"/>
          <w:rtl w:val="1"/>
        </w:rPr>
        <w:t xml:space="preserve"> وجود این رویکرد در مذاکرات بین‌المللی محیطزیست حاکی از لحاظ انصاف به مثابه شرط مشارکت جهانی است. در نتیجه، موافقتنامه‌های چندجانبه محیطزیستی محصول سازش‌های سیاسی بین کشورهایی با منافع، ظرفیت‌ها و اولویت‌های اقتصادی-اجتماعی متفاوت هستند. این سازش‌ها منجر به ابهامات به تعبیری سازنده و خلاءهای اغلب عمدی در متن موافقتنامهها می‌شوند و در بلندمدت می‌تواند به کاهش شفافیت، تفسیرهای متفاوت، و ضعف در اجرا بینجامد.</w:t>
      </w:r>
      <w:r>
        <w:rPr>
          <w:rStyle w:val="FootnoteReference"/>
          <w:rtl w:val="1"/>
        </w:rPr>
        <w:footnoteReference w:id="269"/>
      </w:r>
      <w:r>
        <w:rPr>
          <w:rFonts w:ascii="Times New Roman" w:hAnsi="Times New Roman" w:cs="B Nazanin"/>
          <w:sz w:val="22"/>
          <w:szCs w:val="28"/>
          <w:rtl w:val="1"/>
        </w:rPr>
        <w:t xml:space="preserve"> لذا، «ابهام سازنده»</w:t>
      </w:r>
      <w:r>
        <w:rPr>
          <w:rStyle w:val="FootnoteReference"/>
          <w:rtl w:val="1"/>
        </w:rPr>
        <w:footnoteReference w:id="270"/>
      </w:r>
      <w:r>
        <w:rPr>
          <w:rFonts w:ascii="Times New Roman" w:hAnsi="Times New Roman" w:cs="B Nazanin"/>
          <w:sz w:val="22"/>
          <w:szCs w:val="28"/>
          <w:rtl w:val="1"/>
        </w:rPr>
        <w:t xml:space="preserve"> یک راهبرد عمدی در مذاکرات چندجانبه محیطزیستی است که به بهای کاهش شفافیت و قابلیت پیش‌بینی، امکان حصول توافق را فراهم می‌کند. ساختار مبتنی بر مصالحه باعث تقابل کارایی و انصاف می‌گردد و در نهایت، کارایی نظام حقوق بینالملل محیطزیست قربانی مقبولیت و مشروعیت آن می‌گردد.</w:t>
      </w:r>
    </w:p>
    <w:p>
      <w:pPr>
        <w:bidi w:val="1"/>
        <w:spacing w:line="312" w:lineRule="auto" w:before="0" w:after="120"/>
        <w:ind w:firstLine="454"/>
        <w:jc w:val="both"/>
      </w:pPr>
      <w:r>
        <w:rPr>
          <w:rFonts w:ascii="Times New Roman" w:hAnsi="Times New Roman" w:cs="B Nazanin"/>
          <w:sz w:val="22"/>
          <w:szCs w:val="28"/>
          <w:rtl w:val="1"/>
        </w:rPr>
        <w:t>گزارش در همین بخش اذعان دارد که آینده حقوق بین‌الملل محیطزیست نه به سمت یکنواخت‌سازی تعهدات، بلکه به سوی تفکیک و انعطاف بیشتر خواهد رفت.</w:t>
      </w:r>
      <w:r>
        <w:rPr>
          <w:rStyle w:val="FootnoteReference"/>
          <w:rtl w:val="1"/>
        </w:rPr>
        <w:footnoteReference w:id="271"/>
      </w:r>
      <w:r>
        <w:rPr>
          <w:rFonts w:ascii="Times New Roman" w:hAnsi="Times New Roman" w:cs="B Nazanin"/>
          <w:sz w:val="22"/>
          <w:szCs w:val="28"/>
          <w:rtl w:val="1"/>
        </w:rPr>
        <w:t xml:space="preserve"> این امر قاعدتا به دلیل تغییرات مداوم در شرایط ملی کشورها، ظهور بازیگران جدید بین‌المللی با اولویت‌های متفاوت و نیاز به پاسخگویی به بحران‌های نوظهور خواهد بود.</w:t>
      </w:r>
    </w:p>
    <w:p>
      <w:pPr>
        <w:bidi w:val="1"/>
        <w:spacing w:line="312" w:lineRule="auto" w:before="0" w:after="120"/>
        <w:ind w:firstLine="454"/>
        <w:jc w:val="both"/>
      </w:pPr>
      <w:r>
        <w:rPr>
          <w:rFonts w:ascii="Times New Roman" w:hAnsi="Times New Roman" w:cs="B Nazanin"/>
          <w:sz w:val="22"/>
          <w:szCs w:val="28"/>
          <w:rtl w:val="1"/>
        </w:rPr>
        <w:t>در ادامه توضیحات فوق، گزارش دبیرکل به جای ارائه یک فهرست سادهای از خلاءهای موجود در موافقتنامههای چندجانبه محیطزیستی از حیث مقررات، با طبقهبندی اسناد در 5 گروه حفاظت از اتمسفر، تنوعزیستی، منابع آب شیرین، اقیانوسها و دریاها، مواد، پسماندها و فعالیتهای خطرناک و توضیحات کافی در خصوص آنها، خلاءهایی را در سطح هنجارسازی، نهادی، اجرایی شناسایی میکند. در ادامه براساس بندهای 26 الی 70 گزارش، فهرستی از خلاءها تدوین میشود.</w:t>
      </w:r>
    </w:p>
    <w:p>
      <w:pPr>
        <w:bidi w:val="1"/>
        <w:spacing w:line="312" w:lineRule="auto" w:before="0" w:after="120"/>
        <w:ind w:firstLine="454"/>
        <w:jc w:val="both"/>
      </w:pPr>
      <w:r>
        <w:rPr>
          <w:rFonts w:ascii="Times New Roman" w:hAnsi="Times New Roman" w:cs="B Nazanin"/>
          <w:sz w:val="22"/>
          <w:szCs w:val="28"/>
          <w:rtl w:val="1"/>
        </w:rPr>
        <w:t>1. پراکندگی هنجاری و فقدان چارچوب حاکم</w:t>
      </w:r>
      <w:r>
        <w:rPr>
          <w:rStyle w:val="FootnoteReference"/>
          <w:rtl w:val="1"/>
        </w:rPr>
        <w:footnoteReference w:id="272"/>
      </w:r>
      <w:r>
        <w:rPr>
          <w:rFonts w:ascii="Times New Roman" w:hAnsi="Times New Roman" w:cs="B Nazanin"/>
          <w:sz w:val="22"/>
          <w:szCs w:val="28"/>
          <w:rtl w:val="1"/>
        </w:rPr>
        <w:t>: حقوق بین‌الملل محیط‌زیست فاقد یک چارچوب حاکم یکپارچه و فرابخشی است و به جای آن، از مجموعه‌ای پراکنده از هنجارهای بخشی تشکیل شده است که در قالب بیش از ۵۰۰ موافقتنامه چندجانبه محیط‌زیستی شکل گرفته‌اند. «اصطلاح «پراکندگی»</w:t>
      </w:r>
      <w:r>
        <w:rPr>
          <w:rStyle w:val="FootnoteReference"/>
          <w:rtl w:val="1"/>
        </w:rPr>
        <w:footnoteReference w:id="273"/>
      </w:r>
      <w:r>
        <w:rPr>
          <w:rFonts w:ascii="Times New Roman" w:hAnsi="Times New Roman" w:cs="B Nazanin"/>
          <w:sz w:val="22"/>
          <w:szCs w:val="28"/>
          <w:rtl w:val="1"/>
        </w:rPr>
        <w:t xml:space="preserve"> در مورد حقوق بین‌الملل هم به عنوان یک اصطلاح توصیفی و هم- به طور رایج‌تر - به عنوان ابراز تأسف به کار می‌رود. پراکندگی که با «ظهور قواعد یا مجموعه‌قواعد تخصصی و (نسبتاً) خودمختار، نهادهای حقوقی و حوزه‌های رویه قضایی» مشخص می‌شود، بر انزوا و گسست میان رژیم‌ها و نهادها تأکید دارد. پراکندگی موجود در حقوق بین‌الملل محیط زیست منجر به تکالیف حقوقی و سیاستی همپوشان و گاه متعارض می‌شود.»</w:t>
      </w:r>
      <w:r>
        <w:rPr>
          <w:rStyle w:val="FootnoteReference"/>
          <w:rtl w:val="1"/>
        </w:rPr>
        <w:footnoteReference w:id="274"/>
      </w:r>
      <w:r>
        <w:rPr>
          <w:rFonts w:ascii="Times New Roman" w:hAnsi="Times New Roman" w:cs="B Nazanin"/>
          <w:sz w:val="22"/>
          <w:szCs w:val="28"/>
          <w:rtl w:val="1"/>
        </w:rPr>
        <w:t xml:space="preserve"> پراکندگی از نوع هنجاری نیز منجر به ناهماهنگی، همپوشانی تعارض‌آمیز و فقدان شفافیت و انسجام در قواعد می‌شود. بهعنوان مثال، در بخش حفاظت از اتمسفر</w:t>
      </w:r>
      <w:r>
        <w:rPr>
          <w:rStyle w:val="FootnoteReference"/>
          <w:rtl w:val="1"/>
        </w:rPr>
        <w:footnoteReference w:id="275"/>
      </w:r>
      <w:r>
        <w:rPr>
          <w:rFonts w:ascii="Times New Roman" w:hAnsi="Times New Roman" w:cs="B Nazanin"/>
          <w:sz w:val="22"/>
          <w:szCs w:val="28"/>
          <w:rtl w:val="1"/>
        </w:rPr>
        <w:t xml:space="preserve"> چهار رژیم جداگانه برای تغییرات اقلیم، لایه اوزون، جیوه و آلودگی هوای فرامرزی وجود دارد که گزارش دبیرکل مثالهایی از همپوشانی و گاه تعارض در تعهدات، گزارش‌دهی و اجرا را نقل میکند. در حوزه تغییراقلیم نیز سه سند با اعضا متفاوت و تعهدات با گذار از تعهدات سخت به تعهدات نرم تحت مصلحت اندیشی سیاسی وجود دارد که مصداق دیگری از پراکندگی هنجاری است. حقوق بین‌الملل محیط‌زیست به‌جای یک نظام منسجم، بیشتر به مجموعه‌ای واکنشی از رژیم‌های جداگانه شباهت دارد که پاسخگویی مؤثر به چالش‌های پیچیده، به‌هم‌پیوسته و سیستمی مانند تغییرات اقلیمی یا تخریب تنوع زیستی را دشوار می‌سازد. پراکندگی هنجاری موجود، کارایی، انسجام و در نهایت مشروعیت این شاخه از حقوق بین‌الملل را به چالش کشیده است.</w:t>
      </w:r>
    </w:p>
    <w:p>
      <w:pPr>
        <w:bidi w:val="1"/>
        <w:spacing w:line="312" w:lineRule="auto" w:before="0" w:after="120"/>
        <w:ind w:firstLine="454"/>
        <w:jc w:val="both"/>
      </w:pPr>
      <w:r>
        <w:rPr>
          <w:rFonts w:ascii="Times New Roman" w:hAnsi="Times New Roman" w:cs="B Nazanin"/>
          <w:sz w:val="22"/>
          <w:szCs w:val="28"/>
          <w:rtl w:val="1"/>
        </w:rPr>
        <w:t>2. کمبود قواعد الزام‌آور در حوزه‌های کلیدی: حقوق بین‌الملل محیط‌زیست در بسیاری از حوزه‌های حیاتی با کمبود قواعد الزام‌آورِ دقیق و قابل اجرا مواجه است. حفاظت از خاک تقریباً فاقد هرگونه تعهد الزام‌آور جهانی است.</w:t>
      </w:r>
      <w:r>
        <w:rPr>
          <w:rStyle w:val="FootnoteReference"/>
          <w:rtl w:val="1"/>
        </w:rPr>
        <w:footnoteReference w:id="276"/>
      </w:r>
      <w:r>
        <w:rPr>
          <w:rFonts w:ascii="Times New Roman" w:hAnsi="Times New Roman" w:cs="B Nazanin"/>
          <w:sz w:val="22"/>
          <w:szCs w:val="28"/>
          <w:rtl w:val="1"/>
        </w:rPr>
        <w:t xml:space="preserve"> حفاظت از جنگل‌ها عمدتاً مبتنی بر هنجارهای نرم بوده</w:t>
      </w:r>
      <w:r>
        <w:rPr>
          <w:rStyle w:val="FootnoteReference"/>
          <w:rtl w:val="1"/>
        </w:rPr>
        <w:footnoteReference w:id="277"/>
      </w:r>
      <w:r>
        <w:rPr>
          <w:rFonts w:ascii="Times New Roman" w:hAnsi="Times New Roman" w:cs="B Nazanin"/>
          <w:sz w:val="22"/>
          <w:szCs w:val="28"/>
          <w:rtl w:val="1"/>
        </w:rPr>
        <w:t xml:space="preserve"> و انتقاد اصلی به آن، «کارایی محدود» است. تنوع زیستی فراسوی صلاحیت ملی</w:t>
      </w:r>
      <w:r>
        <w:rPr>
          <w:rStyle w:val="FootnoteReference"/>
          <w:rtl w:val="1"/>
        </w:rPr>
        <w:footnoteReference w:id="278"/>
      </w:r>
      <w:r>
        <w:rPr>
          <w:rFonts w:ascii="Times New Roman" w:hAnsi="Times New Roman" w:cs="B Nazanin"/>
          <w:sz w:val="22"/>
          <w:szCs w:val="28"/>
          <w:rtl w:val="1"/>
        </w:rPr>
        <w:t xml:space="preserve"> تا پیش از معاهده تنوعزیستی فراسوی صلاحیت ملی (۲۰۲۳)</w:t>
      </w:r>
      <w:r>
        <w:rPr>
          <w:rStyle w:val="FootnoteReference"/>
          <w:rtl w:val="1"/>
        </w:rPr>
        <w:footnoteReference w:id="279"/>
      </w:r>
      <w:r>
        <w:rPr>
          <w:rFonts w:ascii="Times New Roman" w:hAnsi="Times New Roman" w:cs="B Nazanin"/>
          <w:sz w:val="22"/>
          <w:szCs w:val="28"/>
          <w:rtl w:val="1"/>
        </w:rPr>
        <w:t xml:space="preserve"> هیچ چارچوب الزام‌آوری نداشت.</w:t>
      </w:r>
      <w:r>
        <w:rPr>
          <w:rStyle w:val="FootnoteReference"/>
          <w:rtl w:val="1"/>
        </w:rPr>
        <w:footnoteReference w:id="280"/>
      </w:r>
      <w:r>
        <w:rPr>
          <w:rFonts w:ascii="Times New Roman" w:hAnsi="Times New Roman" w:cs="B Nazanin"/>
          <w:sz w:val="22"/>
          <w:szCs w:val="28"/>
          <w:rtl w:val="1"/>
        </w:rPr>
        <w:t xml:space="preserve"> حتی در حوزه خطرناک‌ترین فعالیت‌ها مانند انرژی هسته‌ای، کنوانسیون ایمنی هسته‌ای (۱۹۹۴) پس از فاجعه فوکوشیما ناکارآمدی خود را نشان داد و اعلامیه وین ۲۰۱۵ در مورد ایمنی هسته‌ای ناظر بر طراحی، مکان‌یابی و ارزیابی ایمنی نیروگاه‌های هسته‌ای نیز فاقد قدرت الزام‌آور است.</w:t>
      </w:r>
      <w:r>
        <w:rPr>
          <w:rStyle w:val="FootnoteReference"/>
          <w:rtl w:val="1"/>
        </w:rPr>
        <w:footnoteReference w:id="281"/>
      </w:r>
      <w:r>
        <w:rPr>
          <w:rFonts w:ascii="Times New Roman" w:hAnsi="Times New Roman" w:cs="B Nazanin"/>
          <w:sz w:val="22"/>
          <w:szCs w:val="28"/>
          <w:rtl w:val="1"/>
        </w:rPr>
        <w:t xml:space="preserve"> این اتکاء گسترده به هنجارهای نرم، داوطلبانه و غیرالزام‌آور، فضای مانور گسترده‌ای برای دولتها باقی می‌گذارد و اجرای مؤثر، نظارت دقیق و پاسخگویی را با چالش جدی مواجه می‌سازد. در نتیجه، حقوق بین‌الملل محیط‌زیست در نقاط کلیدی خود بیشتر تابلوهای راهنمایی ارائه می‌دهد تا قواعد سختِ الزام‌آور، که این امر دستیابی به اهداف حفاظت محیط‌زیست در مقیاس جهانی را نامطمئن و شکننده می‌کند.</w:t>
      </w:r>
    </w:p>
    <w:p>
      <w:pPr>
        <w:bidi w:val="1"/>
        <w:spacing w:line="312" w:lineRule="auto" w:before="0" w:after="120"/>
        <w:ind w:firstLine="454"/>
        <w:jc w:val="both"/>
      </w:pPr>
      <w:r>
        <w:rPr>
          <w:rFonts w:ascii="Times New Roman" w:hAnsi="Times New Roman" w:cs="B Nazanin"/>
          <w:sz w:val="22"/>
          <w:szCs w:val="28"/>
          <w:rtl w:val="1"/>
        </w:rPr>
        <w:t>3. ضعف در سازوکارهای نظارتی، گزارش‌دهی و راستی‌آزمایی</w:t>
      </w:r>
      <w:r>
        <w:rPr>
          <w:rStyle w:val="FootnoteReference"/>
          <w:rtl w:val="1"/>
        </w:rPr>
        <w:footnoteReference w:id="282"/>
      </w:r>
      <w:r>
        <w:rPr>
          <w:rFonts w:ascii="Times New Roman" w:hAnsi="Times New Roman" w:cs="B Nazanin"/>
          <w:sz w:val="22"/>
          <w:szCs w:val="28"/>
          <w:rtl w:val="1"/>
        </w:rPr>
        <w:t xml:space="preserve">: حتی در نظام‌های پیشرو و موفقی چون پروتکل مونترآل در حفاظت از لایه اوزون – که علیرغم شهرت‌اش، همچنان از کنترل برخی مواد مخرب از جمله برخی از آلاینده‌های شیمیایی کوتاه‌مدت و اکسید نیتروژن عاجز است و فاقد هرگونه مکانیزم راستی‌آزمایی دوره‌ای برای حصول اطمینان از استمرار حذف مواد مخرب توسط دولت‌های عضو می‌باشد، </w:t>
      </w:r>
      <w:r>
        <w:rPr>
          <w:rStyle w:val="FootnoteReference"/>
          <w:rtl w:val="1"/>
        </w:rPr>
        <w:footnoteReference w:id="283"/>
      </w:r>
      <w:r>
        <w:rPr>
          <w:rFonts w:ascii="Times New Roman" w:hAnsi="Times New Roman" w:cs="B Nazanin"/>
          <w:sz w:val="22"/>
          <w:szCs w:val="28"/>
          <w:rtl w:val="1"/>
        </w:rPr>
        <w:t>سازوکارهای عدم‌پایبندی به طور سیستماتیک از آستانه اقدامات تنبیهی فراتر نرفته و بر تعاملات تسهیل‌گرانه و غیرتنبیهی تکیه دارند.</w:t>
      </w:r>
      <w:r>
        <w:rPr>
          <w:rStyle w:val="FootnoteReference"/>
          <w:rtl w:val="1"/>
        </w:rPr>
        <w:footnoteReference w:id="284"/>
      </w:r>
      <w:r>
        <w:rPr>
          <w:rFonts w:ascii="Times New Roman" w:hAnsi="Times New Roman" w:cs="B Nazanin"/>
          <w:sz w:val="22"/>
          <w:szCs w:val="28"/>
          <w:rtl w:val="1"/>
        </w:rPr>
        <w:t xml:space="preserve"> دبیرخانه و کمیته اجرایی رویه عدم‌پایبندی، مأموریتی برای راستی‌آزمایی گزارش‌های سالانه اعضا در زمینه تولید و مصرف مواد کنترل‌شده مخرب اوزون ندارند؛ </w:t>
      </w:r>
      <w:r>
        <w:rPr>
          <w:rStyle w:val="FootnoteReference"/>
          <w:rtl w:val="1"/>
        </w:rPr>
        <w:footnoteReference w:id="285"/>
      </w:r>
      <w:r>
        <w:rPr>
          <w:rFonts w:ascii="Times New Roman" w:hAnsi="Times New Roman" w:cs="B Nazanin"/>
          <w:sz w:val="22"/>
          <w:szCs w:val="28"/>
          <w:rtl w:val="1"/>
        </w:rPr>
        <w:t xml:space="preserve"> همچنین هیچ اختیاری برای تحقیق یا احراز صحت تجارت غیرقانونی این مواد به آنها اعطا نشده است.</w:t>
      </w:r>
      <w:r>
        <w:rPr>
          <w:rStyle w:val="FootnoteReference"/>
          <w:rtl w:val="1"/>
        </w:rPr>
        <w:footnoteReference w:id="286"/>
      </w:r>
      <w:r>
        <w:rPr>
          <w:rFonts w:ascii="Times New Roman" w:hAnsi="Times New Roman" w:cs="B Nazanin"/>
          <w:sz w:val="22"/>
          <w:szCs w:val="28"/>
          <w:rtl w:val="1"/>
        </w:rPr>
        <w:t xml:space="preserve"> این وضعیت، نشان‌دهنده الگوی غالب در موافقت‌نامه‌های چندجانبه محیط زیست است: اتکای افراطی به خوداظهاری دولتی و غیاب راستی‌آزمایی مستقل داده‌ها. چنین الگویی خلاء نظارتی عمیقی پدید می‌آورد که ارزیابی واقعی از پیشرفت و میزان پایبندی را ناممکن می‌سازد و کارآمدی حقوق بین‌الملل محیط زیست را در معرض تردید جدی قرار می‌دهد.</w:t>
      </w:r>
    </w:p>
    <w:p>
      <w:pPr>
        <w:bidi w:val="1"/>
        <w:spacing w:line="312" w:lineRule="auto" w:before="0" w:after="120"/>
        <w:ind w:firstLine="454"/>
        <w:jc w:val="both"/>
      </w:pPr>
      <w:r>
        <w:rPr>
          <w:rFonts w:ascii="Times New Roman" w:hAnsi="Times New Roman" w:cs="B Nazanin"/>
          <w:sz w:val="22"/>
          <w:szCs w:val="28"/>
          <w:rtl w:val="1"/>
        </w:rPr>
        <w:t>4. کمبود سازوکارهای مسئولیتی و جبرانخسارت: سازوکارهای مسئولیت و جبران خسارت در موافقت‌نامه‌های چندجانبه محیطزیستی علیرغم ضرورت انکارناپذیرشان، در وضعیتی ناقص، پراکنده و غالباً غیرفعال باقی مانده‌اند و نتوانسته‌اند با گسترش چالش‌های پیچیده محیطزیستی همگام شوند. در حوزه تغییرات اقلیم، «مسئولیت و جبران خسارت‌های اقلیمی به‌صراحت از نظام موافقت‌نامه پاریس مستثنی شده است و برخی معتقدند که چنین مستثنی شدنی نشان‌دهنده یک خلاء مهم است.»</w:t>
      </w:r>
      <w:r>
        <w:rPr>
          <w:rStyle w:val="FootnoteReference"/>
          <w:rtl w:val="1"/>
        </w:rPr>
        <w:footnoteReference w:id="287"/>
      </w:r>
      <w:r>
        <w:rPr>
          <w:rFonts w:ascii="Times New Roman" w:hAnsi="Times New Roman" w:cs="B Nazanin"/>
          <w:sz w:val="22"/>
          <w:szCs w:val="28"/>
          <w:rtl w:val="1"/>
        </w:rPr>
        <w:t xml:space="preserve"> مطابق با بند 51 تصمیم پذیرش موافقت نامه پاریس، اعضا «موافقت می‌کند که ماده ۸ موافقت‌نامه هیچ گونه مسئولیت یا جبران خسارتی را در بر ندارد یا مبنایی برای آن فراهم نمی‌کند؛ »</w:t>
      </w:r>
      <w:r>
        <w:rPr>
          <w:rStyle w:val="FootnoteReference"/>
          <w:rtl w:val="1"/>
        </w:rPr>
        <w:footnoteReference w:id="288"/>
      </w:r>
      <w:r>
        <w:rPr>
          <w:rFonts w:ascii="Times New Roman" w:hAnsi="Times New Roman" w:cs="B Nazanin"/>
          <w:sz w:val="22"/>
          <w:szCs w:val="28"/>
          <w:rtl w:val="1"/>
        </w:rPr>
        <w:t xml:space="preserve"> این استثناء صریح، حاکی از فقدان اراده سیاسی لازم برای ایجاد نظام مسئولیت‌پذیری جمعی در قبال یکی از بزرگ‌ترین تهدیدات محیطزیستی عصر حاضر است. در حوزه پسماندهای خطرناک نیز وضعیت مشابه و حتی حادتر است. پروتکل مسئولیت و جبران خسارت کنوانسیون بازل مصوب ۱۹۹۹، علیرغم تصویب، هیچ‌گاه لازم‌الاجرا نشده است.</w:t>
      </w:r>
      <w:r>
        <w:rPr>
          <w:rStyle w:val="FootnoteReference"/>
          <w:rtl w:val="1"/>
        </w:rPr>
        <w:footnoteReference w:id="289"/>
      </w:r>
      <w:r>
        <w:rPr>
          <w:rFonts w:ascii="Times New Roman" w:hAnsi="Times New Roman" w:cs="B Nazanin"/>
          <w:sz w:val="22"/>
          <w:szCs w:val="28"/>
          <w:rtl w:val="1"/>
        </w:rPr>
        <w:t xml:space="preserve"> علیرغم تلاش‌های چندین‌ساله و بررسی‌های حقوقی دقیق، به دلیل «مخالفت سیاسی قابل توجه» و عدم تمایل دولت‌ها، این پروتکل کماکان در وضعیت عدم اجرا باقی مانده است.</w:t>
      </w:r>
      <w:r>
        <w:rPr>
          <w:rStyle w:val="FootnoteReference"/>
          <w:rtl w:val="1"/>
        </w:rPr>
        <w:footnoteReference w:id="290"/>
      </w:r>
      <w:r>
        <w:rPr>
          <w:rFonts w:ascii="Times New Roman" w:hAnsi="Times New Roman" w:cs="B Nazanin"/>
          <w:sz w:val="22"/>
          <w:szCs w:val="28"/>
          <w:rtl w:val="1"/>
        </w:rPr>
        <w:t xml:space="preserve"> این وضعیت که مقررات صریح مسئولیت و جبران خسارت برای خسارات ناشی از جابجایی فرامرزی پسماندهای خطرناک، نه توسط خود کنوانسیون بازل و نه توسط سایر کنوانسیون‌های بین‌المللی پیش‌بینی نشده است، یک خلاء بزرگ در نظام بین‌المللی مسئولیت برای خسارات فرامرزی ناشی از جابجایی پسماندهای خطرناک محسوب می‌شود و نبود یک نظام جامع مسئولیت، اجرای مؤثر تعهدات بین‌المللی را تضعیف می‌کند.</w:t>
      </w:r>
      <w:r>
        <w:rPr>
          <w:rStyle w:val="FootnoteReference"/>
          <w:rtl w:val="1"/>
        </w:rPr>
        <w:footnoteReference w:id="291"/>
      </w:r>
      <w:r>
        <w:rPr>
          <w:rFonts w:ascii="Times New Roman" w:hAnsi="Times New Roman" w:cs="B Nazanin"/>
          <w:sz w:val="22"/>
          <w:szCs w:val="28"/>
          <w:rtl w:val="1"/>
        </w:rPr>
        <w:t xml:space="preserve"> این دو مثال نشان می‌دهد که حقوق بین‌الملل محیطزیست در یکی از حساسترین و ضروری‌ترین ابعاد خود یعنی پاسخگویی و جبران خسارت دچار ضعف ساختاری و فقدان کاربست جهانی است.</w:t>
      </w:r>
    </w:p>
    <w:p>
      <w:pPr>
        <w:bidi w:val="1"/>
        <w:spacing w:line="312" w:lineRule="auto" w:before="0" w:after="120"/>
        <w:ind w:firstLine="454"/>
        <w:jc w:val="both"/>
      </w:pPr>
      <w:r>
        <w:rPr>
          <w:rFonts w:ascii="Times New Roman" w:hAnsi="Times New Roman" w:cs="B Nazanin"/>
          <w:sz w:val="22"/>
          <w:szCs w:val="28"/>
          <w:rtl w:val="1"/>
        </w:rPr>
        <w:t xml:space="preserve">5. چالش‌های هماهنگی و تعامل: حقوق بین‌الملل محیطزیست با چالش نظام‌مند نبودن هماهنگی در دو سطح درون‌بخشی (میان معاهدات و نهادهای محیطزیستی) و بین‌بخشی (با حوزه‌های دیگر حقوق بین‌الملل) مواجه است. این پراکندگی که آن را «انزوا و گسست میان رژیم‌ها و نهادها» توصیف می‌کنند، </w:t>
      </w:r>
      <w:r>
        <w:rPr>
          <w:rStyle w:val="FootnoteReference"/>
          <w:rtl w:val="1"/>
        </w:rPr>
        <w:footnoteReference w:id="292"/>
      </w:r>
      <w:r>
        <w:rPr>
          <w:rFonts w:ascii="Times New Roman" w:hAnsi="Times New Roman" w:cs="B Nazanin"/>
          <w:sz w:val="22"/>
          <w:szCs w:val="28"/>
          <w:rtl w:val="1"/>
        </w:rPr>
        <w:t xml:space="preserve"> گرچه اجتناب ناپذیر و قابل بازگشت نیست، اما می‌توان آن را مدیریت کرد. در صورت عدم مدیریت، نه تنها کارایی نظام حقوق محیطزیست را کاهش می‌دهد، بلکه قابلیت آن را برای پاسخ‌گویی یکپارچه به چالش‌های فراگیر حقوق بینالملل محیطزیست تضعیف می‌سازد.</w:t>
      </w:r>
      <w:r>
        <w:rPr>
          <w:rStyle w:val="FootnoteReference"/>
          <w:rtl w:val="1"/>
        </w:rPr>
        <w:footnoteReference w:id="293"/>
      </w:r>
      <w:r>
        <w:rPr>
          <w:rFonts w:ascii="Times New Roman" w:hAnsi="Times New Roman" w:cs="B Nazanin"/>
          <w:sz w:val="22"/>
          <w:szCs w:val="28"/>
          <w:rtl w:val="1"/>
        </w:rPr>
        <w:t xml:space="preserve"> در سطح درون‌بخشی، نظام تغییراقلیم مصداق بارز ناهماهنگی است. سه سند بنیادین این نظام - کنوانسیون چارچوب تغییرات اقلیم ۱۹۹۲، پروتکل کیوتو ۱۹۹۷ و موافقت‌نامه پاریس ۲۰۱۵ - هر یک با منطق حقوقی متمایزی طراحی شده‌اند و با عضویت‌های متفاوت، تعهدات گاه متداخل، تعدد نهادهای تخصصی علمی و اجرایی و نظام‌های جداگانه گزارش‌دهی و نظارت، چالش‌های اجرایی و نظارتی مضاعفی را ایجاد کرده است</w:t>
      </w:r>
      <w:r>
        <w:rPr>
          <w:rStyle w:val="FootnoteReference"/>
          <w:rtl w:val="1"/>
        </w:rPr>
        <w:footnoteReference w:id="294"/>
      </w:r>
      <w:r>
        <w:rPr>
          <w:rFonts w:ascii="Times New Roman" w:hAnsi="Times New Roman" w:cs="B Nazanin"/>
          <w:sz w:val="22"/>
          <w:szCs w:val="28"/>
          <w:rtl w:val="1"/>
        </w:rPr>
        <w:t xml:space="preserve"> و عملاً هماهنگی و ارزیابی یکپارچه از پیشرفت نظام تغییراقلیم را با مانع مواجه ساخته است.</w:t>
      </w:r>
    </w:p>
    <w:p>
      <w:pPr>
        <w:bidi w:val="1"/>
        <w:spacing w:line="312" w:lineRule="auto" w:before="0" w:after="120"/>
        <w:ind w:firstLine="454"/>
        <w:jc w:val="both"/>
      </w:pPr>
      <w:r>
        <w:rPr>
          <w:rFonts w:ascii="Times New Roman" w:hAnsi="Times New Roman" w:cs="B Nazanin"/>
          <w:sz w:val="22"/>
          <w:szCs w:val="28"/>
          <w:rtl w:val="1"/>
        </w:rPr>
        <w:t>در سطح بین‌بخشی، تعارضات هنجاری و نهادی آشکارتری به چشم می‌خورد. در تعامل حقوق محیط زیست و مالکیت فکری، کنوانسیون تنوع زیستی و پروتکل ناگویا، اصول «دسترسی عادلانه» و «اشتراک منافع» را بنیان نهاده و افشای منشاء منابع ژنتیکی و دانش سنتی را الزامی می‌سازد. در نقطه مقابل، موافقت‌نامه تریپس در چارچوب سازمان تجارت جهانی با منطق انحصارگرایی و خصوصی‌سازی دانش، در صدد تسهیل ثبت اختراع بر نوآوری‌های زیست‌فناوری است.</w:t>
      </w:r>
      <w:r>
        <w:rPr>
          <w:rStyle w:val="FootnoteReference"/>
          <w:rtl w:val="1"/>
        </w:rPr>
        <w:footnoteReference w:id="295"/>
      </w:r>
      <w:r>
        <w:rPr>
          <w:rFonts w:ascii="Times New Roman" w:hAnsi="Times New Roman" w:cs="B Nazanin"/>
          <w:sz w:val="22"/>
          <w:szCs w:val="28"/>
          <w:rtl w:val="1"/>
        </w:rPr>
        <w:t xml:space="preserve"> این دو نظام «مقدماتی اساساً ناسازگار» را تجسم می‌بخشند. معاهده همکاری ثبت اختراع</w:t>
      </w:r>
      <w:r>
        <w:rPr>
          <w:rStyle w:val="FootnoteReference"/>
          <w:rtl w:val="1"/>
        </w:rPr>
        <w:footnoteReference w:id="296"/>
      </w:r>
      <w:r>
        <w:rPr>
          <w:rFonts w:ascii="Times New Roman" w:hAnsi="Times New Roman" w:cs="B Nazanin"/>
          <w:sz w:val="22"/>
          <w:szCs w:val="28"/>
          <w:rtl w:val="1"/>
        </w:rPr>
        <w:t xml:space="preserve"> سازمان جهانی مالکیت فکری نیز فرآیندهای اداری را برای کسب انحصار بر دانش سنتی و منابع ژنتیکی تسهیل می‌کند. به‌موازات این، در حوزه تجارت و محیط زیست، اصل «حمایت متقابل»</w:t>
      </w:r>
      <w:r>
        <w:rPr>
          <w:rStyle w:val="FootnoteReference"/>
          <w:rtl w:val="1"/>
        </w:rPr>
        <w:footnoteReference w:id="297"/>
      </w:r>
      <w:r>
        <w:rPr>
          <w:rFonts w:ascii="Times New Roman" w:hAnsi="Times New Roman" w:cs="B Nazanin"/>
          <w:sz w:val="22"/>
          <w:szCs w:val="28"/>
          <w:rtl w:val="1"/>
        </w:rPr>
        <w:t xml:space="preserve"> که در مقدمه موافقت‌نامه تأسیس سازمان جهانی تجارت و اسناد راهبردی آن تصریح شده، در رویه قضایی نهاد تجددینظر آن سازمان با تفسیری مضیق مواجه شده و محاکم آن سازمان در عمل از به کارگیری اصول محیط زیستی (مانند اصل احتیاط) به عنوان هنجارهای ماهوی خودداری کرده‌اند. این امر «شکاف فزاینده میان دو نظام هنجاری» را آشکار ساخته است. این موضوع‌ها در بخش خلاءهای مرتبط با اسناد مرتبط با محیط زیست بیشتر بررسی خواهد شد.</w:t>
      </w:r>
    </w:p>
    <w:p>
      <w:pPr>
        <w:bidi w:val="1"/>
        <w:spacing w:line="312" w:lineRule="auto" w:before="0" w:after="120"/>
        <w:ind w:firstLine="454"/>
        <w:jc w:val="both"/>
      </w:pPr>
      <w:r>
        <w:rPr>
          <w:rFonts w:ascii="Times New Roman" w:hAnsi="Times New Roman" w:cs="B Nazanin"/>
          <w:sz w:val="22"/>
          <w:szCs w:val="28"/>
          <w:rtl w:val="1"/>
        </w:rPr>
        <w:t>از منظر نهادی نیز تعدد دبیرخانه‌های موافقتنامههای محیطزیستی، پراکندگی جغرافیایی دبیرخانه‌ها در شهرهای مختلف جهان، فقدان یک مرجع واحد برای هماهنگی سیاست‌گذاری، و اشتراک ناکافی اطلاعات میان نهاده، به موازی‌کاری، تکرار تلاش‌ها و ناهماهنگی در اجرا دامن زده است. این در حالی است که تلاش‌های اصلاحی مانند پیشنویس قطعنامه‌ پیشنهادی مکزیک تحت عنوان «تقویت نقش مقر برنامه محیطزیست سازمان ملل متحد در نایروبی برای رسیدگی به چالش‌های محیطزیستی و افزایش همکاری‌های چندجانبه برای رسیدگی به حکمرانی چندجانبه مؤثر»</w:t>
      </w:r>
      <w:r>
        <w:rPr>
          <w:rStyle w:val="FootnoteReference"/>
          <w:rtl w:val="1"/>
        </w:rPr>
        <w:footnoteReference w:id="298"/>
      </w:r>
      <w:r>
        <w:rPr>
          <w:rFonts w:ascii="Times New Roman" w:hAnsi="Times New Roman" w:cs="B Nazanin"/>
          <w:sz w:val="22"/>
          <w:szCs w:val="28"/>
          <w:rtl w:val="1"/>
        </w:rPr>
        <w:t xml:space="preserve"> در چارچوب هفتمین نشست مجمع محیطزیست سازمانمللمتحد</w:t>
      </w:r>
      <w:r>
        <w:rPr>
          <w:rStyle w:val="FootnoteReference"/>
          <w:rtl w:val="1"/>
        </w:rPr>
        <w:footnoteReference w:id="299"/>
      </w:r>
      <w:r>
        <w:rPr>
          <w:rFonts w:ascii="Times New Roman" w:hAnsi="Times New Roman" w:cs="B Nazanin"/>
          <w:sz w:val="22"/>
          <w:szCs w:val="28"/>
          <w:rtl w:val="1"/>
        </w:rPr>
        <w:t xml:space="preserve"> در دسامبر 2025 به منظور انتقال دبیرخانه موافقتنامههای چندجانبه محیطزیستی به نایروبی با مخالفت یا بیتوجهی برخی دولت‌ها روبرو شده است.</w:t>
      </w:r>
      <w:r>
        <w:rPr>
          <w:rStyle w:val="FootnoteReference"/>
          <w:rtl w:val="1"/>
        </w:rPr>
        <w:footnoteReference w:id="300"/>
      </w:r>
    </w:p>
    <w:p>
      <w:pPr>
        <w:bidi w:val="1"/>
        <w:spacing w:line="312" w:lineRule="auto" w:before="0" w:after="120"/>
        <w:ind w:firstLine="454"/>
        <w:jc w:val="both"/>
      </w:pPr>
      <w:r>
        <w:rPr>
          <w:rFonts w:ascii="Times New Roman" w:hAnsi="Times New Roman" w:cs="B Nazanin"/>
          <w:sz w:val="22"/>
          <w:szCs w:val="28"/>
          <w:rtl w:val="1"/>
        </w:rPr>
        <w:t>6.کمبود مقررات در حوزه‌های نوظهور و فناوری‌های جدید: حقوق بین‌الملل محیطزیست که عمدتاً ماهیتی واکنشی و بخشی دارد، در مواجهه با چالش‌های نوظهور و فناوری‌های جدید که ذاتاً فرابخشی، پیچیده و علم‌محور هستند، با خلاءهای مقرراتی جدی روبرو است. به طور مشخص، دو حوزه نانومواد و فرایندهای ژئو-مهندسی</w:t>
      </w:r>
      <w:r>
        <w:rPr>
          <w:rStyle w:val="FootnoteReference"/>
          <w:rtl w:val="1"/>
        </w:rPr>
        <w:footnoteReference w:id="301"/>
      </w:r>
      <w:r>
        <w:rPr>
          <w:rFonts w:ascii="Times New Roman" w:hAnsi="Times New Roman" w:cs="B Nazanin"/>
          <w:sz w:val="22"/>
          <w:szCs w:val="28"/>
          <w:rtl w:val="1"/>
        </w:rPr>
        <w:t>، علیرغم پتانسیل بالای ایجاد اثرات گسترده بر تنوع زیستی، فاقد هرگونه چارچوب حقوقی بین‌المللی هستند.</w:t>
      </w:r>
      <w:r>
        <w:rPr>
          <w:rStyle w:val="FootnoteReference"/>
          <w:rtl w:val="1"/>
        </w:rPr>
        <w:footnoteReference w:id="302"/>
      </w:r>
      <w:r>
        <w:rPr>
          <w:rFonts w:ascii="Times New Roman" w:hAnsi="Times New Roman" w:cs="B Nazanin"/>
          <w:sz w:val="22"/>
          <w:szCs w:val="28"/>
          <w:rtl w:val="1"/>
        </w:rPr>
        <w:t xml:space="preserve"> همچنین، آلودگی‌های ناشی از پسماندهای پلاستیکی و زباله‌های دریایی، اگرچه بهعنوان تهدیدی جدی شناسایی شده‌اند، اما تنها توسط برخی برنامه‌های اقدام منطقه‌ای پوشش داده می‌شوند و معاهده‌ای اختصاصی و الزام‌آور در سطح جهانی برای آنها وجود ندارد.</w:t>
      </w:r>
      <w:r>
        <w:rPr>
          <w:rStyle w:val="FootnoteReference"/>
          <w:rtl w:val="1"/>
        </w:rPr>
        <w:footnoteReference w:id="303"/>
      </w:r>
      <w:r>
        <w:rPr>
          <w:rFonts w:ascii="Times New Roman" w:hAnsi="Times New Roman" w:cs="B Nazanin"/>
          <w:sz w:val="22"/>
          <w:szCs w:val="28"/>
          <w:rtl w:val="1"/>
        </w:rPr>
        <w:t xml:space="preserve"> لازم به ذکر است، مذاکرات جهت تدوین سند بینالمللی الزامآور در خصوص آلودگی پلاستیکی در چارچوب قطعنامه پنجمین نشست مجمع محیطزیست سازمانملل متحد</w:t>
      </w:r>
      <w:r>
        <w:rPr>
          <w:rStyle w:val="FootnoteReference"/>
          <w:rtl w:val="1"/>
        </w:rPr>
        <w:footnoteReference w:id="304"/>
      </w:r>
      <w:r>
        <w:rPr>
          <w:rFonts w:ascii="Times New Roman" w:hAnsi="Times New Roman" w:cs="B Nazanin"/>
          <w:sz w:val="22"/>
          <w:szCs w:val="28"/>
          <w:rtl w:val="1"/>
        </w:rPr>
        <w:t xml:space="preserve"> درجریان است. در نتیجه، فاصله چشمگیر میان سرعت پیشرفت علمی‑ فناورانه و سرعت توسعه هنجاری، به ایجاد خلاء هنجاری در حقوق بین‌الملل محیطزیست منجر شده و فرصت‌های استفاده مسئولانه از فناوری برای اهداف محیط‌زیستی را نیز تضعیف می‌کند.</w:t>
      </w:r>
    </w:p>
    <w:p>
      <w:pPr>
        <w:bidi w:val="1"/>
        <w:spacing w:line="312" w:lineRule="auto" w:before="0" w:after="120"/>
        <w:ind w:firstLine="454"/>
        <w:jc w:val="both"/>
      </w:pPr>
      <w:r>
        <w:rPr>
          <w:rFonts w:ascii="Times New Roman" w:hAnsi="Times New Roman" w:cs="B Nazanin"/>
          <w:sz w:val="22"/>
          <w:szCs w:val="28"/>
          <w:rtl w:val="1"/>
        </w:rPr>
        <w:t>7. محدودیت‌های جغرافیایی و پوشش ناکافی: حقوق بین‌الملل محیطزیست بهطور ساختاری از محدودیت جغرافیایی و پوشش ناکافی موافقت‌نامه‌های چندجانبه خود رنج می‌برد که کارایی آن‌ها را در مقابله با چالش‌های جهانی بهشدت تضعیف می‌کند. نماد این ناکارآمدی، کنوانسیون آلودگی هوای فرامرزی دوربرد</w:t>
      </w:r>
      <w:r>
        <w:rPr>
          <w:rStyle w:val="FootnoteReference"/>
          <w:rtl w:val="1"/>
        </w:rPr>
        <w:footnoteReference w:id="305"/>
      </w:r>
      <w:r>
        <w:rPr>
          <w:rFonts w:ascii="Times New Roman" w:hAnsi="Times New Roman" w:cs="B Nazanin"/>
          <w:sz w:val="22"/>
          <w:szCs w:val="28"/>
          <w:rtl w:val="1"/>
        </w:rPr>
        <w:t xml:space="preserve"> است. اگرچه این کنوانسیون در کاهش آلودگی فرامرزی در منطقه اروپا و آمریکای شمالی موفق بوده، اما دامنه اجرایی آن به همین مناطق محدود مانده است.</w:t>
      </w:r>
      <w:r>
        <w:rPr>
          <w:rStyle w:val="FootnoteReference"/>
          <w:rtl w:val="1"/>
        </w:rPr>
        <w:footnoteReference w:id="306"/>
      </w:r>
      <w:r>
        <w:rPr>
          <w:rFonts w:ascii="Times New Roman" w:hAnsi="Times New Roman" w:cs="B Nazanin"/>
          <w:sz w:val="22"/>
          <w:szCs w:val="28"/>
          <w:rtl w:val="1"/>
        </w:rPr>
        <w:t xml:space="preserve"> این در حالی است که بحران آلودگی هوا در قاره‌های آسیا و آفریقا به ابعادی فرامرزی و فراگیر رسیده و میلیون‌ها نفر را تحت تأثیر قرار داده، اما هیچ نظام حقوقی الزام‌آوری برای مدیریت آن وجود ندارد. چنین محدودیت جغرافیایی، توانایی حقوق بین‌الملل را برای ارائه پاسخی یکپارچه، عادلانه و مؤثر به مسائل محیط‌زیستی که ذاتاً فرامرزی و جهانی هستند، به شدت تضعیف می‌کند و شکاف عمیقی میان موفقیت‌های منطقه‌ای و نیازهای جهانی ایجاد می‌نماید.</w:t>
      </w:r>
    </w:p>
    <w:p>
      <w:pPr>
        <w:bidi w:val="1"/>
        <w:spacing w:line="312" w:lineRule="auto" w:before="0" w:after="120"/>
        <w:ind w:firstLine="454"/>
        <w:jc w:val="both"/>
      </w:pPr>
      <w:r>
        <w:rPr>
          <w:rFonts w:ascii="Times New Roman" w:hAnsi="Times New Roman" w:cs="B Nazanin"/>
          <w:sz w:val="22"/>
          <w:szCs w:val="28"/>
          <w:rtl w:val="1"/>
        </w:rPr>
        <w:t xml:space="preserve">گزارش دبیرکل بهخوبی نشان می‌دهد که پراکندگی حقوق بین‌الملل محیط‌زیست صرفاً محدود به ابعاد موضوعی و هنجاری نیست، بلکه در سطوح اجرا و نظارت، مسئولیت و جبران‌خسارت و نیز پوشش جغرافیایی نیز به روشنی قابل مشاهده است. شایان ذکر است که فحوای گزارش دبیرکل در این بخش هم‌سو با یافته‌های مطالعاتی الینور اوستروم، برنده جایزه نوبل اقتصاد (۲۰۰۹)، است، </w:t>
      </w:r>
      <w:r>
        <w:rPr>
          <w:rStyle w:val="FootnoteReference"/>
          <w:rtl w:val="1"/>
        </w:rPr>
        <w:footnoteReference w:id="307"/>
      </w:r>
      <w:r>
        <w:rPr>
          <w:rFonts w:ascii="Times New Roman" w:hAnsi="Times New Roman" w:cs="B Nazanin"/>
          <w:sz w:val="22"/>
          <w:szCs w:val="28"/>
          <w:rtl w:val="1"/>
        </w:rPr>
        <w:t xml:space="preserve"> هرچند گزارش در استناد به آن رویکردی محتاطانه در پیش گرفته است. نظریه «اقدام جمعی و حکمرانی منابع مشترک» اوستروم نشان می‌دهد که توافق بر سر قواعد روشن و شفاف، زمینه‌ساز همکاری مؤثر برای حفاظت از منابع مشترک می‌شود. این چارچوب نظری نه تنها در حصول اجماع بر سر اهداف توسعه پایدار، بلکه در فرآیند مذاکره برای حفاظت و استفاده پایدار از تنوع زیستی در مناطق فراتر از صلاحیت ملی نیز کاربرد داشته است.</w:t>
      </w:r>
      <w:r>
        <w:rPr>
          <w:rStyle w:val="FootnoteReference"/>
          <w:rtl w:val="1"/>
        </w:rPr>
        <w:footnoteReference w:id="308"/>
      </w:r>
      <w:r>
        <w:rPr>
          <w:rFonts w:ascii="Times New Roman" w:hAnsi="Times New Roman" w:cs="B Nazanin"/>
          <w:sz w:val="22"/>
          <w:szCs w:val="28"/>
          <w:rtl w:val="1"/>
        </w:rPr>
        <w:t xml:space="preserve"> رویه موفق دولت‌ها در چارچوب پروتکل مونترآل برای حفاظت از لایه اوزون نیز بهعنوان یکی از مصادیق برجسته عینی، مؤید یافته‌های اوستروم است.</w:t>
      </w:r>
    </w:p>
    <w:p>
      <w:pPr>
        <w:pStyle w:val="GPEHeading3"/>
        <w:bidi w:val="1"/>
        <w:spacing w:line="312" w:lineRule="auto" w:before="200" w:after="120"/>
        <w:jc w:val="right"/>
      </w:pPr>
      <w:r>
        <w:rPr>
          <w:rFonts w:ascii="Times New Roman" w:hAnsi="Times New Roman" w:cs="B Nazanin"/>
          <w:sz w:val="24"/>
          <w:szCs w:val="24"/>
          <w:rtl w:val="1"/>
          <w:b/>
          <w:bCs/>
          <w:color w:val="14203a"/>
        </w:rPr>
        <w:t>۳-۱-۵ خلاءهای مرتبط با اسناد مرتبط با محیط زیست</w:t>
      </w:r>
    </w:p>
    <w:p>
      <w:pPr>
        <w:bidi w:val="1"/>
        <w:spacing w:line="312" w:lineRule="auto" w:before="0" w:after="120"/>
        <w:ind w:firstLine="454"/>
        <w:jc w:val="both"/>
      </w:pPr>
      <w:r>
        <w:rPr>
          <w:rFonts w:ascii="Times New Roman" w:hAnsi="Times New Roman" w:cs="B Nazanin"/>
          <w:sz w:val="22"/>
          <w:szCs w:val="28"/>
          <w:rtl w:val="1"/>
        </w:rPr>
        <w:t>گزارش دبیرکل در بند 7 منظور از اسناد مرتبط با محیطزیست را به شرح زیر بیان میکند. «اصطلاح "اسناد مرتبط با محیطزیست"</w:t>
      </w:r>
      <w:r>
        <w:rPr>
          <w:rStyle w:val="FootnoteReference"/>
          <w:rtl w:val="1"/>
        </w:rPr>
        <w:footnoteReference w:id="309"/>
      </w:r>
      <w:r>
        <w:rPr>
          <w:rFonts w:ascii="Times New Roman" w:hAnsi="Times New Roman" w:cs="B Nazanin"/>
          <w:sz w:val="22"/>
          <w:szCs w:val="28"/>
          <w:rtl w:val="1"/>
        </w:rPr>
        <w:t xml:space="preserve"> در بند ۱ قطعنامه 277/72 مجمععمومی، به آن دسته از اسناد حقوق بین‌الملل اطلاق می‌شود که منحصراً در قلمرو محیطزیست قرار نمی‌گیرند یا هدف اصلی آنها حمایت از محیطزیست نیست. در این رابطه قابل توجه است که دغدغه‌های محیطزیستی به تدریج در چارچوب‌های مقرراتی بین‌المللی دیگر نفوذ کرده‌اند، از جمله چارچوب‌های مرتبط با تجارت بین‌الملل، سرمایه‌گذاری، حقوق مالکیتفکری، حقوق بشر، صلح و امنیت، مهاجرت و مدیریت بلایا.»</w:t>
      </w:r>
      <w:r>
        <w:rPr>
          <w:rStyle w:val="FootnoteReference"/>
          <w:rtl w:val="1"/>
        </w:rPr>
        <w:footnoteReference w:id="310"/>
      </w:r>
    </w:p>
    <w:p>
      <w:pPr>
        <w:bidi w:val="1"/>
        <w:spacing w:line="312" w:lineRule="auto" w:before="0" w:after="120"/>
        <w:ind w:firstLine="454"/>
        <w:jc w:val="both"/>
      </w:pPr>
      <w:r>
        <w:rPr>
          <w:rFonts w:ascii="Times New Roman" w:hAnsi="Times New Roman" w:cs="B Nazanin"/>
          <w:sz w:val="22"/>
          <w:szCs w:val="28"/>
          <w:rtl w:val="1"/>
        </w:rPr>
        <w:t>این توضیحات بیانگر تفسیر موسع و فراتر از اسناد صرفاً محیطزیستی و اتخاذ رویکردی بینابینی</w:t>
      </w:r>
      <w:r>
        <w:rPr>
          <w:rStyle w:val="FootnoteReference"/>
          <w:rtl w:val="1"/>
        </w:rPr>
        <w:footnoteReference w:id="311"/>
      </w:r>
      <w:r>
        <w:rPr>
          <w:rFonts w:ascii="Times New Roman" w:hAnsi="Times New Roman" w:cs="B Nazanin"/>
          <w:sz w:val="22"/>
          <w:szCs w:val="28"/>
          <w:rtl w:val="1"/>
        </w:rPr>
        <w:t>و  کل‌نگر</w:t>
      </w:r>
      <w:r>
        <w:rPr>
          <w:rStyle w:val="FootnoteReference"/>
          <w:rtl w:val="1"/>
        </w:rPr>
        <w:footnoteReference w:id="312"/>
      </w:r>
      <w:r>
        <w:rPr>
          <w:rFonts w:ascii="Times New Roman" w:hAnsi="Times New Roman" w:cs="B Nazanin"/>
          <w:sz w:val="22"/>
          <w:szCs w:val="28"/>
          <w:rtl w:val="1"/>
        </w:rPr>
        <w:t xml:space="preserve"> گزارش است. این امر نشان‌دهنده این واقعیت است که حفاظت از محیط‌زیست دیگر منحصر به معاهدات تخصصی نیست، بلکه به یک مقوله فرابخشی تبدیل شدهاست. علاوهبراین، مبین محیط‌زیستی‌شدن</w:t>
      </w:r>
      <w:r>
        <w:rPr>
          <w:rStyle w:val="FootnoteReference"/>
          <w:rtl w:val="1"/>
        </w:rPr>
        <w:footnoteReference w:id="313"/>
      </w:r>
      <w:r>
        <w:rPr>
          <w:rFonts w:ascii="Times New Roman" w:hAnsi="Times New Roman" w:cs="B Nazanin"/>
          <w:sz w:val="22"/>
          <w:szCs w:val="28"/>
          <w:rtl w:val="1"/>
        </w:rPr>
        <w:t xml:space="preserve"> حقوقبین‌الملل بهدلیل نفوذ دغدغه‌های محیطزیستی به سایر حوزه‌های حقوقی میباشد. این نشان از یک تحول پارادایمی دارد که در آن شاهد شروط محیطزیستی در قراردادهای تجاری، ملاحظات محیطزیستی در آرای داوری و قضائی، ظهور «حق بر محیطزیست سالم» به عنوان نسل سوم حقوقبشر، دغدغه حفاظت از محیطزیست در زمان درگیری‌های مسلحانه و... هستیم. از این رو میتوان قطعنامه 277 /72 را قطعنامه پیشگامانه‌ای دانست که منجر به تدوین گزارش دبیرکل شد. چرا که این تعریف گسترده، مبنای حقوقی برای گفت‌وگوهای بین‌حوزه‌ای و هماهنگی سیاستی را فراهم میکند و قطعنامه با این نگاه، در پی تقویت همبستگی حقوقی و پرهیز از رویکردهای جزیره‌ای در مواجهه با چالش‌های پیچیده محیطزیستی است. گزارش دبیرکل عدم انسجام و هم‌افزایی بین اسناد مرتبط با محیطزیست - به طور خاص در مورد تجارت، سرمایه‌گذاری، مالکیت فکری و حقوق بشر - را ارزیابی می‌کند تا نتیجه بگیرد که «پیوند بین موافقت‌نامه‌های چندجانبه محیطزیستی و اسناد مرتبط با محیط زیست به دلیل عدم وضوح بسیاری از اصول محیطزیستی، از منظر محتوا و جایگاه، همچنان مشکل‌ساز باقی مانده است.»</w:t>
      </w:r>
      <w:r>
        <w:rPr>
          <w:rStyle w:val="FootnoteReference"/>
          <w:rtl w:val="1"/>
        </w:rPr>
        <w:footnoteReference w:id="314"/>
      </w:r>
    </w:p>
    <w:p>
      <w:pPr>
        <w:pStyle w:val="GPEHeading3"/>
        <w:bidi w:val="1"/>
        <w:spacing w:line="312" w:lineRule="auto" w:before="200" w:after="120"/>
        <w:jc w:val="right"/>
      </w:pPr>
      <w:r>
        <w:rPr>
          <w:rFonts w:ascii="Times New Roman" w:hAnsi="Times New Roman" w:cs="B Nazanin"/>
          <w:sz w:val="24"/>
          <w:szCs w:val="24"/>
          <w:rtl w:val="1"/>
          <w:b/>
          <w:bCs/>
          <w:color w:val="14203a"/>
        </w:rPr>
        <w:t>۳-۱-۵-۱ اسناد تجاری</w:t>
      </w:r>
    </w:p>
    <w:p>
      <w:pPr>
        <w:bidi w:val="1"/>
        <w:spacing w:line="312" w:lineRule="auto" w:before="0" w:after="120"/>
        <w:ind w:firstLine="454"/>
        <w:jc w:val="both"/>
      </w:pPr>
      <w:r>
        <w:rPr>
          <w:rFonts w:ascii="Times New Roman" w:hAnsi="Times New Roman" w:cs="B Nazanin"/>
          <w:sz w:val="22"/>
          <w:szCs w:val="28"/>
          <w:rtl w:val="1"/>
        </w:rPr>
        <w:t>گزارش دبیرکل، به نقش محوری سازمان جهانی تجارت در گفتمان تجارت و محیط‌زیست در حقوق بینالملل و شکاف فزاینده بین این دو رژیم هنجاری در اثر فقدان اجماع بر سر اجرای حمایت متقابل</w:t>
      </w:r>
      <w:r>
        <w:rPr>
          <w:rStyle w:val="FootnoteReference"/>
          <w:rtl w:val="1"/>
        </w:rPr>
        <w:footnoteReference w:id="315"/>
      </w:r>
      <w:r>
        <w:rPr>
          <w:rFonts w:ascii="Times New Roman" w:hAnsi="Times New Roman" w:cs="B Nazanin"/>
          <w:sz w:val="22"/>
          <w:szCs w:val="28"/>
          <w:rtl w:val="1"/>
        </w:rPr>
        <w:t xml:space="preserve"> اشاره دارد. این امر گویای خلاء بنیادین در موازنه قدرت میان دو حوزه تجارت و محیطزیست در ساختار نهادی است. در نتیجه، مکانیسم حلوفصل اختلافات قوی و عضویت جهانی آن، جایگاه بی‌بدیلی در تبیین رابطه این دو حوزه را دارد. اما رویکرد محتاطانه، تجارتمحور و مبتنی بر اصولی مانند «منع تبعیض» در آن سازمان، موجب گردیده است که هیئت تجدیدنظر آن سازمان در مواجهه با اختلافات مرتبط با اقدامات تجاری و لزوم رعایت ملاحظات محیط‌زیستی، تمایلی به استناد و اعمال اصول حقوقمحیط‌زیست (مانند اصل احتیاط) برای توجیه اقدامات مغایر با تعهدات تجاری نداشته، مگر آنکه صراحتاً در موافقتنامه مربوطه ذکر شدهباشد.</w:t>
      </w:r>
      <w:r>
        <w:rPr>
          <w:rStyle w:val="FootnoteReference"/>
          <w:rtl w:val="1"/>
        </w:rPr>
        <w:footnoteReference w:id="316"/>
      </w:r>
      <w:r>
        <w:rPr>
          <w:rFonts w:ascii="Times New Roman" w:hAnsi="Times New Roman" w:cs="B Nazanin"/>
          <w:sz w:val="22"/>
          <w:szCs w:val="28"/>
          <w:rtl w:val="1"/>
        </w:rPr>
        <w:t xml:space="preserve"> این گزاره مبین خلاء تفسیری و فقدان جایگاه هنجاریِ اصول محیط‌زیستی در حل‌وفصل اختلافات نزد سازمان جهانی تجارت و موقعیت ثانوی و تبعی حقوق محیطزیست در برابر حقوق تجارت میباشد.</w:t>
      </w:r>
    </w:p>
    <w:p>
      <w:pPr>
        <w:bidi w:val="1"/>
        <w:spacing w:line="312" w:lineRule="auto" w:before="0" w:after="120"/>
        <w:ind w:firstLine="454"/>
        <w:jc w:val="both"/>
      </w:pPr>
      <w:r>
        <w:rPr>
          <w:rFonts w:ascii="Times New Roman" w:hAnsi="Times New Roman" w:cs="B Nazanin"/>
          <w:sz w:val="22"/>
          <w:szCs w:val="28"/>
          <w:rtl w:val="1"/>
        </w:rPr>
        <w:t>گزارش به مفهوم حمایت متقابل/ هم افزایی</w:t>
      </w:r>
      <w:r>
        <w:rPr>
          <w:rStyle w:val="FootnoteReference"/>
          <w:rtl w:val="1"/>
        </w:rPr>
        <w:footnoteReference w:id="317"/>
      </w:r>
      <w:r>
        <w:rPr>
          <w:rFonts w:ascii="Times New Roman" w:hAnsi="Times New Roman" w:cs="B Nazanin"/>
          <w:sz w:val="22"/>
          <w:szCs w:val="28"/>
          <w:rtl w:val="1"/>
        </w:rPr>
        <w:t xml:space="preserve"> تجارت و محیطزیست اشاره میکند.</w:t>
      </w:r>
      <w:r>
        <w:rPr>
          <w:rStyle w:val="FootnoteReference"/>
          <w:rtl w:val="1"/>
        </w:rPr>
        <w:footnoteReference w:id="318"/>
      </w:r>
      <w:r>
        <w:rPr>
          <w:rFonts w:ascii="Times New Roman" w:hAnsi="Times New Roman" w:cs="B Nazanin"/>
          <w:sz w:val="22"/>
          <w:szCs w:val="28"/>
          <w:rtl w:val="1"/>
        </w:rPr>
        <w:t xml:space="preserve"> این مفهوم در تئوری بیانگر همکاری و تقویت متقابل دو حوزه است. این امر در معاهدات محیطزیستی که رویکرد تجاری دارند، مثل کنوانسیون میناماتا در خصوص جیوه</w:t>
      </w:r>
      <w:r>
        <w:rPr>
          <w:rStyle w:val="FootnoteReference"/>
          <w:rtl w:val="1"/>
        </w:rPr>
        <w:footnoteReference w:id="319"/>
      </w:r>
      <w:r>
        <w:rPr>
          <w:rFonts w:ascii="Times New Roman" w:hAnsi="Times New Roman" w:cs="B Nazanin"/>
          <w:sz w:val="22"/>
          <w:szCs w:val="28"/>
          <w:rtl w:val="1"/>
        </w:rPr>
        <w:t xml:space="preserve"> منعکس شده است. بهعبارتی معاهدات محیطزیستی، تعهدات تجاری را به رسمیت می‌شناسند و سعی در هماهنگی با آنها دارند، اما این رابطه متقابل نیست. در چارچوب دور دوحه سازمان جهانی تجارت که در سال ۲۰۰۱ آغاز شد، یک جلسه ویژه از کمیته تجارت و محیط‌زیست مأموریت یافت تا درباره «رابطه میان قواعد موجود سازمان جهانی تجارت و تعهدات تجاری خاص مقرر شده در موافقت‌نامه‌های چندجانبه محیط‌زیستی» مذاکره کند. مقرر بود مذاکرات دور دوحه «با هدف افزایش حمایت متقابل/هم‌افزایی تجارت و محیط‌زیست» انجام شود. </w:t>
      </w:r>
      <w:r>
        <w:rPr>
          <w:rStyle w:val="FootnoteReference"/>
          <w:rtl w:val="1"/>
        </w:rPr>
        <w:footnoteReference w:id="320"/>
      </w:r>
      <w:r>
        <w:rPr>
          <w:rFonts w:ascii="Times New Roman" w:hAnsi="Times New Roman" w:cs="B Nazanin"/>
          <w:sz w:val="22"/>
          <w:szCs w:val="28"/>
          <w:rtl w:val="1"/>
        </w:rPr>
        <w:t>مذاکره در این خصوص با بنبست مواجه شد. در نتیجه، ناتوانی در تدوین قواعد شفاف برای حمایت متقابل/ همافزایی و اجرای آن، باعث واگرایی و دور شدن حقوق تجارت و حقوق محیط‌زیست میگردد و عملاً به معنای حاکمیت قواعد تجاری بر ملاحظات محیطزیستی در موارد سکوت یا ابهام است.از اینرو، مجموعه منسجمی از اصول حقوق محیط‌زیست نه تنها می‌توانند، بلکه ضرورتاً باید برای حل تعارضات و ایجاد هماهنگی بین نظام‌های حقوق تجارت و محیط زیست به کار گرفته شوند. این اصول به عنوان ابزاری برای تفسیر قواعد و پرکردن خلأهای هنجاری عمل می‌کنند.بهعبارتی، «اصول محیطزیستی می‌توانند در آشتی دادن حقوقبین‌الملل با حقوق تجارت، و ایجاد تعادل بین تجارت با منافع محیطزیستی نقش ایفا کنند.»</w:t>
      </w:r>
      <w:r>
        <w:rPr>
          <w:rStyle w:val="FootnoteReference"/>
          <w:rtl w:val="1"/>
        </w:rPr>
        <w:footnoteReference w:id="321"/>
      </w:r>
    </w:p>
    <w:p>
      <w:pPr>
        <w:pStyle w:val="GPEHeading3"/>
        <w:bidi w:val="1"/>
        <w:spacing w:line="312" w:lineRule="auto" w:before="200" w:after="120"/>
        <w:jc w:val="right"/>
      </w:pPr>
      <w:r>
        <w:rPr>
          <w:rFonts w:ascii="Times New Roman" w:hAnsi="Times New Roman" w:cs="B Nazanin"/>
          <w:sz w:val="24"/>
          <w:szCs w:val="24"/>
          <w:rtl w:val="1"/>
          <w:b/>
          <w:bCs/>
          <w:color w:val="14203a"/>
        </w:rPr>
        <w:t>۳-۱-۵-۲ اسناد سرمایه گذاری</w:t>
      </w:r>
    </w:p>
    <w:p>
      <w:pPr>
        <w:bidi w:val="1"/>
        <w:spacing w:line="312" w:lineRule="auto" w:before="0" w:after="120"/>
        <w:ind w:firstLine="454"/>
        <w:jc w:val="both"/>
      </w:pPr>
      <w:r>
        <w:rPr>
          <w:rFonts w:ascii="Times New Roman" w:hAnsi="Times New Roman" w:cs="B Nazanin"/>
          <w:sz w:val="22"/>
          <w:szCs w:val="28"/>
          <w:rtl w:val="1"/>
        </w:rPr>
        <w:t>گزارش دبیرکل در بند 72 تصویری از جایگاه ملاحظات محیطزیستی در موافقتنامههای سرمایه‌گذاری بین‌المللی ترسیم می‌کند. این تصویر حاکی از تعاملی پیچیده و در حال تحول، هنوز ناکافی، میان دو رژیم حقوقی بین‌المللی حقوق سرمایه‌گذاری و حقوق محیطزیست است. نخست، گزارش به دوگانگی چندجانبه‌گرایی و دوجانبه‌گرایی میپردازد. «وجود بندهای مربوط به محیطزیست در موافقتنامههای سرمایه‌گذاری دوجانبه نادرند، در حالی که این بندها در موافقتنامههای چندجانبه سرمایه‌گذاری، رایج‌ترند.»</w:t>
      </w:r>
      <w:r>
        <w:rPr>
          <w:rStyle w:val="FootnoteReference"/>
          <w:rtl w:val="1"/>
        </w:rPr>
        <w:footnoteReference w:id="322"/>
      </w:r>
      <w:r>
        <w:rPr>
          <w:rFonts w:ascii="Times New Roman" w:hAnsi="Times New Roman" w:cs="B Nazanin"/>
          <w:sz w:val="22"/>
          <w:szCs w:val="28"/>
          <w:rtl w:val="1"/>
        </w:rPr>
        <w:t>گزارش تفاوت مهمی بین موافقتنامههای چندجانبه و دوجانبه قائل می‌شود. این امر نشان‌دهنده آن است که رویکردهای جمعی و چندذینفعی بهتر می‌توانند ملاحظات عمومی جهانی مانند محیطزیست را ادغام کنند.</w:t>
      </w:r>
      <w:r>
        <w:rPr>
          <w:rStyle w:val="FootnoteReference"/>
          <w:rtl w:val="1"/>
        </w:rPr>
        <w:footnoteReference w:id="323"/>
      </w:r>
      <w:r>
        <w:rPr>
          <w:rFonts w:ascii="Times New Roman" w:hAnsi="Times New Roman" w:cs="B Nazanin"/>
          <w:sz w:val="22"/>
          <w:szCs w:val="28"/>
          <w:rtl w:val="1"/>
        </w:rPr>
        <w:t xml:space="preserve"> در مقابل، معاهدات دوجانبه سرمایه‌گذاری، بیشتر منعکس‌کننده رابطه قدرت و اولویت‌های تجاری خاص بین دو کشور هستند و محیطزیست اغلب در حاشیه قرار می‌گیرد.</w:t>
      </w:r>
    </w:p>
    <w:p>
      <w:pPr>
        <w:bidi w:val="1"/>
        <w:spacing w:line="312" w:lineRule="auto" w:before="0" w:after="120"/>
        <w:ind w:firstLine="454"/>
        <w:jc w:val="both"/>
      </w:pPr>
      <w:r>
        <w:rPr>
          <w:rFonts w:ascii="Times New Roman" w:hAnsi="Times New Roman" w:cs="B Nazanin"/>
          <w:sz w:val="22"/>
          <w:szCs w:val="28"/>
          <w:rtl w:val="1"/>
        </w:rPr>
        <w:t>گزارش دبیرکل سه دسته‌بندی مهم از رفتار دولتها را شناسایی می‌کند. بسیاری از کشورها بندهای محیطزیستی را در موافقتنامههای سرمایه‌گذاری خود قرار نمی‌دهند، در حالی که چند کشور توسعه‌یافته معدود به‌طور سیستماتیک این بندها را در تمامی موافقتنامههای سرمایه‌گذاری خود گنجانده‌اند. همچنین، برخی کشورها اجازه می‌دهند که بندهای محیطزیستی در موافقتنامههای سرمایه‌گذاری با کشورهایی که تمایل به گنجاندن آن‌ها دارند، لحاظ شود. در بدو امر شاهد فقدان یک استاندارد حداقلی جهانی که الزام به درج شروط محیط‌زیستی را در کلیه موافقتنامه‌های سرمایه‌گذاری مقرر کند، و فقدان چارچوبی هماهنگ برای محتوای این شروط هستیم. این امر باعث ناهمگونی شدید در دامنه تعهدات محیط‌زیستی در موافقتنامههای مختلف شده است. «همان‌گونه که کنفرانس تجارت و توسعه سازمانمللمتحد (آنکتاد) اذعان کردهاست، چارچوب کنونی سرمایه‌گذاری بین‌المللی متشکل از رژیمی پراکنده و گسترده با بیش از ۲۶۰۰ معاهده است که اکثر آنها بیش از سه دهه پیش و با کمترین توجه به حفاظت از محیطزیست مذاکره شده‌اند. درحالی که موافقت‌نامه‌های جدیدتر پس از سال ۲۰۱۰ بهبودی نسبی نشان داده‌اند، با این حال هم موافقت‌نامه‌های سرمایه‌گذاری بین‌المللی قدیمی و هم جدیدترین آنها همچنان فاقد مقررات هدفمندی برای حفاظت از محیطزیست و اقداماقلیمی هستند.»</w:t>
      </w:r>
      <w:r>
        <w:rPr>
          <w:rStyle w:val="FootnoteReference"/>
          <w:rtl w:val="1"/>
        </w:rPr>
        <w:footnoteReference w:id="324"/>
      </w:r>
    </w:p>
    <w:p>
      <w:pPr>
        <w:bidi w:val="1"/>
        <w:spacing w:line="312" w:lineRule="auto" w:before="0" w:after="120"/>
        <w:ind w:firstLine="454"/>
        <w:jc w:val="both"/>
      </w:pPr>
      <w:r>
        <w:rPr>
          <w:rFonts w:ascii="Times New Roman" w:hAnsi="Times New Roman" w:cs="B Nazanin"/>
          <w:sz w:val="22"/>
          <w:szCs w:val="28"/>
          <w:rtl w:val="1"/>
        </w:rPr>
        <w:t>با تبدیل شدن توسعه پایدار به یک ضرورت جهانی، آفریقا نیز رویه و دستور کار خود را بر آن قرار داد. مروری بر روندهای اخیر نشان می‌دهد که کشورهای آفریقایی توافق‌نامه‌های سرمایه‌گذاری بین‌المللی را بهعنوان ابزارهای مهمی برای توسعهپایدار پذیرفته‌اند.از این امر بهعنوان «آفریقایی‌سازی» حقوق سرمایه‌گذاری بین‌المللی یاد می‌شود، جایی که کشورهای آفریقایی با درج تعهدات محیطزیستی مستقیم برای سرمایه‌گذاران، پیشگام اصلاحات هستند.</w:t>
      </w:r>
      <w:r>
        <w:rPr>
          <w:rStyle w:val="FootnoteReference"/>
          <w:rtl w:val="1"/>
        </w:rPr>
        <w:footnoteReference w:id="325"/>
      </w:r>
      <w:r>
        <w:rPr>
          <w:rFonts w:ascii="Times New Roman" w:hAnsi="Times New Roman" w:cs="B Nazanin"/>
          <w:sz w:val="22"/>
          <w:szCs w:val="28"/>
          <w:rtl w:val="1"/>
        </w:rPr>
        <w:t xml:space="preserve"> از اینرو گزارش دبیرکل به پارادوکس رویه آفریقا در مقابل روند جهانی اشاره میکند، به گونهای که موافقتنامههای جدید سرمایه‌گذاری به‌ویژه در منطقه آفریقا به طور فزاینده‌ای شامل بندهای محیطزیستی هستند اما از منظر جهانی، در سال‌های اخیر فراوانی رویکردهایی که به مسائل محیطزیستی در موافقتنامههای سرمایه‌گذاری اشاره می‌کنند، کاهش یافته است.</w:t>
      </w:r>
      <w:r>
        <w:rPr>
          <w:rStyle w:val="FootnoteReference"/>
          <w:rtl w:val="1"/>
        </w:rPr>
        <w:footnoteReference w:id="326"/>
      </w:r>
      <w:r>
        <w:rPr>
          <w:rFonts w:ascii="Times New Roman" w:hAnsi="Times New Roman" w:cs="B Nazanin"/>
          <w:sz w:val="22"/>
          <w:szCs w:val="28"/>
          <w:rtl w:val="1"/>
        </w:rPr>
        <w:t xml:space="preserve"> کاهش استفاده از بندهای محیطزیستی در توافقات جدید می‌تواند به فقدان اراده سیاسی برای مقابله با چالش‌های محیطزیستی جهانی و عدم تمایل به تغییرات ساختاری در نظام‌ حقوقی سرمایه‌گذاری اشاره داشته باشد.</w:t>
      </w:r>
    </w:p>
    <w:p>
      <w:pPr>
        <w:bidi w:val="1"/>
        <w:spacing w:line="312" w:lineRule="auto" w:before="0" w:after="120"/>
        <w:ind w:firstLine="454"/>
        <w:jc w:val="both"/>
      </w:pPr>
      <w:r>
        <w:rPr>
          <w:rFonts w:ascii="Times New Roman" w:hAnsi="Times New Roman" w:cs="B Nazanin"/>
          <w:sz w:val="22"/>
          <w:szCs w:val="28"/>
          <w:rtl w:val="1"/>
        </w:rPr>
        <w:t xml:space="preserve">گزارش اذعان دارد که «خلاء‌های هنجاری به این دلیل به وجود می‌آیند که نگرانی‌های محیطزیستی خاصی که به صراحت در این موافقت‌نامه‌ها به آنها اشاره شده است، محدود هستند و عموماً شامل نگرانی‌های جدیدتری مانند تغییرات اقلیمی و تنوع زیستی نشده‌اند.»، </w:t>
      </w:r>
      <w:r>
        <w:rPr>
          <w:rStyle w:val="FootnoteReference"/>
          <w:rtl w:val="1"/>
        </w:rPr>
        <w:footnoteReference w:id="327"/>
      </w:r>
      <w:r>
        <w:rPr>
          <w:rFonts w:ascii="Times New Roman" w:hAnsi="Times New Roman" w:cs="B Nazanin"/>
          <w:sz w:val="22"/>
          <w:szCs w:val="28"/>
          <w:rtl w:val="1"/>
        </w:rPr>
        <w:t xml:space="preserve"> این گزاره مبین دو نکته است. اول، محدود بودن دامنه مسائل محیطزیستی مورد اشاره در موافقتنامههای سرمایهگذاری که حاکی از تمرکز سنتی موافقتنامهها بر مسائل کلی و کلاسیک محیط‌زیستی بدون تصریح به چالشهای نوظهور میباشد. این امر، خلاء تفسیری جدی ایجاد می‌کند که آیا موضوعات کلی محیطزیستی، می‌توانند اقدامات ضروری دولت‌ها را در برابر چالشهای نوظهور پوشش دهند؟ عدم تصریح، فضای مانور وسیعی برای داوری‌های سرمایه‌گذاری باقی می‌گذارد و ممکن است مشروعیت و قابلیت پیش‌بینی اقدامات محیطزیستی پراهمیت را تضعیف کند. دوم، ایستایی و کندی نظام موافقتنامههای سرمایه‌گذاری در برابر تحولات حقوق بین‌الملل محیط‌زیست است. در حالی که اسناد بین‌المللی محیطزیستی بهسرعت در حال توسعه و عینی‌تر شدن تعهدات هستند، نظام موافقتنامههای سرمایه‌گذاری به دلیل ماهیت ذاتاً دوجانبهاش، در انعکاس هنجارهای نوین، کند عمل می‌کند. این خلاء را اگر بتوان خلاء تکاملی و یا تاخیر هنجاری نامید، باعث می‌شود چارچوب حاکم بر سرمایه‌گذاری، از تحولات حقوق بین‌الملل محیطزیست عقب بماند و فاصله میان نظام حقوقی سرمایهگذاری و ضرورتهای محیطزیستی افزایش یابد.</w:t>
      </w:r>
    </w:p>
    <w:p>
      <w:pPr>
        <w:bidi w:val="1"/>
        <w:spacing w:line="312" w:lineRule="auto" w:before="0" w:after="120"/>
        <w:ind w:firstLine="454"/>
        <w:jc w:val="both"/>
      </w:pPr>
      <w:r>
        <w:rPr>
          <w:rFonts w:ascii="Times New Roman" w:hAnsi="Times New Roman" w:cs="B Nazanin"/>
          <w:sz w:val="22"/>
          <w:szCs w:val="28"/>
          <w:rtl w:val="1"/>
        </w:rPr>
        <w:t>در مقام ارزیابی میتوان اظهار نمود که اگرچه گفتمان ادغام محیطزیست در موافقتنامههای سرمایه‌گذاری در حال پیشروی است، بهویژه در سطح منطقه‌ای و در رویه برخی کشورهای توسعه‌یافته، اما این روند با فوریت چالش‌های محیطزیستی جهانی همگام نیست. لذا گنجاندن شروط محیط‌زیستی صریح، پویا و هماهنگ در کلیه موافقتنامه‌ها و تضمین همسویی این شروط و تفسیر آنها با تعهدات محیط‌زیستی دولتها ضرورتی برای مشروعیت‌بخشی به رژیم حقوقی سرمایه‌گذاری بینالمللی ارزیابی میگردد. از سوی دیگر، تدوین مجموعه‌ای منسجم از اصول بنیادین حقوق بین‌الملل محیط زیست می‌تواند مبنایی برای تفسیر نظاممند و هماهنگ تعهدات محیط‌زیستی در داوری‌های سرمایه‌گذاری فراهم آورد. افزون براین، برخی از اصول می‌توانند پویایی لازم را به نظام سرمایه‌گذاری ببخشند و تضمین کنند که موافقت‌نامه‌ها با تحولات سریع حقوق محیط‌زیست همگام شوند.</w:t>
      </w:r>
    </w:p>
    <w:p>
      <w:pPr>
        <w:pStyle w:val="GPEHeading3"/>
        <w:bidi w:val="1"/>
        <w:spacing w:line="312" w:lineRule="auto" w:before="200" w:after="120"/>
        <w:jc w:val="right"/>
      </w:pPr>
      <w:r>
        <w:rPr>
          <w:rFonts w:ascii="Times New Roman" w:hAnsi="Times New Roman" w:cs="B Nazanin"/>
          <w:sz w:val="24"/>
          <w:szCs w:val="24"/>
          <w:rtl w:val="1"/>
          <w:b/>
          <w:bCs/>
          <w:color w:val="14203a"/>
        </w:rPr>
        <w:t>۳-۱-۵-۳ اسناد مالکیت فکری</w:t>
      </w:r>
    </w:p>
    <w:p>
      <w:pPr>
        <w:bidi w:val="1"/>
        <w:spacing w:line="312" w:lineRule="auto" w:before="0" w:after="120"/>
        <w:ind w:firstLine="454"/>
        <w:jc w:val="both"/>
      </w:pPr>
      <w:r>
        <w:rPr>
          <w:rFonts w:ascii="Times New Roman" w:hAnsi="Times New Roman" w:cs="B Nazanin"/>
          <w:sz w:val="22"/>
          <w:szCs w:val="28"/>
          <w:rtl w:val="1"/>
        </w:rPr>
        <w:t>بر اساس بند ۷۳ گزارش، حقوق مالکیتفکری اگرچه می‌تواند مشوق توسعه فناوری‌های محیطزیستی مانند انرژی‌های تجدیدپذیر و محصولات مقاوم به تغییرات اقلیم باشند، اما در عمل گسست‌های معناداری با اهداف و هنجارهای محیط‌زیستی دارد. رابطه میان حقوق مالکیتفکری و حقوق بین‌الملل محیط‌زیست بهعنوان دو شاخه به ظاهر متمایز، امروزه در نقطه‌ای حساس از تلاقی منافع اقتصادی، نوآوری فناورانه و ضرورت‌های اکولوژیک قرار گرفته‌اند. بهگونهای که حقوق مالکیتفکری، با بنیان‌گذاری بر اصول انحصارگرایی و پاداش به نوآوری فردی، به دنبال پیشرفت علمی و فناوری از طریق تضمین حقوق مادی و معنوی برای پدیدآورندگان و مخترعان و مشوق خصوصی‌سازی دانش است. در سوی دیگر، حقوق بین‌الملل محیط‌زیست، با اتکا بر اصول خود در پی حفاظت از محیطزیست در سطح محلی، منطقه‌ای و جهانی برای نسل‌های حاضر و آینده است و دغدغههای تنوعزیستی همچون دسترسی عادلانه به منابع ژنتیکی، حفاظت از دانش سنتی جوامع محلی و بومی، اشتراک منافع حاصل از بهره‌برداری از این منابع، و تضمین انتقال فناوری‌های سازگار با محیط زیست را دارد.</w:t>
      </w:r>
    </w:p>
    <w:p>
      <w:pPr>
        <w:bidi w:val="1"/>
        <w:spacing w:line="312" w:lineRule="auto" w:before="0" w:after="120"/>
        <w:ind w:firstLine="454"/>
        <w:jc w:val="both"/>
      </w:pPr>
      <w:r>
        <w:rPr>
          <w:rFonts w:ascii="Times New Roman" w:hAnsi="Times New Roman" w:cs="B Nazanin"/>
          <w:sz w:val="22"/>
          <w:szCs w:val="28"/>
          <w:rtl w:val="1"/>
        </w:rPr>
        <w:t>به‌طور مشخص، منطق انحصارسازی و خصوصی‌سازی اطلاعات ژنتیکی حاکم بر اسناد حقوق مالکیتفکری از جمله موافقتنامه جنبههای تجاری حقوق مالکیتفکری (تریپس)</w:t>
      </w:r>
      <w:r>
        <w:rPr>
          <w:rStyle w:val="FootnoteReference"/>
          <w:rtl w:val="1"/>
        </w:rPr>
        <w:footnoteReference w:id="328"/>
      </w:r>
      <w:r>
        <w:rPr>
          <w:rFonts w:ascii="Times New Roman" w:hAnsi="Times New Roman" w:cs="B Nazanin"/>
          <w:sz w:val="22"/>
          <w:szCs w:val="28"/>
          <w:rtl w:val="1"/>
        </w:rPr>
        <w:t xml:space="preserve"> و نظام ثبت اختراع، با روح دسترسی عادلانه و اشتراک منافع مندرج در کنوانسیون تنوعزیستی</w:t>
      </w:r>
      <w:r>
        <w:rPr>
          <w:rStyle w:val="FootnoteReference"/>
          <w:rtl w:val="1"/>
        </w:rPr>
        <w:footnoteReference w:id="329"/>
      </w:r>
      <w:r>
        <w:rPr>
          <w:rFonts w:ascii="Times New Roman" w:hAnsi="Times New Roman" w:cs="B Nazanin"/>
          <w:sz w:val="22"/>
          <w:szCs w:val="28"/>
          <w:rtl w:val="1"/>
        </w:rPr>
        <w:t xml:space="preserve"> و پروتکل ناگویا در خصوص «دسترسي به منابع ژنتیکي و تسهیم عادلانه و منصفانه منافع حاصل از استفاده آنها»</w:t>
      </w:r>
      <w:r>
        <w:rPr>
          <w:rStyle w:val="FootnoteReference"/>
          <w:rtl w:val="1"/>
        </w:rPr>
        <w:footnoteReference w:id="330"/>
      </w:r>
      <w:r>
        <w:rPr>
          <w:rFonts w:ascii="Times New Roman" w:hAnsi="Times New Roman" w:cs="B Nazanin"/>
          <w:sz w:val="22"/>
          <w:szCs w:val="28"/>
          <w:rtl w:val="1"/>
        </w:rPr>
        <w:t xml:space="preserve"> در تناقض است. دلیل اصلی شکلگیری این تناقض وقوع خطای هستی‌شناختی بنیادین در نحوه درک منابع ژنتیکی به عنوان کالای ملموس حتی با وجود اذعان به ماهیت مبتنی بر اطلاعات آنها است.</w:t>
      </w:r>
      <w:r>
        <w:rPr>
          <w:rStyle w:val="FootnoteReference"/>
          <w:rtl w:val="1"/>
        </w:rPr>
        <w:footnoteReference w:id="331"/>
      </w:r>
      <w:r>
        <w:rPr>
          <w:rFonts w:ascii="Times New Roman" w:hAnsi="Times New Roman" w:cs="B Nazanin"/>
          <w:sz w:val="22"/>
          <w:szCs w:val="28"/>
          <w:rtl w:val="1"/>
        </w:rPr>
        <w:t xml:space="preserve"> علاوه بر آن، فقدان چارچوب یکپارچه برای حفاظت از منابع ژنتیکی بهعنوان خلاء هنجاری و همینطور فقدان انسجام هنجاری از سایر دلایل این تناقض می‌باشد. نتیجه این تعارض نیز تضعیف کارآمدی هر دو نظام حقوقی است.</w:t>
      </w:r>
    </w:p>
    <w:p>
      <w:pPr>
        <w:bidi w:val="1"/>
        <w:spacing w:line="312" w:lineRule="auto" w:before="0" w:after="120"/>
        <w:ind w:firstLine="454"/>
        <w:jc w:val="both"/>
      </w:pPr>
      <w:r>
        <w:rPr>
          <w:rFonts w:ascii="Times New Roman" w:hAnsi="Times New Roman" w:cs="B Nazanin"/>
          <w:sz w:val="22"/>
          <w:szCs w:val="28"/>
          <w:rtl w:val="1"/>
        </w:rPr>
        <w:t>تمرکز بخش پایانی این بند بر فقدان قواعد الزام‌آور برای افشاء منشأ منابع ژنتیکی و دانش سنتی در فرایندهای ثبت اختراع، نشان‌دهنده آن است که چارچوب‌های فعلی نتوانسته‌اند میان انگیزه‌های نوآورانه خصوصی و الزامات عدالت محیطزیستی و حفاظت از حقوق جوامع محلی و بومی، تعادل ایجاد کنند. لذا، تدوین چارچوب‌های هنجاری مشترک، که بتواند بین اهداف نوآوری فناورانه و ضرورت‌های حفاظت از محیط زیست از جمله حفاظت از تنوع زیستی و حقوق جوامع بومی و محلی و دسترسی عادلانه و تسهیم منافع به منظور حصول تعادلی پایدار ضروری مینماید.</w:t>
      </w:r>
    </w:p>
    <w:p>
      <w:pPr>
        <w:bidi w:val="1"/>
        <w:spacing w:line="312" w:lineRule="auto" w:before="0" w:after="120"/>
        <w:ind w:firstLine="454"/>
        <w:jc w:val="both"/>
      </w:pPr>
      <w:r>
        <w:rPr>
          <w:rFonts w:ascii="Times New Roman" w:hAnsi="Times New Roman" w:cs="B Nazanin"/>
          <w:sz w:val="22"/>
          <w:szCs w:val="28"/>
          <w:rtl w:val="1"/>
        </w:rPr>
        <w:t>بررسی تقابل بنیادین میان نظام حقوق مالکیت فکری و نظام حقوق بین‌الملل محیط زیست نشان می‌دهد که این دو رژیم حقوقی دچار گسست هنجاری عمیقی شده‌اند. این گسست، کارآمدی هر دو نظام را تضعیف کرده و زمینه‌ساز پدیده‌هایی هم چون سرقت علمی از منابع ژنتیکی و دانش سنتی گردیده است. معاهده وایپو مصوب 2024 در خصوص مالکیت فکری، منابع ژنتیکی و دانش سنتی مرتبط، نخستین سند الزام‌آوری است که به «خلأ هنجاری» افشای منشأ منابع ژنتیکی در فرایند ثبت اختراع پاسخ می‌دهد.</w:t>
      </w:r>
      <w:r>
        <w:rPr>
          <w:rStyle w:val="FootnoteReference"/>
          <w:rtl w:val="1"/>
        </w:rPr>
        <w:footnoteReference w:id="332"/>
      </w:r>
      <w:r>
        <w:rPr>
          <w:rFonts w:ascii="Times New Roman" w:hAnsi="Times New Roman" w:cs="B Nazanin"/>
          <w:sz w:val="22"/>
          <w:szCs w:val="28"/>
          <w:rtl w:val="1"/>
        </w:rPr>
        <w:t xml:space="preserve"> این معاهده که حاصل ۲۵ سال مذاکره است، با ایجاد «الزام به افشا» (ماده ۳) و شناسایی حقوق مردمان بومی، گامی عملی در جهت ایجاد «انسجام هنجاری» میان نظام حقوق مالکیت فکری و حقوق بین‌الملل محیط زیست محسوب می‌شود. از سوی دیگر، تدوین مجموعه‌ای جامع از اصول حقوق بین‌الملل محیطزیست ضرورتی انکارناپذیر برای حل پایدار تعارضات هنجاری میان این دو نظام حقوقی ارزیابی می‌شود.</w:t>
      </w:r>
    </w:p>
    <w:p>
      <w:pPr>
        <w:pStyle w:val="GPEHeading3"/>
        <w:bidi w:val="1"/>
        <w:spacing w:line="312" w:lineRule="auto" w:before="200" w:after="120"/>
        <w:jc w:val="right"/>
      </w:pPr>
      <w:r>
        <w:rPr>
          <w:rFonts w:ascii="Times New Roman" w:hAnsi="Times New Roman" w:cs="B Nazanin"/>
          <w:sz w:val="24"/>
          <w:szCs w:val="24"/>
          <w:rtl w:val="1"/>
          <w:b/>
          <w:bCs/>
          <w:color w:val="14203a"/>
        </w:rPr>
        <w:t>۳-۱-۵-۴ اسناد حقوقبشر</w:t>
      </w:r>
    </w:p>
    <w:p>
      <w:pPr>
        <w:bidi w:val="1"/>
        <w:spacing w:line="312" w:lineRule="auto" w:before="0" w:after="120"/>
        <w:ind w:firstLine="454"/>
        <w:jc w:val="both"/>
      </w:pPr>
      <w:r>
        <w:rPr>
          <w:rFonts w:ascii="Times New Roman" w:hAnsi="Times New Roman" w:cs="B Nazanin"/>
          <w:sz w:val="22"/>
          <w:szCs w:val="28"/>
          <w:rtl w:val="1"/>
        </w:rPr>
        <w:t>بند ۷۴ گزارش دبیرکل، تخریب محیط‌زیست را به‌مثابه یک مانع در مسیر تحقق حقوقبشر معرفی می‌کند. آلودگی هوا، تغییرات اقلیمی و نابودی اکوسیستم‌ها، صرفاً مشکلاتی فنی یا محیطزیستی نیستند، بلکه در بهرهمندی از برخی از حقوق نظیر حق دسترسی به مسکن، آب سالم، غذا، بهداشت و استانداردهای مناسب زندگی و... اختلال ایجاد میکند.</w:t>
      </w:r>
      <w:r>
        <w:rPr>
          <w:rStyle w:val="FootnoteReference"/>
          <w:rtl w:val="1"/>
        </w:rPr>
        <w:footnoteReference w:id="333"/>
      </w:r>
      <w:r>
        <w:rPr>
          <w:rFonts w:ascii="Times New Roman" w:hAnsi="Times New Roman" w:cs="B Nazanin"/>
          <w:sz w:val="22"/>
          <w:szCs w:val="28"/>
          <w:rtl w:val="1"/>
        </w:rPr>
        <w:t xml:space="preserve"> در این چارچوب، تکلیف دولت‌ها، اتخاذ اقدامات پیشگیرانه در خصوص آسیب‌های قابل پیش‌بینی ناشی از وضعیت محیطزیست میباشد. درنتیجه، ما شاهد همگرایی اصولی میان دو حوزه به ظاهر مجزای حقوقبشر و حقوق محیط‌زیست، همچون اصل پاسخگویی، شفافیت، احتیاط و...، هستیم. از آنجایی که اسناد حقوقبشری و حقوق محیطزیستی عمدتاً به صورت جداگانه و بدون هماهنگی توسعه یافته‌اند، گزارش به راههای پیوند حقوق محیط‌زیست و حقوقبشر اشاره میکند.</w:t>
      </w:r>
    </w:p>
    <w:p>
      <w:pPr>
        <w:bidi w:val="1"/>
        <w:spacing w:line="312" w:lineRule="auto" w:before="0" w:after="120"/>
        <w:ind w:firstLine="454"/>
        <w:jc w:val="both"/>
      </w:pPr>
      <w:r>
        <w:rPr>
          <w:rFonts w:ascii="Times New Roman" w:hAnsi="Times New Roman" w:cs="B Nazanin"/>
          <w:sz w:val="22"/>
          <w:szCs w:val="28"/>
          <w:rtl w:val="1"/>
        </w:rPr>
        <w:t>نخست، در خصوص تصریح به مسائل محیط‌زیستی در معاهدات حقوقبشری</w:t>
      </w:r>
      <w:r>
        <w:rPr>
          <w:rStyle w:val="FootnoteReference"/>
          <w:rtl w:val="1"/>
        </w:rPr>
        <w:footnoteReference w:id="334"/>
      </w:r>
      <w:r>
        <w:rPr>
          <w:rFonts w:ascii="Times New Roman" w:hAnsi="Times New Roman" w:cs="B Nazanin"/>
          <w:sz w:val="22"/>
          <w:szCs w:val="28"/>
          <w:rtl w:val="1"/>
        </w:rPr>
        <w:t xml:space="preserve"> میتوان به ماده 24 کنوانسیون حقوقکودک اشاره نمود که به آلودگی محیطزیست و بهداشت محیطی بهعنوان موضوعاتی اشاره میکند که باید برای تضمین حق بر سلامتی مورد توجه قرار گیرند. علاوهبرآن، ماده 29 نیز موضوع آموزش کودکان بهمنظور احترام به محیطزیست طبیعی را مطرح میسازد.</w:t>
      </w:r>
      <w:r>
        <w:rPr>
          <w:rStyle w:val="FootnoteReference"/>
          <w:rtl w:val="1"/>
        </w:rPr>
        <w:footnoteReference w:id="335"/>
      </w:r>
      <w:r>
        <w:rPr>
          <w:rFonts w:ascii="Times New Roman" w:hAnsi="Times New Roman" w:cs="B Nazanin"/>
          <w:sz w:val="22"/>
          <w:szCs w:val="28"/>
          <w:rtl w:val="1"/>
        </w:rPr>
        <w:t xml:space="preserve"> «در میان نه معاهده اصلی سازمان ملل متحد در زمینه حقوق بشر، تنها کنوانسیون حقوق کودک دارای مقرری اختصاصی است که به حمایت در برابر خطرات و مخاطرات آلودگی محیط‌زیست» و همچنین حق بر آموزشی که «معطوف به... ایجاد احترام به محیط‌زیست طبیعی باشد، می‌پردازد. میثاق بین‌المللی حقوق اقتصادی، اجتماعی و فرهنگی به‌طور غیرمستقیم به حفاظت از محیط‌زیست به عنوان یکی از گام‌های تدریجی اشاره می‌کند که دولت‌ها برای دستیابی به تحقق کامل حق بر سلامت باید بردارند. به این منظور، این میثاق بهبود همه جنبه‌های بهداشت محیطی و صنعتی را پیش‌بینی می‌کند. سایر معاهدات، از جمله میثاق بین‌المللی حقوق مدنی و سیاسی و کنوانسیون رفع هرگونه تبعیض علیه زنان، به مسائل محیط‌زیستی نمی‌پردازند.»</w:t>
      </w:r>
      <w:r>
        <w:rPr>
          <w:rStyle w:val="FootnoteReference"/>
          <w:rtl w:val="1"/>
        </w:rPr>
        <w:footnoteReference w:id="336"/>
      </w:r>
      <w:r>
        <w:rPr>
          <w:rFonts w:ascii="Times New Roman" w:hAnsi="Times New Roman" w:cs="B Nazanin"/>
          <w:sz w:val="22"/>
          <w:szCs w:val="28"/>
          <w:rtl w:val="1"/>
        </w:rPr>
        <w:t xml:space="preserve"> ناگفته نماند که مواد 24 و 29 کنوانسیون حقوق کودک برای زمان خود نوآوری هنجاری محسوب میشوند، که حفاظت از محیط‌زیست را بهعنوان بستر ضروری تحقق حقوقبشر به رسمیت شناختهاند و با گرهزدن محیط‌زیست به حقوقی که اجماع جهانی دارند مانند حق کودک بر سلامت و آموزش، مقاومت سیاسی دولتها را کاهش می‌دهد و راهی عملی برای ادغام ملاحظات محیطزیستی در حقوقبشر باز می‌کند.</w:t>
      </w:r>
    </w:p>
    <w:p>
      <w:pPr>
        <w:bidi w:val="1"/>
        <w:spacing w:line="312" w:lineRule="auto" w:before="0" w:after="120"/>
        <w:ind w:firstLine="454"/>
        <w:jc w:val="both"/>
      </w:pPr>
      <w:r>
        <w:rPr>
          <w:rFonts w:ascii="Times New Roman" w:hAnsi="Times New Roman" w:cs="B Nazanin"/>
          <w:sz w:val="22"/>
          <w:szCs w:val="28"/>
          <w:rtl w:val="1"/>
        </w:rPr>
        <w:t>دوم، به رسمیت شناختن حق برخورداری از محیطزیست سالم در برخی از اسناد حقوق بشری منطقهای</w:t>
      </w:r>
      <w:r>
        <w:rPr>
          <w:rStyle w:val="FootnoteReference"/>
          <w:rtl w:val="1"/>
        </w:rPr>
        <w:footnoteReference w:id="337"/>
      </w:r>
      <w:r>
        <w:rPr>
          <w:rFonts w:ascii="Times New Roman" w:hAnsi="Times New Roman" w:cs="B Nazanin"/>
          <w:sz w:val="22"/>
          <w:szCs w:val="28"/>
          <w:rtl w:val="1"/>
        </w:rPr>
        <w:t xml:space="preserve"> که امکان حصول اجماع سیاسی در آن بیشتر است، مانند منشور آفریقایی حقوق بشر و مردم</w:t>
      </w:r>
      <w:r>
        <w:rPr>
          <w:rStyle w:val="FootnoteReference"/>
          <w:rtl w:val="1"/>
        </w:rPr>
        <w:footnoteReference w:id="338"/>
      </w:r>
      <w:r>
        <w:rPr>
          <w:rFonts w:ascii="Times New Roman" w:hAnsi="Times New Roman" w:cs="B Nazanin"/>
          <w:sz w:val="22"/>
          <w:szCs w:val="28"/>
          <w:rtl w:val="1"/>
        </w:rPr>
        <w:t xml:space="preserve"> و دو سند آمریکای لاتین</w:t>
      </w:r>
      <w:r>
        <w:rPr>
          <w:rStyle w:val="FootnoteReference"/>
          <w:rtl w:val="1"/>
        </w:rPr>
        <w:footnoteReference w:id="339"/>
      </w:r>
      <w:r>
        <w:rPr>
          <w:rFonts w:ascii="Times New Roman" w:hAnsi="Times New Roman" w:cs="B Nazanin"/>
          <w:sz w:val="22"/>
          <w:szCs w:val="28"/>
          <w:rtl w:val="1"/>
        </w:rPr>
        <w:t>، رویکردی جسورانه‌ و تحول‌آفرین است که گامی فراتر از ادغام موضوعی و به سوی نهادینه‌سازی یک حق مستقل، چارچوب مفهومی منسجم‌تر و ادعای حقوقی قوی‌تری محسوب میشود. گرچه این امر با چالش فقدان تعریف واحد و تعیین حد و آستانه روبهرو است</w:t>
      </w:r>
      <w:r>
        <w:rPr>
          <w:rStyle w:val="FootnoteReference"/>
          <w:rtl w:val="1"/>
        </w:rPr>
        <w:footnoteReference w:id="340"/>
      </w:r>
      <w:r>
        <w:rPr>
          <w:rFonts w:ascii="Times New Roman" w:hAnsi="Times New Roman" w:cs="B Nazanin"/>
          <w:sz w:val="22"/>
          <w:szCs w:val="28"/>
          <w:rtl w:val="1"/>
        </w:rPr>
        <w:t xml:space="preserve"> که موضوع این نگاره نمی‌باشد.</w:t>
      </w:r>
    </w:p>
    <w:p>
      <w:pPr>
        <w:bidi w:val="1"/>
        <w:spacing w:line="312" w:lineRule="auto" w:before="0" w:after="120"/>
        <w:ind w:firstLine="454"/>
        <w:jc w:val="both"/>
      </w:pPr>
      <w:r>
        <w:rPr>
          <w:rFonts w:ascii="Times New Roman" w:hAnsi="Times New Roman" w:cs="B Nazanin"/>
          <w:sz w:val="22"/>
          <w:szCs w:val="28"/>
          <w:rtl w:val="1"/>
        </w:rPr>
        <w:t>سوم، استخراج برخی حقوق مرتبط با محیطزیست در زمان سکوت اسناد حقوقبشری و با اتکا به اقدامات ارکان معاهدهای و رویههای خاص حقوق بشری باعث ایجاد پویایی در توسعه حقوق گردیده است که ظرفیت نظام حقوق بشر را برای پاسخگویی به چالش‌های نوظهور محیطزیستی، که خود تهدیدی بنیادین برای کرامت انسانی هستند، به نمایش می‌گذارد. به عنوان مثال، میثاق بین‌المللی حقوق اقتصادی، اجتماعی و فرهنگی هیچ اشاره صریحی به حق بر آب و بهداشت ندارد. کمیته حقوق اقتصادی، اجتماعی و فرهنگی مستفاد از مواد ۱۱ (حق بر استاندارد زندگی مناسب) و ۱۲ (حق بر سلامت) میثاق، مبادرت به صدور نظریه عمومی شماره ۱۵ (۲۰۰۲) راجع به حق بر آب و بهداشت نموده است.</w:t>
      </w:r>
      <w:r>
        <w:rPr>
          <w:rStyle w:val="FootnoteReference"/>
          <w:rtl w:val="1"/>
        </w:rPr>
        <w:footnoteReference w:id="341"/>
      </w:r>
      <w:r>
        <w:rPr>
          <w:rFonts w:ascii="Times New Roman" w:hAnsi="Times New Roman" w:cs="B Nazanin"/>
          <w:sz w:val="22"/>
          <w:szCs w:val="28"/>
          <w:rtl w:val="1"/>
        </w:rPr>
        <w:t xml:space="preserve"> شایان ذکر است، ارکان معاهدهای در بررسی گزارش‌های ادواری دولتها در قالب ملاحظات نهایی</w:t>
      </w:r>
      <w:r>
        <w:rPr>
          <w:rStyle w:val="FootnoteReference"/>
          <w:rtl w:val="1"/>
        </w:rPr>
        <w:footnoteReference w:id="342"/>
      </w:r>
      <w:r>
        <w:rPr>
          <w:rFonts w:ascii="Times New Roman" w:hAnsi="Times New Roman" w:cs="B Nazanin"/>
          <w:sz w:val="22"/>
          <w:szCs w:val="28"/>
          <w:rtl w:val="1"/>
        </w:rPr>
        <w:t xml:space="preserve"> با اشاره مستقیم به سیاست‌های محیطزیستی دولت، کاربرد عینی تعهدات حقوقبشری را در زمینه محیط‌زیست منعکس میکنند.</w:t>
      </w:r>
      <w:r>
        <w:rPr>
          <w:rStyle w:val="FootnoteReference"/>
          <w:rtl w:val="1"/>
        </w:rPr>
        <w:footnoteReference w:id="343"/>
      </w:r>
      <w:r>
        <w:rPr>
          <w:rFonts w:ascii="Times New Roman" w:hAnsi="Times New Roman" w:cs="B Nazanin"/>
          <w:sz w:val="22"/>
          <w:szCs w:val="28"/>
          <w:rtl w:val="1"/>
        </w:rPr>
        <w:t xml:space="preserve"> علاوهبراین، ما شاهد ایجاد پست گزارشگرهای ویژه نزد شورای حقوق بشر در مورد آب آشامیدنی سالم و بهداشت</w:t>
      </w:r>
      <w:r>
        <w:rPr>
          <w:rStyle w:val="FootnoteReference"/>
          <w:rtl w:val="1"/>
        </w:rPr>
        <w:footnoteReference w:id="344"/>
      </w:r>
      <w:r>
        <w:rPr>
          <w:rFonts w:ascii="Times New Roman" w:hAnsi="Times New Roman" w:cs="B Nazanin"/>
          <w:sz w:val="22"/>
          <w:szCs w:val="28"/>
          <w:rtl w:val="1"/>
        </w:rPr>
        <w:t xml:space="preserve"> در سال 2008، محیط زیست پاک، سالم و پایدار </w:t>
      </w:r>
      <w:r>
        <w:rPr>
          <w:rStyle w:val="FootnoteReference"/>
          <w:rtl w:val="1"/>
        </w:rPr>
        <w:footnoteReference w:id="345"/>
      </w:r>
      <w:r>
        <w:rPr>
          <w:rFonts w:ascii="Times New Roman" w:hAnsi="Times New Roman" w:cs="B Nazanin"/>
          <w:sz w:val="22"/>
          <w:szCs w:val="28"/>
          <w:rtl w:val="1"/>
        </w:rPr>
        <w:t xml:space="preserve"> در سال 2012 و حمایت و حفاظت از محیطزیست در زمینه تغییراقلیم</w:t>
      </w:r>
      <w:r>
        <w:rPr>
          <w:rStyle w:val="FootnoteReference"/>
          <w:rtl w:val="1"/>
        </w:rPr>
        <w:footnoteReference w:id="346"/>
      </w:r>
      <w:r>
        <w:rPr>
          <w:rFonts w:ascii="Times New Roman" w:hAnsi="Times New Roman" w:cs="B Nazanin"/>
          <w:sz w:val="22"/>
          <w:szCs w:val="28"/>
          <w:rtl w:val="1"/>
        </w:rPr>
        <w:t xml:space="preserve"> در سال 2021، صدور بیانیهها و نظریههای عمومی توسط ارکان معاهدهای، انتشار گزارشها و صدور قطعنامههای سالانه حقوقبشری در شورای حقوقبشر و مجمععمومی سازمانمللمتحد هستیم.از این میان، مهمترین اقدام صورت گرفته، شناسایی حق برخورداری از محیطزیست پاک، سالم و پایدار بهعنوان یک حق بشری توسط شورای حقوق بشر در سال 2021</w:t>
      </w:r>
      <w:r>
        <w:rPr>
          <w:rStyle w:val="FootnoteReference"/>
          <w:rtl w:val="1"/>
        </w:rPr>
        <w:footnoteReference w:id="347"/>
      </w:r>
      <w:r>
        <w:rPr>
          <w:rFonts w:ascii="Times New Roman" w:hAnsi="Times New Roman" w:cs="B Nazanin"/>
          <w:sz w:val="22"/>
          <w:szCs w:val="28"/>
          <w:rtl w:val="1"/>
        </w:rPr>
        <w:t xml:space="preserve"> و مجمععمومی سازمانمللمتحد در سال 2022</w:t>
      </w:r>
      <w:r>
        <w:rPr>
          <w:rStyle w:val="FootnoteReference"/>
          <w:rtl w:val="1"/>
        </w:rPr>
        <w:footnoteReference w:id="348"/>
      </w:r>
      <w:r>
        <w:rPr>
          <w:rFonts w:ascii="Times New Roman" w:hAnsi="Times New Roman" w:cs="B Nazanin"/>
          <w:sz w:val="22"/>
          <w:szCs w:val="28"/>
          <w:rtl w:val="1"/>
        </w:rPr>
        <w:t xml:space="preserve"> میباشد. منطق اصلی در شناسایی این حق بر پایه سه محور کلیدی استوار است: پیش‌شرط اساسی برای احقاق سایر حقوق بشر، پاسخ به بحران‌های محیطزیستی فزاینده و رفع خلاء موجود در ساختار هنجاری حقوقبشر. این اقدامات در چارچوب توسعه تدریجی حقوق بین‌الملل، نقاط پراکنده میان حقوق بشر و محیط‌زیست را به هم متصل کرده و تلاشی برای تلفیق نظاممند از طریق فعالیت‌های نهادی محسوب می‌شوند. این اقدامات ماهیتاً نشان‌دهنده آگاهی فزاینده از ضرورت ادغام ملاحظات حقوق بشری در حکمرانی محیطزیستی و ضرورت مقابله همه‌جانبه با بحرانهای محیطزیستی بودهاند.</w:t>
      </w:r>
    </w:p>
    <w:p>
      <w:pPr>
        <w:bidi w:val="1"/>
        <w:spacing w:line="312" w:lineRule="auto" w:before="0" w:after="120"/>
        <w:ind w:firstLine="454"/>
        <w:jc w:val="both"/>
      </w:pPr>
      <w:r>
        <w:rPr>
          <w:rFonts w:ascii="Times New Roman" w:hAnsi="Times New Roman" w:cs="B Nazanin"/>
          <w:sz w:val="22"/>
          <w:szCs w:val="28"/>
          <w:rtl w:val="1"/>
        </w:rPr>
        <w:t>چهارم، اشاره به نقش دادگاه‌های منطقه‌ای حقوق بشر به عنوان بازیگران توانمند در جریانسازی و اجرای عملی پیوند حقوق محیطزیست و حقوقبشر است. پارگراف 76 گزارش دبیرکل به نظر مشورتی پیشگامانه دادگاه بینآمریکایی حقوقبشر در سال ۲۰۱۷ مبنی بر تکلیف دولت‌ها برای جلوگیری از آسیب محیطزیستی قابلتوجه، حتی فراتر از مرزهای سرزمینی خود اشاره کرده است. این نظر مشورتی مبین تغییر پارادیم در حقوق بینالملل محیطزیست و نوآوری قضایی در سه حوزه شناسایی حق مستقل برخورداری از محیط‌زیست سالم، صلاحیت فراسرزمینی برای خسارت محیطزیستی فرامرزی و مسئولیت دولت در قبال خسارات ‌محیطزیستی در داخل و فراتر از مرزهای دولت است.</w:t>
      </w:r>
      <w:r>
        <w:rPr>
          <w:rStyle w:val="FootnoteReference"/>
          <w:rtl w:val="1"/>
        </w:rPr>
        <w:footnoteReference w:id="349"/>
      </w:r>
      <w:r>
        <w:rPr>
          <w:rFonts w:ascii="Times New Roman" w:hAnsi="Times New Roman" w:cs="B Nazanin"/>
          <w:sz w:val="22"/>
          <w:szCs w:val="28"/>
          <w:rtl w:val="1"/>
        </w:rPr>
        <w:t xml:space="preserve"> این امر نشان می‌دهد که مراجع قضایی می‌توانند خلاءهای موجود در اسناد جهانی را با ایجاد رویه‌قضایی پرکنند و قاعده‌ای را تثبیت نمایند که مسئولیت دولت‌ها در قبال آثار فرامرزی تخریب محیط‌زیست بر حقوق افراد را به رسمیت بشناسد. اما این رویکرد نظاممند و در میان محاکم قضایی یکسان نیست. بهعنوان مثال، دادگاه بین‌آمریکایی حقوق بشر در نظریه مشورتی 2025 برای نخستین بار در تاریخ حقوق بین‌الملل، تعهد به عدم وارد کردن خسارت جبران‌ناپذیر به اقلیم و محیط‌زیست را دارای ماهیت قاعده آمره</w:t>
      </w:r>
      <w:r>
        <w:rPr>
          <w:rStyle w:val="FootnoteReference"/>
          <w:rtl w:val="1"/>
        </w:rPr>
        <w:footnoteReference w:id="350"/>
      </w:r>
      <w:r>
        <w:rPr>
          <w:rFonts w:ascii="Times New Roman" w:hAnsi="Times New Roman" w:cs="B Nazanin"/>
          <w:sz w:val="22"/>
          <w:szCs w:val="28"/>
          <w:rtl w:val="1"/>
        </w:rPr>
        <w:t xml:space="preserve"> اعلام کرد.</w:t>
      </w:r>
      <w:r>
        <w:rPr>
          <w:rStyle w:val="FootnoteReference"/>
          <w:rtl w:val="1"/>
        </w:rPr>
        <w:footnoteReference w:id="351"/>
      </w:r>
      <w:r>
        <w:rPr>
          <w:rFonts w:ascii="Times New Roman" w:hAnsi="Times New Roman" w:cs="B Nazanin"/>
          <w:sz w:val="22"/>
          <w:szCs w:val="28"/>
          <w:rtl w:val="1"/>
        </w:rPr>
        <w:t xml:space="preserve"> این در حالی است که اندکی بعد دیوان بینالمللی دادگستری در نظریه مشورتی خود در خصوص تعهدات دولتها در رابطه با تغییر اقلیم اعلام نمود که «تعهدات مربوط به حفاظت از سیستم اقلیمی و سایر بخش‌های محیط‌زیست در برابر انتشار گازهای گلخانه‌ای انسانی، تعهدات عامالشمول</w:t>
      </w:r>
      <w:r>
        <w:rPr>
          <w:rStyle w:val="FootnoteReference"/>
          <w:rtl w:val="1"/>
        </w:rPr>
        <w:footnoteReference w:id="352"/>
      </w:r>
      <w:r>
        <w:rPr>
          <w:rFonts w:ascii="Times New Roman" w:hAnsi="Times New Roman" w:cs="B Nazanin"/>
          <w:sz w:val="22"/>
          <w:szCs w:val="28"/>
          <w:rtl w:val="1"/>
        </w:rPr>
        <w:t xml:space="preserve"> هستند.»</w:t>
      </w:r>
      <w:r>
        <w:rPr>
          <w:rStyle w:val="FootnoteReference"/>
          <w:rtl w:val="1"/>
        </w:rPr>
        <w:footnoteReference w:id="353"/>
      </w:r>
      <w:r>
        <w:rPr>
          <w:rFonts w:ascii="Times New Roman" w:hAnsi="Times New Roman" w:cs="B Nazanin"/>
          <w:sz w:val="22"/>
          <w:szCs w:val="28"/>
          <w:rtl w:val="1"/>
        </w:rPr>
        <w:t xml:space="preserve"> عدم یکسانی رویکرد میان محاکم قضایی بین‌المللی در زمینه پیوند حقوق بشر و محیط‌زیست با تکیه بر رویکرد مبتنی بر عمل</w:t>
      </w:r>
      <w:r>
        <w:rPr>
          <w:rStyle w:val="FootnoteReference"/>
          <w:rtl w:val="1"/>
        </w:rPr>
        <w:footnoteReference w:id="354"/>
      </w:r>
      <w:r>
        <w:rPr>
          <w:rFonts w:ascii="Times New Roman" w:hAnsi="Times New Roman" w:cs="B Nazanin"/>
          <w:sz w:val="22"/>
          <w:szCs w:val="28"/>
          <w:rtl w:val="1"/>
        </w:rPr>
        <w:t>، ریشه در تفاوت‌های بنیادین در منطق تأسیس و فرهنگ‌های حقوقی آن‌ها دارد. دادگاه‌هایی با منطق قربانی‌محور مانند دادگاه بین‌آمریکایی حقوق بشر و دیوان بینالمللی کیفری رویکردی جسورانه‌تر و نوآورانه‌تر اتخاذ می‌کنند، در حالی که دادگاه‌هایی با منطق دولت‌محور مانند دادگاه اروپایی حقوق بشر و دیوان بینالمللی دادگستری رویکردی محتاطانه‌تر و محدودتر دارند.</w:t>
      </w:r>
      <w:r>
        <w:rPr>
          <w:rStyle w:val="FootnoteReference"/>
          <w:rtl w:val="1"/>
        </w:rPr>
        <w:footnoteReference w:id="355"/>
      </w:r>
    </w:p>
    <w:p>
      <w:pPr>
        <w:bidi w:val="1"/>
        <w:spacing w:line="312" w:lineRule="auto" w:before="0" w:after="120"/>
        <w:ind w:firstLine="454"/>
        <w:jc w:val="both"/>
      </w:pPr>
      <w:r>
        <w:rPr>
          <w:rFonts w:ascii="Times New Roman" w:hAnsi="Times New Roman" w:cs="B Nazanin"/>
          <w:sz w:val="22"/>
          <w:szCs w:val="28"/>
          <w:rtl w:val="1"/>
        </w:rPr>
        <w:t>با توجه به توضیحات فوق، شاهد شکلگیری یک چرخه تکاملی هستیم. به گونهای که قطعنامه‌های نهادهای بینالمللی به تفسیرهای ارکان معاهدهای مشروعیت می‌دهند، تفسیرهای ارکان معاهدهای مواد خام حقوقی را برای محاکم بین المللی فراهم می‌کنند و آرای نوآورانه محاکم به نوبه خود، دستورکار نهادهای بینالمللی را غنی‌تر می‌کنند.</w:t>
      </w:r>
    </w:p>
    <w:p>
      <w:pPr>
        <w:bidi w:val="1"/>
        <w:spacing w:line="312" w:lineRule="auto" w:before="0" w:after="120"/>
        <w:ind w:firstLine="454"/>
        <w:jc w:val="both"/>
      </w:pPr>
      <w:r>
        <w:rPr>
          <w:rFonts w:ascii="Times New Roman" w:hAnsi="Times New Roman" w:cs="B Nazanin"/>
          <w:sz w:val="22"/>
          <w:szCs w:val="28"/>
          <w:rtl w:val="1"/>
        </w:rPr>
        <w:t>در مقام ارزیابی میتوان اظهارنظر نمود که که حقوق بین‌الملل در تقاطع حقوق محیطزیست و حقوق بشر با خلاءهایی از نوع هنجاری، نهادی و انسجام روبهرو است و وجود مسیرهای موازی در راستای پیوند حقوقبشر و حقوق محیطزیست منجر به پراکندگی هنجاری و نهادی گردیده است. عدم شناسایی صریح حق بر محیطزیست سالم در اسناد جهانی حقوق بشر بر خلاف برخی اسناد منطقه‌ای، فقدان تعریف مشخص و واحد از حق بر محیطزیست سالم، سطح حمایت متفاوت در مناطق مختلف جهان، مکانیسم‌های اجرایی ناهمگون، چالش مشروعیت هنجارهای مذاکره نشده توسط دولتها</w:t>
      </w:r>
      <w:r>
        <w:rPr>
          <w:rStyle w:val="FootnoteReference"/>
          <w:rtl w:val="1"/>
        </w:rPr>
        <w:footnoteReference w:id="356"/>
      </w:r>
      <w:r>
        <w:rPr>
          <w:rFonts w:ascii="Times New Roman" w:hAnsi="Times New Roman" w:cs="B Nazanin"/>
          <w:sz w:val="22"/>
          <w:szCs w:val="28"/>
          <w:rtl w:val="1"/>
        </w:rPr>
        <w:t>، رسیدگی موردی سازوکارهای بینالمللی حوزه حقوقبشر به موضوعات محیطزیستی نظیر تغییراقلیم و مغفول ماندن سایر موضوعات محیطزیستی، فقدان مکانیسم‌های تعامل نظام‌مند میان حقوقبشر و حقوق محیطزیست نمونههایی از خلاءهای موجودند. این خلاءها نه تنها اثربخشی حقوق بین‌الملل محیطزیست را تضعیف می‌کنند، بلکه تحقق حقوقبشر را نیز به مخاطره می‌اندازند. رفع این خلاءها نیازمند اراده سیاسی، رویکرد یکپارچه و مشارکت همه ذی‌نفعان در سطوح ملی، منطقه‌ای و جهانی است. تدوین چارچوب حقوقی منسجم و الزام‌آور، همراه با تقویت مکانیسم‌های نظارتی و اجرایی، می‌تواند گامی اساسی در جهت تحقق حقوق محیطزیستی و حقوقبشری برای نسل‌های حاضر و آینده باشد.</w:t>
      </w:r>
    </w:p>
    <w:p>
      <w:pPr>
        <w:bidi w:val="1"/>
        <w:spacing w:line="312" w:lineRule="auto" w:before="0" w:after="120"/>
        <w:ind w:firstLine="454"/>
        <w:jc w:val="both"/>
      </w:pPr>
      <w:r>
        <w:rPr>
          <w:rFonts w:ascii="Times New Roman" w:hAnsi="Times New Roman" w:cs="B Nazanin"/>
          <w:sz w:val="22"/>
          <w:szCs w:val="28"/>
          <w:rtl w:val="1"/>
        </w:rPr>
        <w:t>INTERNATIONAL ENVIRONMENTAL GOVERNANCE:</w:t>
      </w:r>
    </w:p>
    <w:p>
      <w:pPr>
        <w:bidi w:val="1"/>
        <w:spacing w:line="312" w:lineRule="auto" w:before="0" w:after="120"/>
        <w:ind w:firstLine="454"/>
        <w:jc w:val="both"/>
      </w:pPr>
      <w:r>
        <w:rPr>
          <w:rFonts w:ascii="Times New Roman" w:hAnsi="Times New Roman" w:cs="B Nazanin"/>
          <w:sz w:val="22"/>
          <w:szCs w:val="28"/>
          <w:rtl w:val="1"/>
        </w:rPr>
        <w:t>MANAGING FRAGMENTATION THROUGH</w:t>
      </w:r>
    </w:p>
    <w:p>
      <w:pPr>
        <w:bidi w:val="1"/>
        <w:spacing w:line="312" w:lineRule="auto" w:before="0" w:after="120"/>
        <w:ind w:firstLine="454"/>
        <w:jc w:val="both"/>
      </w:pPr>
      <w:r>
        <w:rPr>
          <w:rFonts w:ascii="Times New Roman" w:hAnsi="Times New Roman" w:cs="B Nazanin"/>
          <w:sz w:val="22"/>
          <w:szCs w:val="28"/>
          <w:rtl w:val="1"/>
        </w:rPr>
        <w:t>INSTITUTIONAL CONNECTION</w:t>
      </w:r>
    </w:p>
    <w:p>
      <w:pPr>
        <w:pStyle w:val="GPEHeading3"/>
        <w:bidi w:val="1"/>
        <w:spacing w:line="312" w:lineRule="auto" w:before="200" w:after="120"/>
        <w:jc w:val="right"/>
      </w:pPr>
      <w:r>
        <w:rPr>
          <w:rFonts w:ascii="Times New Roman" w:hAnsi="Times New Roman" w:cs="B Nazanin"/>
          <w:sz w:val="24"/>
          <w:szCs w:val="24"/>
          <w:rtl w:val="1"/>
          <w:b/>
          <w:bCs/>
          <w:color w:val="14203a"/>
        </w:rPr>
        <w:t>۳-۱-۶ خلاءهای مرتبط با ساختار حکمرانی حقوق بین الملل محیطزیست</w:t>
      </w:r>
    </w:p>
    <w:p>
      <w:pPr>
        <w:bidi w:val="1"/>
        <w:spacing w:line="312" w:lineRule="auto" w:before="0" w:after="120"/>
        <w:ind w:firstLine="454"/>
        <w:jc w:val="both"/>
      </w:pPr>
      <w:r>
        <w:rPr>
          <w:rFonts w:ascii="Times New Roman" w:hAnsi="Times New Roman" w:cs="B Nazanin"/>
          <w:sz w:val="22"/>
          <w:szCs w:val="28"/>
          <w:rtl w:val="1"/>
        </w:rPr>
        <w:t>در حالی که وحدت، درهم‌تنیدگی و وابستگی متقابل اکوسیستم زمین یک اصل علمی بنیادین است، ساختار حقوقی پاسخگو به آن، به شدت پراکنده، موضوع-محور و مجزا است. از این رو، ساختار حکمرانی بین‌المللی محیط‌زیست در میانه یک تناقض بنیادین گرفتار شده است: از یک سو، ماهیت یکپارچه و به هم‌پیوسته بحران‌های محیطزیستی نیازمند پاسخ‌هایی منسجم، جامع و مبتنی بر همکاری است؛ از سوی دیگر، معماری نهادی پاسخگو به این بحران‌ها به شدت تکه‌تکه، پراکنده و فاقد مکانیسم‌های هماهنگی مؤثر است.</w:t>
      </w:r>
    </w:p>
    <w:p>
      <w:pPr>
        <w:bidi w:val="1"/>
        <w:spacing w:line="312" w:lineRule="auto" w:before="0" w:after="120"/>
        <w:ind w:firstLine="454"/>
        <w:jc w:val="both"/>
      </w:pPr>
      <w:r>
        <w:rPr>
          <w:rFonts w:ascii="Times New Roman" w:hAnsi="Times New Roman" w:cs="B Nazanin"/>
          <w:sz w:val="22"/>
          <w:szCs w:val="28"/>
          <w:rtl w:val="1"/>
        </w:rPr>
        <w:t>در حال حاضر بیش از ۵۰۰ موافقت‌نامه چندجانبه محیط‌زیستی (جهانی و منطقه‌ای) لازم‌الاجراست. اگرچه این شمار، تا حدی نشان‌دهنده موفقیت جامعه بین‌المللی در پاسخ به تخریب محیط‌زیست است، اما در عین حال به انتقادی جدی دامن زده است: حقوق بین‌الملل محیط‌زیست از «ازدحام معاهداتی» و «پراکندگی»</w:t>
      </w:r>
      <w:r>
        <w:rPr>
          <w:rStyle w:val="FootnoteReference"/>
          <w:rtl w:val="1"/>
        </w:rPr>
        <w:footnoteReference w:id="357"/>
      </w:r>
      <w:r>
        <w:rPr>
          <w:rFonts w:ascii="Times New Roman" w:hAnsi="Times New Roman" w:cs="B Nazanin"/>
          <w:sz w:val="22"/>
          <w:szCs w:val="28"/>
          <w:rtl w:val="1"/>
        </w:rPr>
        <w:t xml:space="preserve"> رنج می‌برد. پراکندگی به‌خودی‌خود پدیده‌ای منفی نیست؛ برخی آن را مایه ناکارآمدی، فقدان هم‌افزایی، و تناقض در استانداردها می‌دانند، و برخی دیگر آن را نشانه «گسترش هنجاری و نهادی بی‌سابقه» و پویایی حقوقبین‌الملل تلقی می‌کنند. اما صرف‌نظر از ارزیابی، این پراکندگی -که ناشی از ایجاد رژیم‌ها و نهادهای متعدد با حوزه‌های مأموریتی همپوشان است- خطر تکرار، واگرایی و حتی تعارض میان تعهدات محیطزیستی را به‌وجود آورده است. برای نمونه، پروتکل مونترآل در خصوص مواد کاهنده لایه اوزن (۱۹۸۷) با محدود کردن تولید کلروفلوئوروکربن‌ها، به تولید گسترده جایگزین‌هایی مانند هیدروکلروفلوئوروکربن‌ها انجامید که خود ۱۰۰۰۰ برابر قوی‌تر از دی‌اکسیدکربن به‌عنوان گاز گلخانه‌ای عمل می‌کنند و بدین‌ترتیب اهداف پروتکل کیوتو را تضعیف کردند. از سوی دیگر، همپوشانی‌ ماموریت موافقتنامههای چندجانبه محیط زیستی می‌توانند بستری برای هم‌افزایی و حمایت‌ متقابل و اجرای موثرتر فراهم آورند؛ چنان‌که اقدامات تجاری CITES از اهداف حفاظتی کنوانسیون تنوع زیستی و کنوانسیون گونه‌های مهاجر (CMS) پشتیبانی می‌کنند. بنابراین، موضوع اصلی حذف پراکندگی نیست، بلکه مدیریت خطرات و بهره‌گیری از فرصت‌های آن است. رویکرد قابل دفاع، بر توسعه سازوکارهای حکمرانی تکیه دارد تا هم تعارضات را مدیریت کند و هم مزایای ناشی از همپوشانی حوزه‌های مأموریتی را به حداکثر برساند. </w:t>
      </w:r>
      <w:r>
        <w:rPr>
          <w:rStyle w:val="FootnoteReference"/>
          <w:rtl w:val="1"/>
        </w:rPr>
        <w:footnoteReference w:id="358"/>
      </w:r>
      <w:r>
        <w:rPr>
          <w:rFonts w:ascii="Times New Roman" w:hAnsi="Times New Roman" w:cs="B Nazanin"/>
          <w:sz w:val="22"/>
          <w:szCs w:val="28"/>
          <w:rtl w:val="1"/>
        </w:rPr>
        <w:t xml:space="preserve"> این کنایه‌آمیز است که فرآیند بازنگری حکمرانی بین‌المللی محیطزیست به اندازه نظام حکمرانی مورد بازنگری، پراکنده است!</w:t>
      </w:r>
      <w:r>
        <w:rPr>
          <w:rStyle w:val="FootnoteReference"/>
          <w:rtl w:val="1"/>
        </w:rPr>
        <w:footnoteReference w:id="359"/>
      </w:r>
      <w:r>
        <w:rPr>
          <w:rFonts w:ascii="Times New Roman" w:hAnsi="Times New Roman" w:cs="B Nazanin"/>
          <w:sz w:val="22"/>
          <w:szCs w:val="28"/>
          <w:rtl w:val="1"/>
        </w:rPr>
        <w:t xml:space="preserve"> در ادامه، این بخش به بررسی سه خلاء عمده در ساختار حکمرانی حقوق بینالملل محیطزیست می‌پردازد: خلاء هماهنگی نهادی ناشی از تکثر معاهدات و نهادهای موازی، خلاء حکمرانی در تعامل با دیگر رژیم‌های حقوقیبین‌المللی و خلاء مشروعیتی ناشی از محدودیت‌های مشارکت بازیگران غیردولتی. به نظر میرسد که رفع این خلاء‌ها نیازمند عبور از راهکارهای فنی-اداری صرف و حرکت به سمت اصلاحات ساختاری عمیق‌تر در راستای ایجاد یک «حکمرانی شبکه‌ای یکپارچه» است.</w:t>
      </w:r>
    </w:p>
    <w:p>
      <w:pPr>
        <w:pStyle w:val="GPEHeading3"/>
        <w:bidi w:val="1"/>
        <w:spacing w:line="312" w:lineRule="auto" w:before="200" w:after="120"/>
        <w:jc w:val="right"/>
      </w:pPr>
      <w:r>
        <w:rPr>
          <w:rFonts w:ascii="Times New Roman" w:hAnsi="Times New Roman" w:cs="B Nazanin"/>
          <w:sz w:val="24"/>
          <w:szCs w:val="24"/>
          <w:rtl w:val="1"/>
          <w:b/>
          <w:bCs/>
          <w:color w:val="14203a"/>
        </w:rPr>
        <w:t>۳-۱-۶-۱ خلاء هماهنگی نهادی ناشی از تکثر معاهدات و نهادهای موازی</w:t>
      </w:r>
    </w:p>
    <w:p>
      <w:pPr>
        <w:bidi w:val="1"/>
        <w:spacing w:line="312" w:lineRule="auto" w:before="0" w:after="120"/>
        <w:ind w:firstLine="454"/>
        <w:jc w:val="both"/>
      </w:pPr>
      <w:r>
        <w:rPr>
          <w:rFonts w:ascii="Times New Roman" w:hAnsi="Times New Roman" w:cs="B Nazanin"/>
          <w:sz w:val="22"/>
          <w:szCs w:val="28"/>
          <w:rtl w:val="1"/>
        </w:rPr>
        <w:t>وجود بیش از ۵۰۰ موافقتنامه چندجانبه محیط‌زیستی و حدود ۲۰۰ نهاد تاسیس شده درچارچوب این موافقتنامهها مانند کنفرانس اعضا و دبیرخانه‌ها</w:t>
      </w:r>
      <w:r>
        <w:rPr>
          <w:rStyle w:val="FootnoteReference"/>
          <w:rtl w:val="1"/>
        </w:rPr>
        <w:footnoteReference w:id="360"/>
      </w:r>
      <w:r>
        <w:rPr>
          <w:rFonts w:ascii="Times New Roman" w:hAnsi="Times New Roman" w:cs="B Nazanin"/>
          <w:sz w:val="22"/>
          <w:szCs w:val="28"/>
          <w:rtl w:val="1"/>
        </w:rPr>
        <w:t>، نماد بارز این پراکندگی است. هر یک از این رژیم‌های معاهده‌ای، اهداف، اعضاء، قواعد مالی و مکانیسم‌های اجرایی خاص خود را دارند که همکاری و ایجاد رویکرد یکپارچه را دشوار می‌سازد. این امر منجر به پراکندگی نهادی</w:t>
      </w:r>
      <w:r>
        <w:rPr>
          <w:rStyle w:val="FootnoteReference"/>
          <w:rtl w:val="1"/>
        </w:rPr>
        <w:footnoteReference w:id="361"/>
      </w:r>
      <w:r>
        <w:rPr>
          <w:rFonts w:ascii="Times New Roman" w:hAnsi="Times New Roman" w:cs="B Nazanin"/>
          <w:sz w:val="22"/>
          <w:szCs w:val="28"/>
          <w:rtl w:val="1"/>
        </w:rPr>
        <w:t xml:space="preserve"> و در نتیجه خلاء هماهنگی نهادی ناشی از تکثر معاهدات و نهادهای موازی گردیده است که حقوق بینالملل محیطزیست را با چالشهای زیر روبرو میسازد.</w:t>
      </w:r>
    </w:p>
    <w:p>
      <w:pPr>
        <w:bidi w:val="1"/>
        <w:spacing w:line="312" w:lineRule="auto" w:before="0" w:after="120"/>
        <w:ind w:firstLine="454"/>
        <w:jc w:val="both"/>
      </w:pPr>
      <w:r>
        <w:rPr>
          <w:rFonts w:ascii="Times New Roman" w:hAnsi="Times New Roman" w:cs="B Nazanin"/>
          <w:sz w:val="22"/>
          <w:szCs w:val="28"/>
          <w:rtl w:val="1"/>
        </w:rPr>
        <w:t>تعدد مکانیسم‌های موازی منجر به ناهماهنگی سیاستی، جایی که اهداف یک معاهده ممکن است به طور ناخواسته اهداف معاهده‌ای دیگر را تحت الشعاع قرار دهد، تحمیل بار مالی و اداری سنگین برای دولت‌ها، به ویژه کشورهای در حال توسعه، به دلیل الزام به حضور در نشست‌های متعدد و ارائه گزارش‌های متنوع و کاهش ظرفیت آنان برای اجرای مؤثر هر یک از تعهدات، عدم یکپارچگی در نظارت بر تعهدات  و کاهش پاسخگویی</w:t>
      </w:r>
      <w:r>
        <w:rPr>
          <w:rStyle w:val="FootnoteReference"/>
          <w:rtl w:val="1"/>
        </w:rPr>
        <w:footnoteReference w:id="362"/>
      </w:r>
      <w:r>
        <w:rPr>
          <w:rFonts w:ascii="Times New Roman" w:hAnsi="Times New Roman" w:cs="B Nazanin"/>
          <w:sz w:val="22"/>
          <w:szCs w:val="28"/>
          <w:rtl w:val="1"/>
        </w:rPr>
        <w:t xml:space="preserve"> به دلیل دشواری ردیابی مسئولیت‌ها در شبکه‌ای از نهادهای موازی می‌گردد.</w:t>
      </w:r>
      <w:r>
        <w:rPr>
          <w:rStyle w:val="FootnoteReference"/>
          <w:rtl w:val="1"/>
        </w:rPr>
        <w:footnoteReference w:id="363"/>
      </w:r>
      <w:r>
        <w:rPr>
          <w:rFonts w:ascii="Times New Roman" w:hAnsi="Times New Roman" w:cs="B Nazanin"/>
          <w:sz w:val="22"/>
          <w:szCs w:val="28"/>
          <w:rtl w:val="1"/>
        </w:rPr>
        <w:t xml:space="preserve"> خاطر نشان میگردد، تخصصی‌شدن هر معاهده حول یک موضوع خاص، اغلب مانع از درک و پرداختن جامع به پیوندهای سیستمی بین این موضوع‌ها می‌شود.</w:t>
      </w:r>
    </w:p>
    <w:p>
      <w:pPr>
        <w:bidi w:val="1"/>
        <w:spacing w:line="312" w:lineRule="auto" w:before="0" w:after="120"/>
        <w:ind w:firstLine="454"/>
        <w:jc w:val="both"/>
      </w:pPr>
      <w:r>
        <w:rPr>
          <w:rFonts w:ascii="Times New Roman" w:hAnsi="Times New Roman" w:cs="B Nazanin"/>
          <w:sz w:val="22"/>
          <w:szCs w:val="28"/>
          <w:rtl w:val="1"/>
        </w:rPr>
        <w:t>چالش دیگر ذیل این خلاء، ضعف نهاد هماهنگکننده است. با وجود تأکید اسناد سازمانملل بر نقش برنامه محیطزیست مللمتحد</w:t>
      </w:r>
      <w:r>
        <w:rPr>
          <w:rStyle w:val="FootnoteReference"/>
          <w:rtl w:val="1"/>
        </w:rPr>
        <w:footnoteReference w:id="364"/>
      </w:r>
      <w:r>
        <w:rPr>
          <w:rFonts w:ascii="Times New Roman" w:hAnsi="Times New Roman" w:cs="B Nazanin"/>
          <w:sz w:val="22"/>
          <w:szCs w:val="28"/>
          <w:rtl w:val="1"/>
        </w:rPr>
        <w:t xml:space="preserve"> به عنوان «مرجع پیشرو جهانی محیط‌زیست»</w:t>
      </w:r>
      <w:r>
        <w:rPr>
          <w:rStyle w:val="FootnoteReference"/>
          <w:rtl w:val="1"/>
        </w:rPr>
        <w:footnoteReference w:id="365"/>
      </w:r>
      <w:r>
        <w:rPr>
          <w:rFonts w:ascii="Times New Roman" w:hAnsi="Times New Roman" w:cs="B Nazanin"/>
          <w:sz w:val="22"/>
          <w:szCs w:val="28"/>
          <w:rtl w:val="1"/>
        </w:rPr>
        <w:t>، این نهاد با محدودیت‌های ساختاری از جمله عدم اختیارات اجرایی قوی و منابع کافی، چالش در انسجام‌بخشی و ارتقاء ظاهری بدون تقویت عملی مواجه است. با گسترش مسئولیت‌های محیط‌زیستی در نهادهای مختلف ملل متحد و برخی سازمان‌های تخصصی</w:t>
      </w:r>
      <w:r>
        <w:rPr>
          <w:rStyle w:val="FootnoteReference"/>
          <w:rtl w:val="1"/>
        </w:rPr>
        <w:footnoteReference w:id="366"/>
      </w:r>
      <w:r>
        <w:rPr>
          <w:rFonts w:ascii="Times New Roman" w:hAnsi="Times New Roman" w:cs="B Nazanin"/>
          <w:sz w:val="22"/>
          <w:szCs w:val="28"/>
          <w:rtl w:val="1"/>
        </w:rPr>
        <w:t>، UNEP فاقد اختیارات لازم برای هماهنگی مؤثر با آنها نمود پیدا کرد. اگرچه ارتقاء UNEP با شکلگیری مجمع محیط‌زیست مللمتحد</w:t>
      </w:r>
      <w:r>
        <w:rPr>
          <w:rStyle w:val="FootnoteReference"/>
          <w:rtl w:val="1"/>
        </w:rPr>
        <w:footnoteReference w:id="367"/>
      </w:r>
      <w:r>
        <w:rPr>
          <w:rFonts w:ascii="Times New Roman" w:hAnsi="Times New Roman" w:cs="B Nazanin"/>
          <w:sz w:val="22"/>
          <w:szCs w:val="28"/>
          <w:rtl w:val="1"/>
        </w:rPr>
        <w:t xml:space="preserve"> با عضویت جهانی گامی مثبت بود، اما این تغییر نتوانسته اختیارات نظارتی یا بودجه کافی را برای ایفای نقش رهبری فراهم کند. درنهایت، این امر منجر به عدم انسجام در بعد محیطزیستی توسعه پایدار در سیستم مللمتحد می‌شود. مکانیسم‌های هماهنگیدر داخل سیستم سازمان ملل متحد مانند گروه مدیریت محیط زیست</w:t>
      </w:r>
      <w:r>
        <w:rPr>
          <w:rStyle w:val="FootnoteReference"/>
          <w:rtl w:val="1"/>
        </w:rPr>
        <w:footnoteReference w:id="368"/>
      </w:r>
      <w:r>
        <w:rPr>
          <w:rFonts w:ascii="Times New Roman" w:hAnsi="Times New Roman" w:cs="B Nazanin"/>
          <w:sz w:val="22"/>
          <w:szCs w:val="28"/>
          <w:rtl w:val="1"/>
        </w:rPr>
        <w:t xml:space="preserve"> و هیئت اجرایی ارشد سیستم سازمان ملل متحد برای هماهنگی</w:t>
      </w:r>
      <w:r>
        <w:rPr>
          <w:rStyle w:val="FootnoteReference"/>
          <w:rtl w:val="1"/>
        </w:rPr>
        <w:footnoteReference w:id="369"/>
      </w:r>
      <w:r>
        <w:rPr>
          <w:rFonts w:ascii="Times New Roman" w:hAnsi="Times New Roman" w:cs="B Nazanin"/>
          <w:sz w:val="22"/>
          <w:szCs w:val="28"/>
          <w:rtl w:val="1"/>
        </w:rPr>
        <w:t xml:space="preserve"> نیز نتوانسته‌اند این خلاء را پر کنند.</w:t>
      </w:r>
      <w:r>
        <w:rPr>
          <w:rStyle w:val="FootnoteReference"/>
          <w:rtl w:val="1"/>
        </w:rPr>
        <w:footnoteReference w:id="370"/>
      </w:r>
    </w:p>
    <w:p>
      <w:pPr>
        <w:bidi w:val="1"/>
        <w:spacing w:line="312" w:lineRule="auto" w:before="0" w:after="120"/>
        <w:ind w:firstLine="454"/>
        <w:jc w:val="both"/>
      </w:pPr>
      <w:r>
        <w:rPr>
          <w:rFonts w:ascii="Times New Roman" w:hAnsi="Times New Roman" w:cs="B Nazanin"/>
          <w:sz w:val="22"/>
          <w:szCs w:val="28"/>
          <w:rtl w:val="1"/>
        </w:rPr>
        <w:t>نکته قابل توجه این است که در بحث سیر تحول بازنگری حکمرانی محیطزیست جهانی به پیشنهاد دبیرکل سازمان ملل، یو تانت، اوایل سال ۱۹۶۹ و در طول فرآیند مقدماتی کنفرانس استکهلم در مورد محیط زیست انسانی، تحت عنوان تأسیس یک «ابر آژانس»</w:t>
      </w:r>
      <w:r>
        <w:rPr>
          <w:rStyle w:val="FootnoteReference"/>
          <w:rtl w:val="1"/>
        </w:rPr>
        <w:footnoteReference w:id="371"/>
      </w:r>
      <w:r>
        <w:rPr>
          <w:rFonts w:ascii="Times New Roman" w:hAnsi="Times New Roman" w:cs="B Nazanin"/>
          <w:sz w:val="22"/>
          <w:szCs w:val="28"/>
          <w:rtl w:val="1"/>
        </w:rPr>
        <w:t xml:space="preserve"> برای محیطزیست می‌رسیم. در طول سه سال بعد، زمینه برای بحث در مورد شکل و عملکرد یک ترتیب نهادی برای حکمرانی محیطزیستی جهانی فراهم شد. جلسات مشورتی متعددی توسط دبیرخانه کنفرانس تشکیل شد و در نهایت به تاسیس یونپ ختم شد.</w:t>
      </w:r>
      <w:r>
        <w:rPr>
          <w:rStyle w:val="FootnoteReference"/>
          <w:rtl w:val="1"/>
        </w:rPr>
        <w:footnoteReference w:id="372"/>
      </w:r>
    </w:p>
    <w:p>
      <w:pPr>
        <w:bidi w:val="1"/>
        <w:spacing w:line="312" w:lineRule="auto" w:before="0" w:after="120"/>
        <w:ind w:firstLine="454"/>
        <w:jc w:val="both"/>
      </w:pPr>
      <w:r>
        <w:rPr>
          <w:rFonts w:ascii="Times New Roman" w:hAnsi="Times New Roman" w:cs="B Nazanin"/>
          <w:sz w:val="22"/>
          <w:szCs w:val="28"/>
          <w:rtl w:val="1"/>
        </w:rPr>
        <w:t>گزارش دبیرکل در ادامه راهکارهایی اداری-اجرایی و حقوقی جهت مدیریت «پراکندگی نهادی و هماهنگی ضعیف بین معاهدات» به شرح زیر مطرح میسازد. «ایجاد خوشهها و هم افزایی بین کنوانسیونها؛ فهرست برداری از برنامه‌های اقدام جهانی و منطقه ای موجود و موافقت نامه‌ها برای ایجاد یک نمای کلی از پوشش و شناسایی پیوندهای متقابل؛ اجتناب از دوباره کاری در فرآیندهای گزارش دهی و/یا نظارت با استفاده از کانال‌های گزارش دهی یکسان و عدم ایجاد بار اضافی ("گزارش یکپارچه")؛ به اشتراک گذاشتن درس‌های آموخته شده و بهترین رویه ها؛ تدوین دستورالعمل‌های اجرایی برای موافقت‌نامه‌های چندجانبه محیط زیستی؛ و به اشتراک گذاری اطلاعات بین ارکان علمی مختلف که از کار موافقت نامه‌های محیط زیستی چندجانبه مرتبط حمایت می‌کنند. تضادهای احتمالی بین رژیم‌های معاهده را می‌توان با استفاده از ابزارهای حقوقی، از جمله شرطهای تعارض، حمایت متقابل یا اعمال قاعده کلی تفسیر معاهده مندرج در بند 3 (ج) ماده 31 کنوانسیون وین در مورد حقوق معاهدات، مدیریت کرد.»</w:t>
      </w:r>
      <w:r>
        <w:rPr>
          <w:rStyle w:val="FootnoteReference"/>
          <w:rtl w:val="1"/>
        </w:rPr>
        <w:footnoteReference w:id="373"/>
      </w:r>
    </w:p>
    <w:p>
      <w:pPr>
        <w:bidi w:val="1"/>
        <w:spacing w:line="312" w:lineRule="auto" w:before="0" w:after="120"/>
        <w:ind w:firstLine="454"/>
        <w:jc w:val="both"/>
      </w:pPr>
      <w:r>
        <w:rPr>
          <w:rFonts w:ascii="Times New Roman" w:hAnsi="Times New Roman" w:cs="B Nazanin"/>
          <w:sz w:val="22"/>
          <w:szCs w:val="28"/>
          <w:rtl w:val="1"/>
        </w:rPr>
        <w:t>راهکارهای پیشنهادی عمدتاً بر بهینه‌سازی فرآیندهای موجود متمرکزند و اگرچه مفیدند، اما ماهیتی داوطلبانه و فاقد ضمانت اجرا دارند و به تنهایی قادر به حل تعارضات ماهوی یا ایجاد همگرایی عمیق نیستند.</w:t>
      </w:r>
    </w:p>
    <w:p>
      <w:pPr>
        <w:bidi w:val="1"/>
        <w:spacing w:line="312" w:lineRule="auto" w:before="0" w:after="120"/>
        <w:ind w:firstLine="454"/>
        <w:jc w:val="both"/>
      </w:pPr>
      <w:r>
        <w:rPr>
          <w:rFonts w:ascii="Times New Roman" w:hAnsi="Times New Roman" w:cs="B Nazanin"/>
          <w:sz w:val="22"/>
          <w:szCs w:val="28"/>
          <w:rtl w:val="1"/>
        </w:rPr>
        <w:t>توضیح یاز خوشه سازی که لازم اما کافی نیست</w:t>
      </w:r>
    </w:p>
    <w:p>
      <w:pPr>
        <w:pStyle w:val="GPEHeading3"/>
        <w:bidi w:val="1"/>
        <w:spacing w:line="312" w:lineRule="auto" w:before="200" w:after="120"/>
        <w:jc w:val="right"/>
      </w:pPr>
      <w:r>
        <w:rPr>
          <w:rFonts w:ascii="Times New Roman" w:hAnsi="Times New Roman" w:cs="B Nazanin"/>
          <w:sz w:val="24"/>
          <w:szCs w:val="24"/>
          <w:rtl w:val="1"/>
          <w:b/>
          <w:bCs/>
          <w:color w:val="14203a"/>
        </w:rPr>
        <w:t>۲-۶-۱-۳ خلاء حاکمیتی در تعامل با دیگر رژیم‌های حقوق بین الملل</w:t>
      </w:r>
    </w:p>
    <w:p>
      <w:pPr>
        <w:bidi w:val="1"/>
        <w:spacing w:line="312" w:lineRule="auto" w:before="0" w:after="120"/>
        <w:ind w:firstLine="454"/>
        <w:jc w:val="both"/>
      </w:pPr>
      <w:r>
        <w:rPr>
          <w:rFonts w:ascii="Times New Roman" w:hAnsi="Times New Roman" w:cs="B Nazanin"/>
          <w:sz w:val="22"/>
          <w:szCs w:val="28"/>
          <w:rtl w:val="1"/>
        </w:rPr>
        <w:t>بند ۸۲ گزارش خلاء دوم را در خصوص خلاء حاکمیتی در تعامل با دیگر رژیم‌های حقوق بین الملل یا به تعبیری جدایی حاکمیتی بین رژیم حقوق بین الملل محیط‌زیست و دیگر رژیم‌های قدرتمند و غالباً اقتصادی حقوق بین‌الملل، مانند حقوق سازمان تجارت جهانی، حقوق سرمایه‌گذاری بین‌المللی و حقوق مالکیت فکری معرفی میکند. فقدان مکانیسم‌های ادغامی قوی در این سطح، حاکمیت محیط‌زیست جهانی را در موضعی ضعیف قرار می‌دهد و پیشرفت در معاهدات محیط‌زیستی را می‌تواند با اقدامات در دیگر حوزه‌ها خنثی یا تضعیف کند. باید در نظر داشت که آنچنان که پیداست نهادهای اقتصادی عموماً از اهرم اجرایی و سیاسی قوی‌تری نسبت به نهادهای محیط‌زیستی برخوردارند.</w:t>
      </w:r>
    </w:p>
    <w:p>
      <w:pPr>
        <w:pStyle w:val="GPEHeading3"/>
        <w:bidi w:val="1"/>
        <w:spacing w:line="312" w:lineRule="auto" w:before="200" w:after="120"/>
        <w:jc w:val="right"/>
      </w:pPr>
      <w:r>
        <w:rPr>
          <w:rFonts w:ascii="Times New Roman" w:hAnsi="Times New Roman" w:cs="B Nazanin"/>
          <w:sz w:val="24"/>
          <w:szCs w:val="24"/>
          <w:rtl w:val="1"/>
          <w:b/>
          <w:bCs/>
          <w:color w:val="14203a"/>
        </w:rPr>
        <w:t>۳-۶-۱-۳ خلا مشروعیتی ناشی از محدودیتهای مشارکت بازیگران غیردولتی</w:t>
      </w:r>
    </w:p>
    <w:p>
      <w:pPr>
        <w:bidi w:val="1"/>
        <w:spacing w:line="312" w:lineRule="auto" w:before="0" w:after="120"/>
        <w:ind w:firstLine="454"/>
        <w:jc w:val="both"/>
      </w:pPr>
      <w:r>
        <w:rPr>
          <w:rFonts w:ascii="Times New Roman" w:hAnsi="Times New Roman" w:cs="B Nazanin"/>
          <w:sz w:val="22"/>
          <w:szCs w:val="28"/>
          <w:rtl w:val="1"/>
        </w:rPr>
        <w:t>مشخصه بارز ساختار حکمرانی بین المللی محیط زیستی پراکندگی نهادی و مجموعه ای ناهمگون از بازیگران است. گرچه دولت‌ها بازیگران اصلی باقی می‌مانند، حکمرانی بین‌المللی محیط زیستی یک سیستم حکمرانی چند بازیگری است که شامل نهادهای بین‌المللی، ارکان معاهده ای، سازمان‌های غیردولتی، جامعه علمی و بخش خصوصی می‌باشد. پارا 77</w:t>
      </w:r>
    </w:p>
    <w:p>
      <w:pPr>
        <w:bidi w:val="1"/>
        <w:spacing w:line="312" w:lineRule="auto" w:before="0" w:after="120"/>
        <w:ind w:firstLine="454"/>
        <w:jc w:val="both"/>
      </w:pPr>
      <w:r>
        <w:rPr>
          <w:rFonts w:ascii="Times New Roman" w:hAnsi="Times New Roman" w:cs="B Nazanin"/>
          <w:sz w:val="22"/>
          <w:szCs w:val="28"/>
          <w:rtl w:val="1"/>
        </w:rPr>
        <w:t>گزارش در بند 84 به خلاء سومی در خصوص خلا مشروعیتی ناشی از محدودیتهای مشارکت بازیگران غیردولتی و ناتوانی در نهادینه سازی حکمرانی چندذینفعی در حاکمیت حقوق بین الملل محیط زیست اشاره می‌کند. مستفاد از بند 77 گزارش می‌توان دریافت که، حاکمیت محیط‌زیست جهانی نه بر پایه‌ی یک ساختار سلسله‌مراتبی منسجم، بلکه مبتنی بر شبکه‌ای پیچیده و افقی از بازیگران دولتی و غیردولتی است. حقوق بین الملل محیط زیست به طور نظری بر مشارکت گسترده ذی‌نفعان تأکید دارد (به عنوان مثال اصل ۱۰ اعلامیه ریو)، اما در عمل با شکاف بزرگی در نهادینه‌سازی این مشارکت مواجه است (بند ۸۴). فقدان چارچوب‌های مشخص برای مشارکت مؤثر در حالت حاکمیت چندبازیگری در فرآیندهای تصمیم‌گیری و نظارت، ظرفیت‌های موجود برای افزایش شفافیت و کارایی را تضعیف می‌کند.</w:t>
      </w:r>
    </w:p>
    <w:p>
      <w:pPr>
        <w:bidi w:val="1"/>
        <w:spacing w:line="312" w:lineRule="auto" w:before="0" w:after="120"/>
        <w:ind w:firstLine="454"/>
        <w:jc w:val="both"/>
      </w:pPr>
      <w:r>
        <w:rPr>
          <w:rFonts w:ascii="Times New Roman" w:hAnsi="Times New Roman" w:cs="B Nazanin"/>
          <w:sz w:val="22"/>
          <w:szCs w:val="28"/>
          <w:rtl w:val="1"/>
        </w:rPr>
        <w:t>محدود کردن مشارکت بازیگران غیردولتی‌ به وضعیت «ناظر»</w:t>
      </w:r>
      <w:r>
        <w:rPr>
          <w:rStyle w:val="FootnoteReference"/>
          <w:rtl w:val="1"/>
        </w:rPr>
        <w:footnoteReference w:id="374"/>
      </w:r>
      <w:r>
        <w:rPr>
          <w:rFonts w:ascii="Times New Roman" w:hAnsi="Times New Roman" w:cs="B Nazanin"/>
          <w:sz w:val="22"/>
          <w:szCs w:val="28"/>
          <w:rtl w:val="1"/>
        </w:rPr>
        <w:t xml:space="preserve"> در کنفرانس اعضا، آن‌ها را به شنوندگان منفعل یا در بهترین حالت مشاوران موردی تبدیل می‌کند. این نوع از مشارکت سه مشکل ایجاد می‌کند. (الف) حذف انها از فرآیندهای مذاکره غیررسمی و مؤثر، (ب) فقدان تضمین تأثیرگذاری آنها بر خروجی مذاکرات، (ج) محرومیت از مشارکت انها در مکانیسم‌های حیاتی نظارتی مانند پروسه‌های عدم انطباق.</w:t>
      </w:r>
    </w:p>
    <w:p>
      <w:pPr>
        <w:bidi w:val="1"/>
        <w:spacing w:line="312" w:lineRule="auto" w:before="0" w:after="120"/>
        <w:ind w:firstLine="454"/>
        <w:jc w:val="both"/>
      </w:pPr>
      <w:r>
        <w:rPr>
          <w:rFonts w:ascii="Times New Roman" w:hAnsi="Times New Roman" w:cs="B Nazanin"/>
          <w:sz w:val="22"/>
          <w:szCs w:val="28"/>
          <w:rtl w:val="1"/>
        </w:rPr>
        <w:t>در ادامه، گزارش به الگوهای مترقی به مثابه استثناء اشاره می‌کند.کنوانسیون آرهوس و موافقتنامه اسکازو با اعطای حقوق رویه ای و امکان مشارکت در مکانیسم عدم انطباق به بازیگران غیردولتی، نشان می‌دهند که نهادینه‌سازی مشارکت آنها ممکن و مؤثر است. همچنین، پیوند ساختاری جامعه علمی با رژیم‌هایی مانند تغییر اقلیم از طریق هیئت بین‌دولتی تغییر اقلیم، الگویی موفق از حکمرانی مبتنی بر علم ارائه می‌دهد. در مقایسه با سازوکارهای حقوق بشر که در آن مشارکت سازمان‌های غیردولتی نهادینه و قاعده‌مند شده، حقوق محیط‌زیست از نظر تضمین مشارکت مؤثر غیردولتی‌ها به طور قابل توجهی عقب است..</w:t>
      </w:r>
      <w:r>
        <w:rPr>
          <w:rStyle w:val="FootnoteReference"/>
          <w:rtl w:val="1"/>
        </w:rPr>
        <w:footnoteReference w:id="375"/>
      </w:r>
    </w:p>
    <w:p>
      <w:pPr>
        <w:bidi w:val="1"/>
        <w:spacing w:line="312" w:lineRule="auto" w:before="0" w:after="120"/>
        <w:ind w:firstLine="454"/>
        <w:jc w:val="both"/>
      </w:pPr>
      <w:r>
        <w:rPr>
          <w:rFonts w:ascii="Times New Roman" w:hAnsi="Times New Roman" w:cs="B Nazanin"/>
          <w:sz w:val="22"/>
          <w:szCs w:val="28"/>
          <w:rtl w:val="1"/>
        </w:rPr>
        <w:t>در مقام ارزیابی این بخش می‌توان گفت ساختار حاکمیت بین‌المللی محیط‌زیست در میانه یک تناقض بنیادین گرفتار شده است: از یک سو، ماهیت یکپارچه و به هم‌پیوسته بحران‌های محیط زیستی نیازمند پاسخ‌هایی منسجم، جامع و مبتنی بر همکاری است؛ از سوی دیگر، ساختار پاسخگو به این بحران‌ها دچار خلاء هماهنگی نهادی ناشی از تکثر معاهدات و نهادهای موازی، خلاء حاکمیتی در تعامل با دیگر رژیم‌های حقوقی بین‌المللی و خلاء مشروعیتی ناشی از محدودیت‌های مشارکت بازیگران غیردولتی گردیده است. به نظر می‌رسد که رفع این خلاءها مستلزم عبور از راهکارهای اداری- اجرایی، حقوقی و حرکت به سمت اصلاحات ساختاری عمیق‌تر در راستای ایجاد یک «حکمرانی شبکه‌ای یکپارچه» است.ناگفته نماند که غلبه بر این خلاء‌ها نیازمند اراده سیاسی دول‌تها برای بازاندیشی در ساختار حکمرانی جهانی است؛ حرکتی از یک شبکه پراکنده و واکنش‌محور به سمت یک حکمرانی شبکه‌ای یکپارچه، پاسخگو و مبتنی بر علم که بازتاب‌دهنده وحدت ذاتی چالش پیش روی بشریت باشد.</w:t>
      </w:r>
    </w:p>
    <w:p>
      <w:pPr>
        <w:bidi w:val="1"/>
        <w:spacing w:line="312" w:lineRule="auto" w:before="0" w:after="120"/>
        <w:ind w:firstLine="454"/>
        <w:jc w:val="both"/>
      </w:pPr>
      <w:r>
        <w:rPr>
          <w:rFonts w:ascii="Times New Roman" w:hAnsi="Times New Roman" w:cs="B Nazanin"/>
          <w:sz w:val="22"/>
          <w:szCs w:val="28"/>
          <w:rtl w:val="1"/>
        </w:rPr>
        <w:t>اضافی: راهکارهای عملیاتی مانند «خوشه‌بندی معاهدات» و فرایند هم افزایی اگرچه مفیدند، اما ماهیتی داوطلبانه و فاقد ضمانت اجرا دارند و به تنهایی قادر به حل تعارضات ماهوی یا ایجاد همگرایی عمیق نیستند. بند 80</w:t>
      </w:r>
    </w:p>
    <w:p>
      <w:pPr>
        <w:bidi w:val="1"/>
        <w:spacing w:line="312" w:lineRule="auto" w:before="0" w:after="120"/>
        <w:ind w:firstLine="454"/>
        <w:jc w:val="both"/>
      </w:pPr>
      <w:r>
        <w:rPr>
          <w:rFonts w:ascii="Times New Roman" w:hAnsi="Times New Roman" w:cs="B Nazanin"/>
          <w:sz w:val="22"/>
          <w:szCs w:val="28"/>
          <w:rtl w:val="1"/>
        </w:rPr>
        <w:t>بند ۸۱ نقص جدی در ساختار نهادی موجود را تأیید می‌کند. هیئت عالی رتبه سازمان ملل متحد در مورد انسجام گسترده سیستم سازمان ملل در زمینه‌های توسعه، کمک‌های بشردوستانه و محیط زیست</w:t>
      </w:r>
      <w:r>
        <w:rPr>
          <w:rStyle w:val="FootnoteReference"/>
          <w:rtl w:val="1"/>
        </w:rPr>
        <w:footnoteReference w:id="376"/>
      </w:r>
      <w:r>
        <w:rPr>
          <w:rFonts w:ascii="Times New Roman" w:hAnsi="Times New Roman" w:cs="B Nazanin"/>
          <w:sz w:val="22"/>
          <w:szCs w:val="28"/>
          <w:rtl w:val="1"/>
        </w:rPr>
        <w:t>، بر این واقعیت تأکید دارد که «ساختارهای نهادی پراکنده موجب چارچوب عملیاتی برای رسیدگی به مسائل جهانی نمی‌گردد.»</w:t>
      </w:r>
      <w:r>
        <w:rPr>
          <w:rStyle w:val="FootnoteReference"/>
          <w:rtl w:val="1"/>
        </w:rPr>
        <w:footnoteReference w:id="377"/>
      </w:r>
      <w:r>
        <w:rPr>
          <w:rFonts w:ascii="Times New Roman" w:hAnsi="Times New Roman" w:cs="B Nazanin"/>
          <w:sz w:val="22"/>
          <w:szCs w:val="28"/>
          <w:rtl w:val="1"/>
        </w:rPr>
        <w:t>وجود نهادهایی برای هماهنگی در داخل سیستم سازمان ملل متحد مانند گروه مدیریت محیط زیست</w:t>
      </w:r>
      <w:r>
        <w:rPr>
          <w:rStyle w:val="FootnoteReference"/>
          <w:rtl w:val="1"/>
        </w:rPr>
        <w:footnoteReference w:id="378"/>
      </w:r>
      <w:r>
        <w:rPr>
          <w:rFonts w:ascii="Times New Roman" w:hAnsi="Times New Roman" w:cs="B Nazanin"/>
          <w:sz w:val="22"/>
          <w:szCs w:val="28"/>
          <w:rtl w:val="1"/>
        </w:rPr>
        <w:t xml:space="preserve"> و هیئت اجرایی ارشد سیستم سازمان ملل متحد برای هماهنگی</w:t>
      </w:r>
      <w:r>
        <w:rPr>
          <w:rStyle w:val="FootnoteReference"/>
          <w:rtl w:val="1"/>
        </w:rPr>
        <w:footnoteReference w:id="379"/>
      </w:r>
      <w:r>
        <w:rPr>
          <w:rFonts w:ascii="Times New Roman" w:hAnsi="Times New Roman" w:cs="B Nazanin"/>
          <w:sz w:val="22"/>
          <w:szCs w:val="28"/>
          <w:rtl w:val="1"/>
        </w:rPr>
        <w:t xml:space="preserve"> نشان‌دهنده شناسایی مشکل است، اما عملکرد محدود آن‌ها خود گواهی بر عمق فقدان هماهنگی است. این ناکارآمدی را می‌توان به عوامل ذیل نسبت داد. این نهادها فاقد اختیارات تصمیم‌گیری الزام‌آور نسبت به نهادهای تخصصی مستقل مانند سازمان خواربار و کشاورزی یا سازمان بین‌المللی دریانوردی یا ارکان معاهده ای برای وادار کردن آنها به همسویی کامل هستند. نقش آن‌ها عمدتاً مشورتی، تشویقی و داوطلبانه است.فعالیت این مکانیسم‌ها غالباً در پاسخ به بحران‌ها یا درخواست‌های خاص شکل می‌گیرد، نه بر اساس یک چارچوب پیش‌بینانه و استراتژیک برای ادغام سیاست‌ها.</w:t>
      </w:r>
    </w:p>
    <w:p>
      <w:pPr>
        <w:bidi w:val="1"/>
        <w:spacing w:line="312" w:lineRule="auto" w:before="0" w:after="120"/>
        <w:ind w:firstLine="454"/>
        <w:jc w:val="both"/>
      </w:pPr>
      <w:r>
        <w:rPr>
          <w:rFonts w:ascii="Times New Roman" w:hAnsi="Times New Roman" w:cs="B Nazanin"/>
          <w:sz w:val="22"/>
          <w:szCs w:val="28"/>
          <w:rtl w:val="1"/>
        </w:rPr>
        <w:t>بند ۸۰ به اقدامات امیدوارکننده‌ای جهت حمایت متقابل میان موافقت نامه‌های چندجانبه محیط زیستی در متون به شرح ذیل اشاره می‌کند: ارجاعات متقابل موافقت نامه‌ها از طریق تصمیم‌ها و/یا قطعنامه در مورد هماهنگی و همکاری بین یکدیگر؛ خوشه‌بندی</w:t>
      </w:r>
      <w:r>
        <w:rPr>
          <w:rStyle w:val="FootnoteReference"/>
          <w:rtl w:val="1"/>
        </w:rPr>
        <w:footnoteReference w:id="380"/>
      </w:r>
      <w:r>
        <w:rPr>
          <w:rFonts w:ascii="Times New Roman" w:hAnsi="Times New Roman" w:cs="B Nazanin"/>
          <w:sz w:val="22"/>
          <w:szCs w:val="28"/>
          <w:rtl w:val="1"/>
        </w:rPr>
        <w:t xml:space="preserve"> موافقت‌نامه‌های چندجانبه زیست‌محیطی مرتبط، به‌عنوان مثال آن‌هایی که با جو، یا تنوع زیستی سروکار دارند و "فرآیند هم افزایی"</w:t>
      </w:r>
      <w:r>
        <w:rPr>
          <w:rStyle w:val="FootnoteReference"/>
          <w:rtl w:val="1"/>
        </w:rPr>
        <w:footnoteReference w:id="381"/>
      </w:r>
      <w:r>
        <w:rPr>
          <w:rFonts w:ascii="Times New Roman" w:hAnsi="Times New Roman" w:cs="B Nazanin"/>
          <w:sz w:val="22"/>
          <w:szCs w:val="28"/>
          <w:rtl w:val="1"/>
        </w:rPr>
        <w:t xml:space="preserve"> که توسط کنفرانس‌های اعضای کنوانسیون بازل، روتردام و استکهلم و پروژهUNEP برای تنوع زیستی راه اندازی شد. این ابتکارات گرچه ستودنی و گامی ضروری به جلو هستند، اما یک راه‌حل ساختاری جامع نیستند. ادغام اداری دبیرخانه‌ها یا هماهنگی نشست‌ها و ارجاعات متقابل، لزوماً به همگرایی عمیق سیاست‌ها و اهداف منجر نمی‌شود. هر رژیم معاهده ای همچنان حاکمیت نهادی خود را حفظ می‌کند. خوشه‌بندی موضوعی گرچه ضروری است، اما چالش تعاملات بین‌خوشه‌ای پیچیده‌تر مانند پیوندهای تغییر اقلیم و تنوع زیستی را به اندازه کافی پوشش نمی‌دهد.موفقیت این ابتکارها به شدت به اراده سیاسی لحظه‌ای کشورهای عضو وابسته است و ممکن است در مواجهه با منافع ملی متعارض متوقف شود. کاملاً پیداست که این تلاش‌ها در ساختار پراکنده موجود به منزله اصلاحات حداقلی در حاشیه هستند، نه بازنگری بنیادین در معماری کلان.</w:t>
      </w:r>
    </w:p>
    <w:p>
      <w:pPr>
        <w:bidi w:val="1"/>
        <w:spacing w:line="312" w:lineRule="auto" w:before="0" w:after="120"/>
        <w:ind w:firstLine="454"/>
        <w:jc w:val="both"/>
      </w:pPr>
      <w:r>
        <w:rPr>
          <w:rFonts w:ascii="Times New Roman" w:hAnsi="Times New Roman" w:cs="B Nazanin"/>
          <w:sz w:val="22"/>
          <w:szCs w:val="28"/>
          <w:rtl w:val="1"/>
        </w:rPr>
        <w:t>این راهکارها عمدتاً بر بهینه‌سازی فرآیندهای موجود متمرکزند و باوجود مفید بودن، ماهیتی تکنوکراتیک و غیرالزام‌آور دارند. برای نمونه گزارش دهی یکپارچه و خوشه‌بندی، اگرچه از بار اداری کشورها می‌کاهد، اما به خودی‌ خود تضمینی برای همگرایی سیاستی ایجاد نمی‌کند. تسهیم اطلاعات و بهترین روش‌ها، ضروری اما ناکافی است، چرا که فقدان یک چارچوب نهادی الزام‌آور برای تبدیل این اطلاعات به اقدامات هماهنگ، اثربخشی آن را محدود می‌سازد. تمرکز این راهکارها بر هماهنگی اداری و کاهش تداخل است، در حالی که چالش اصلی گاه تعارض ماهوی اهداف است. راهکارهایی هم چون «گزارش‌دهی یکپارچه» به خودی خود قادر به حل چنین تعارضاتی نیستند.</w:t>
      </w:r>
    </w:p>
    <w:p>
      <w:pPr>
        <w:bidi w:val="1"/>
        <w:spacing w:line="312" w:lineRule="auto" w:before="0" w:after="120"/>
        <w:ind w:firstLine="454"/>
        <w:jc w:val="both"/>
      </w:pPr>
      <w:r>
        <w:rPr>
          <w:rFonts w:ascii="Times New Roman" w:hAnsi="Times New Roman" w:cs="B Nazanin"/>
          <w:sz w:val="22"/>
          <w:szCs w:val="28"/>
          <w:rtl w:val="1"/>
        </w:rPr>
        <w:t>اشاره به ماده ۳۱(۳)(ج) کنوانسیون وین (تفسیر معاهدات با توجه به سایر قواعد بین‌المللی قابل اعمال) حاوی یک بینش حقوقی مهم است. این ماده دادگاه‌ها و نهادهای تفسیرکننده را ملزم می‌کند تا "هر قاعده مرتبط حقوق بین‌الملل قابل اعمال در روابط طرفین" را در تفسیر یک معاهده لحاظ کنند. این ماده می‌تواند ابزاری قدرتمند برای تفسیر هماهنگ‌ساز باشد و از انزوای هنجاری معاهدات محیط‌زیستی بکاهد و به دادگاه‌ها و نهادهای تفسیرکننده دستور دهد تا معاهدات محیط‌زیستی را نه به صورت منفک، بلکه در چارچوب کلی نظام حقوق بین‌الملل تفسیر کنند. با این حال، کاربست موفق آن منوط به اراده نهادهای قضایی و داوری برای پذیرش یک نگرش کل‌نگر به حقوق بین‌الملل است، که در رویه قضایی بین‌المللی چندان رایج نیست.</w:t>
      </w:r>
    </w:p>
    <w:p>
      <w:pPr>
        <w:bidi w:val="1"/>
        <w:spacing w:line="312" w:lineRule="auto" w:before="0" w:after="120"/>
        <w:ind w:firstLine="454"/>
        <w:jc w:val="both"/>
      </w:pPr>
      <w:r>
        <w:rPr>
          <w:rFonts w:ascii="Times New Roman" w:hAnsi="Times New Roman" w:cs="B Nazanin"/>
          <w:sz w:val="22"/>
          <w:szCs w:val="28"/>
          <w:rtl w:val="1"/>
        </w:rPr>
        <w:t>انزوای حقوق محیط‌زیست از دیگر رژیم‌های حقوق بین‌الملل یک شکاف خطرناک، جدایی و گاه تعارض حقوق محیط‌زیست با دیگر رژیم‌های قدرتمند حقوق بین‌الملل، به ویژه حقوق تجارت، سرمایه‌گذاری و مالکیت فکری است (بند ۸۲). قواعد این رژیم‌ها که توسط نهادهای مجزا و با اهداف متفاوت تفسیر و اجرا می‌شوند، می‌توانند اقدامات محیط‌زیستی دول‌ها را محدود یا خنثی کنند. فقدان مکانیسم‌های ادغامی قوی در این سطح، حاکمیت محیط‌زیست را در موضعی ضعیف قرار می‌دهد.</w:t>
      </w:r>
    </w:p>
    <w:p>
      <w:pPr>
        <w:bidi w:val="1"/>
        <w:spacing w:line="312" w:lineRule="auto" w:before="0" w:after="120"/>
        <w:ind w:firstLine="454"/>
        <w:jc w:val="both"/>
      </w:pPr>
      <w:r>
        <w:rPr>
          <w:rFonts w:ascii="Times New Roman" w:hAnsi="Times New Roman" w:cs="B Nazanin"/>
          <w:sz w:val="22"/>
          <w:szCs w:val="28"/>
          <w:rtl w:val="1"/>
        </w:rPr>
        <w:t>1. مهم‌ترین مذاکرات اغلب در جلسات غیررسمی اتفاق می‌افتد که دسترسی ناظران به آن‌ها محدود یا ممنوع است. بنابراین انها از فرایندهای واقعی و موثر مذاکره حذف می‌شوند. 2. هیچ سازوکار شفافی وجود ندارد که اطمینان دهد اطلاعات تخصصی یا دیدگاه‌های ارائه‌شده توسط جوامع غیردولتی در پیش‌نویس متون یا تصمیمات نهایی مؤثر واقع می‌شود.3. محرومیت از مشارکت مؤثر در مکانیسم‌های بررسی عدم انطباق، شفافیت و پاسخگویی این مکانیسم‌های حیاتی را تضعیف می‌کند.</w:t>
      </w:r>
    </w:p>
    <w:p>
      <w:pPr>
        <w:bidi w:val="1"/>
        <w:spacing w:line="312" w:lineRule="auto" w:before="0" w:after="120"/>
        <w:ind w:firstLine="454"/>
        <w:jc w:val="both"/>
      </w:pPr>
      <w:r>
        <w:rPr>
          <w:rFonts w:ascii="Times New Roman" w:hAnsi="Times New Roman" w:cs="B Nazanin"/>
          <w:sz w:val="22"/>
          <w:szCs w:val="28"/>
          <w:rtl w:val="1"/>
        </w:rPr>
        <w:t>در ادامه، گزارش به الگوهای مترقی به مثابه استثناء اشاره می‌کند که خلاء موجود را پررنگ‌تر می‌سازد. نخست، به کنوانسیون آرهوس</w:t>
      </w:r>
      <w:r>
        <w:rPr>
          <w:rStyle w:val="FootnoteReference"/>
          <w:rtl w:val="1"/>
        </w:rPr>
        <w:footnoteReference w:id="382"/>
      </w:r>
      <w:r>
        <w:rPr>
          <w:rFonts w:ascii="Times New Roman" w:hAnsi="Times New Roman" w:cs="B Nazanin"/>
          <w:sz w:val="22"/>
          <w:szCs w:val="28"/>
          <w:rtl w:val="1"/>
        </w:rPr>
        <w:t xml:space="preserve"> و موافقتنامه اسکازو</w:t>
      </w:r>
      <w:r>
        <w:rPr>
          <w:rStyle w:val="FootnoteReference"/>
          <w:rtl w:val="1"/>
        </w:rPr>
        <w:footnoteReference w:id="383"/>
      </w:r>
      <w:r>
        <w:rPr>
          <w:rFonts w:ascii="Times New Roman" w:hAnsi="Times New Roman" w:cs="B Nazanin"/>
          <w:sz w:val="22"/>
          <w:szCs w:val="28"/>
          <w:rtl w:val="1"/>
        </w:rPr>
        <w:t xml:space="preserve"> اشاره میکند. این رژیم‌ها با اعطای حقوق رویه ای</w:t>
      </w:r>
      <w:r>
        <w:rPr>
          <w:rStyle w:val="FootnoteReference"/>
          <w:rtl w:val="1"/>
        </w:rPr>
        <w:footnoteReference w:id="384"/>
      </w:r>
      <w:r>
        <w:rPr>
          <w:rFonts w:ascii="Times New Roman" w:hAnsi="Times New Roman" w:cs="B Nazanin"/>
          <w:sz w:val="22"/>
          <w:szCs w:val="28"/>
          <w:rtl w:val="1"/>
        </w:rPr>
        <w:t xml:space="preserve"> به بازیگران غیردولتی و مشارکت آنها در مکانیسم عدم انطباق، یک پارادایم جدید حکمرانی مشارکتی را تعریف می‌کنند.. آنها نشان می‌دهند که نهادینه‌سازی مشارکت عمومی نه تنها ممکن است، بلکه به افزایش مشروعیت و اثربخشی رژیم بین‌المللی می‌انجامد. سپس، به وجود مکانیسم‌های نهادی اختصاصی مانند هیئت بین‌دولتی تغییراقلیم</w:t>
      </w:r>
      <w:r>
        <w:rPr>
          <w:rStyle w:val="FootnoteReference"/>
          <w:rtl w:val="1"/>
        </w:rPr>
        <w:footnoteReference w:id="385"/>
      </w:r>
      <w:r>
        <w:rPr>
          <w:rFonts w:ascii="Times New Roman" w:hAnsi="Times New Roman" w:cs="B Nazanin"/>
          <w:sz w:val="22"/>
          <w:szCs w:val="28"/>
          <w:rtl w:val="1"/>
        </w:rPr>
        <w:t xml:space="preserve"> و اوزون</w:t>
      </w:r>
      <w:r>
        <w:rPr>
          <w:rStyle w:val="FootnoteReference"/>
          <w:rtl w:val="1"/>
        </w:rPr>
        <w:footnoteReference w:id="386"/>
      </w:r>
      <w:r>
        <w:rPr>
          <w:rFonts w:ascii="Times New Roman" w:hAnsi="Times New Roman" w:cs="B Nazanin"/>
          <w:sz w:val="22"/>
          <w:szCs w:val="28"/>
          <w:rtl w:val="1"/>
        </w:rPr>
        <w:t xml:space="preserve"> اشاره می‌کند که در آن جامعه علمی با ارائه اطلاعات مستقل و معتبر به توسعه سیاست‌ها کمک می‌کنند. از این رو، حکمرانی مبتنی بر علم زمانی محقق می‌شود که ارتباط بین نهاد علمی و نهاد سیاست‌گذار، ساختاری، دائم و از پیش تعریف‌شده باشد، نه موردی و دلبخواه.</w:t>
      </w:r>
    </w:p>
    <w:p>
      <w:pPr>
        <w:bidi w:val="1"/>
        <w:spacing w:line="312" w:lineRule="auto" w:before="0" w:after="120"/>
        <w:ind w:firstLine="454"/>
        <w:jc w:val="both"/>
      </w:pPr>
      <w:r>
        <w:rPr>
          <w:rFonts w:ascii="Times New Roman" w:hAnsi="Times New Roman" w:cs="B Nazanin"/>
          <w:sz w:val="22"/>
          <w:szCs w:val="28"/>
          <w:rtl w:val="1"/>
        </w:rPr>
        <w:t>پراکندگی نهادی، مشارکت مؤثر ذی‌نفعان را پیچیده و پرهزینه می‌سازد.چگونه یک سازمان مردمی می‌تواند در صدها رژیم مجزا مشارکت مؤثر داشته باشد؟. از سوی دیگر، نبود مشارکت گسترده و ساختاریافته، فشار سیاسی لازم برای ایجاد اصلاحات ساختاری عمیق‌تر و هماهنگی واقعی را تضعیف می‌کند. راه برون‌رفت، پیگیری همزمان دو مسیر است: تدوین قواعد حداقلی الزام‌آور در سطح جهانی که مشارکت مؤثر غیردولتی‌ها در تمام مراحل شکل‌گیری، اجرا و نظارت بر معاهدات محیط‌زیستی را تضمین کند. استفاده از راهکارهای فنی بند ۸۳ نه به عنوان هدف نهایی، بلکه به عنوان ابزاری در خدمت یک حکمرانی شفاف و پاسخگو.</w:t>
      </w:r>
    </w:p>
    <w:p>
      <w:pPr>
        <w:bidi w:val="1"/>
        <w:spacing w:line="312" w:lineRule="auto" w:before="0" w:after="120"/>
        <w:ind w:firstLine="454"/>
        <w:jc w:val="both"/>
      </w:pPr>
      <w:r>
        <w:rPr>
          <w:rFonts w:ascii="Times New Roman" w:hAnsi="Times New Roman" w:cs="B Nazanin"/>
          <w:sz w:val="22"/>
          <w:szCs w:val="28"/>
          <w:rtl w:val="1"/>
        </w:rPr>
        <w:t>اشاره پایانی به سازوکارهای حقوق بشر، نکته‌ای کلیدی است. در آن حوزه، مشارکت سازمان‌های غیردولتی و افراد در فرآیندهای گزارش‌دهی، بررسی و حتی برخی شکایت‌ها تا حد زیادی نهادینه و قاعده‌مند شده است. این مقایسه نشان می‌دهد که مقاومت در برابر دمکراتیک‌سازی حکمرانی محیط‌زیست، یک مانع سیاسی-ساختاری است، نه یک محدودیت ذاتی این حوزه.</w:t>
      </w:r>
    </w:p>
    <w:p>
      <w:pPr>
        <w:bidi w:val="1"/>
        <w:spacing w:line="312" w:lineRule="auto" w:before="0" w:after="120"/>
        <w:ind w:firstLine="454"/>
        <w:jc w:val="both"/>
      </w:pPr>
      <w:r>
        <w:rPr>
          <w:rFonts w:ascii="Times New Roman" w:hAnsi="Times New Roman" w:cs="B Nazanin"/>
          <w:sz w:val="22"/>
          <w:szCs w:val="28"/>
          <w:rtl w:val="1"/>
        </w:rPr>
        <w:t>این وضعیت اگرچه موجب مشارکت گسترده شده، اما به هم‌پوشانی مأموریت‌ها، رقابت بر سر منابع و ناهماهنگی در سیاست گذاری انجامیده است. در بدو امر، شاهد فقدان ساختارمند سازی در 3 مشکل مشارکت هستیم.</w:t>
      </w:r>
    </w:p>
    <w:p>
      <w:pPr>
        <w:bidi w:val="1"/>
        <w:spacing w:line="312" w:lineRule="auto" w:before="0" w:after="120"/>
        <w:ind w:firstLine="454"/>
        <w:jc w:val="both"/>
      </w:pPr>
      <w:r>
        <w:rPr>
          <w:rFonts w:ascii="Times New Roman" w:hAnsi="Times New Roman" w:cs="B Nazanin"/>
          <w:sz w:val="22"/>
          <w:szCs w:val="28"/>
          <w:rtl w:val="1"/>
        </w:rPr>
        <w:t>نوت بر گزارش دبیرکل:</w:t>
      </w:r>
    </w:p>
    <w:p>
      <w:pPr>
        <w:bidi w:val="1"/>
        <w:spacing w:line="312" w:lineRule="auto" w:before="0" w:after="120"/>
        <w:ind w:firstLine="454"/>
        <w:jc w:val="both"/>
      </w:pPr>
      <w:r>
        <w:rPr>
          <w:rFonts w:ascii="Times New Roman" w:hAnsi="Times New Roman" w:cs="B Nazanin"/>
          <w:sz w:val="22"/>
          <w:szCs w:val="28"/>
          <w:rtl w:val="1"/>
        </w:rPr>
        <w:t>ص.15حقوق بین‌الملل محیط زیست در چهار دهه گذشته نسبتاً سریع تکامل یافته است. کشورهای در حال توسعه نقش پیشرو در طراحی و اجرای حقوق محیط زیست جدید ایفا کرده‌اند، زیرا شواهد واقعی آسیب زیست‌محیطی را دیده‌اند.&lt;sup&gt;۶۷&lt;/sup&gt; این موافقت‌نامه‌ها عموماً موضوع ‌محور یا معطوف به شرایط در مناطق جغرافیایی خاص هستند. همان‌طور که در بالا ذکر شد، این امر به این حوزه ظاهر تکه‌تکه شدن را می‌دهد. یک مجموعه اصول فراگیر توافق‌شده بین‌المللی به ایجاد وحدت در اسناد با دامنه و ماهیت حقوقی متفاوت کمک می‌کند.</w:t>
      </w:r>
    </w:p>
    <w:p>
      <w:pPr>
        <w:bidi w:val="1"/>
        <w:spacing w:line="312" w:lineRule="auto" w:before="0" w:after="120"/>
        <w:ind w:firstLine="454"/>
        <w:jc w:val="both"/>
      </w:pPr>
      <w:r>
        <w:rPr>
          <w:rFonts w:ascii="Times New Roman" w:hAnsi="Times New Roman" w:cs="B Nazanin"/>
          <w:sz w:val="22"/>
          <w:szCs w:val="28"/>
          <w:rtl w:val="1"/>
        </w:rPr>
        <w:t>شفافیت و ثبات در تعریف این اصول بنیادین، در یک سند حقوقی، کار پیچیده عملیاتی‌سازی موافقت‌نامه‌های زیست‌محیطی را ساده می‌کند. تکثر موافقت‌نامه‌ها، تأمین کارمندان دولتی و دیپلمات‌های کافی برای شرکت در تمام رژیم‌های بین‌المللی را برای دولت‌ها دشوار کرده است. همچنین منجر به نگرانی‌هایی در مورد بی ثباتی حقوقی و پراکندگی نهادی و عدم قطعیت حقوقی شده است.&lt;sup&gt;۶۸&lt;/sup&gt; محققان در سراسر جهان به طور گسترده به این وضعیت اشاره کرده‌اند.&lt;sup&gt;۶۹&lt;/sup&gt; یک «نیاز فوری برای تقویت نهادها و چارچوب حاکمیتی زیست‌محیطی سازمان ملل» وجود دارد.&lt;sup&gt;۷۰&lt;/sup&gt;</w:t>
      </w:r>
    </w:p>
    <w:p>
      <w:pPr>
        <w:bidi w:val="1"/>
        <w:spacing w:line="312" w:lineRule="auto" w:before="0" w:after="120"/>
        <w:ind w:firstLine="454"/>
        <w:jc w:val="both"/>
      </w:pPr>
      <w:r>
        <w:rPr>
          <w:rFonts w:ascii="Times New Roman" w:hAnsi="Times New Roman" w:cs="B Nazanin"/>
          <w:sz w:val="22"/>
          <w:szCs w:val="28"/>
          <w:rtl w:val="1"/>
        </w:rPr>
        <w:t>ص.16: بیش از ۵۰۰ موافقت‌نامه بین‌المللی محیط زیست وجود دارد که به طور مستقیم یا غیرمستقیم به محیط زیست مربوط می‌شوند. این تنوع اسناد هنجاری طیف متنوعی از مسائل، مانند کاهش تنوع زیستی، آلودگی جو، تخریب اقیانوس‌ها یا خاک، یا مشکل جنگل‌زدایی، در میان بسیاری دیگر را پوشش می‌دهند. به این فراوانی هنجارها، انبوهی از ارگان‌های سیاست‌گذاری باید اضافه شود تا ناهمگونی غالب تکمیل شود. در واقع، موافقت‌نامه‌های چندجانبه زیست‌محیطی مجموعه نهادی خاص خود را (مانند کنفرانس اعضا، دبیرخانه‌ها و غیره) برای اطمینان از عملکرد صحیح موافقت‌نامه‌ها ایجاد کرده‌اند. شدت وضعیت محیط زیست ناشی از فشارهای انسانی بر زمین، نیاز حیاتی به اصلا‌ح در این چارچوب نهادی را نشان می‌دهد.&lt;sup&gt;۷۱&lt;/sup&gt;</w:t>
      </w:r>
    </w:p>
    <w:p>
      <w:pPr>
        <w:bidi w:val="1"/>
        <w:spacing w:line="312" w:lineRule="auto" w:before="0" w:after="120"/>
        <w:ind w:firstLine="454"/>
        <w:jc w:val="both"/>
      </w:pPr>
      <w:r>
        <w:rPr>
          <w:rFonts w:ascii="Times New Roman" w:hAnsi="Times New Roman" w:cs="B Nazanin"/>
          <w:sz w:val="22"/>
          <w:szCs w:val="28"/>
          <w:rtl w:val="1"/>
        </w:rPr>
        <w:t>در میان نهادهای جهانی و منطقه‌ای متعدد، UNEP قرار بود «مرجع پیشرو زیست‌محیطی در سیستم سازمان ملل متحد» باشد.&lt;sup&gt;۷۲&lt;/sup&gt; از زمان ایجاد آن در سال ۱۹۷۲، UNEP سعی کرده است استانداردها و شیوه‌های زیست‌محیطی قوی را تثبیت کند و در عین حال پایبندی با آنها را تضمین کند. با این حال، با مشکلات بسیاری مواجه شده است، که عمدتاً به دلیل ساختار سازمانی خود و عدم تأمین مالی مناسب است، که منجر به تلاش‌های مختلف بازسازی شده است.&lt;sup&gt;۷۳&lt;/sup&gt;</w:t>
      </w:r>
    </w:p>
    <w:p>
      <w:pPr>
        <w:bidi w:val="1"/>
        <w:spacing w:line="312" w:lineRule="auto" w:before="0" w:after="120"/>
        <w:ind w:firstLine="454"/>
        <w:jc w:val="both"/>
      </w:pPr>
      <w:r>
        <w:rPr>
          <w:rFonts w:ascii="Times New Roman" w:hAnsi="Times New Roman" w:cs="B Nazanin"/>
          <w:sz w:val="22"/>
          <w:szCs w:val="28"/>
          <w:rtl w:val="1"/>
        </w:rPr>
        <w:t>پیشنهادهای مختلفی برای ارائه نظارت منسجم‌تر بر حاکمیت/حکمرانی بین‌المللی برای سیستم‌های زیست‌محیطی زمین به دولت‌ها ارائه شده است. از جمله پیشنهادها برای بهبود اثربخشی حاکمیت/حکمرانی زیست‌محیطی بین‌المللی، ایجاد یک سازمان جهانی محیط زیست (WEO) به عنوان یک آژانس تخصصی سازمان ملل به جای یک برنامه سازمان ملل است.&lt;sup&gt;۷۴&lt;/sup&gt; WEO سازمان جهانی محیط زیست به عنوان یک نهاد متمرکزتر تصور می‌شود که فرآیندهای تصمیم‌گیری، اجرا و هماهنگی در حاکمیت زیست‌محیطی بین‌المللی را بهبود می‌بخشد. پیشنهادهای دیگر UNDP و UNEP را ادغام می‌کنند و یک برنامه پایداری سازمان ملل un sustainability programme را تشکیل می‌دهند. این برنامه به شورای اقتصادی و اجتماعی سازمان ملل گزارش می‌دهد، که به عنوان یک شورای بوم‌شناختی، اجتماعی و اقتصادی عمل می‌کند. به طور جایگزین، بهارات اچ. دسای، عضو ICEL، خواستار واگذاری نظارت به یک شورای قیمومت «زیست‌محیطی» سازمان ملل شده است ص.17.&lt;sup&gt;۷۵&lt;/sup&gt; در حال حاضر، مجمع محیط زیست سازمان ملل و کمیته دوم مجمع عمومی مسئول نظارت بر حاکمیت و سیاست زیست‌محیطی جهانی هستند. مجمع عمومی سازمان ملل مجمع سیاسی عالی رتبه را در ژوئیه هر سال راه‌اندازی کرد تا اجرای اهداف توسعه پایدار سازمان ملل را ارزیابی کند. یک راه کارآمد برای دستیابی به انسجام جهانی می‌تواند با تصویب مجموعه مشترکی از اصول توافق‌شده فراهم شود.</w:t>
      </w:r>
    </w:p>
    <w:p>
      <w:pPr>
        <w:bidi w:val="1"/>
        <w:spacing w:line="312" w:lineRule="auto" w:before="0" w:after="120"/>
        <w:ind w:firstLine="454"/>
        <w:jc w:val="both"/>
      </w:pPr>
      <w:r>
        <w:rPr>
          <w:rFonts w:ascii="Times New Roman" w:hAnsi="Times New Roman" w:cs="B Nazanin"/>
          <w:sz w:val="22"/>
          <w:szCs w:val="28"/>
          <w:rtl w:val="1"/>
        </w:rPr>
        <w:t>هر رویکرد حاکمیتی/حکمرانی که ممکن است در نظر گرفته شود، به رسمیت شناختن فزاینده نقش بازیگران غیردولتی در حقوق بین‌الملل محیط زیست وجود دارد، با اذعان به اینکه روابط بین‌الملل فراتر از دولت‌ها و «مدل وستفالیایی» حاکمیت دولت تکامل یافته است. بازیگران غیردولتی به طور فزاینده‌ای در مذاکرات بین‌المللی زیست‌محیطی شرکت می‌کنند، هرچند اغلب به شیوه‌ای غیررسمی، بدون قواعد مشخص در مورد دامنه مشارکت آنها. در دنیای رسانه‌های اجتماعی، امکان مشارکت جوامع محلی در بحث‌های مربوط به آینده زیست‌محیطی آنها نیز وجود دارد. سیستم‌های حقوق بین‌الملل محیط زیست باید چگونگی رعایت اصل ۱۰ اعلامیه ریو، در مورد «مشارکت عمومی در تصمیم‌گیری‌های زیست‌محیطی» را بیشتر بررسی کنند.&lt;sup&gt;۷۶&lt;/sup&gt;</w:t>
      </w:r>
    </w:p>
    <w:p>
      <w:pPr>
        <w:bidi w:val="1"/>
        <w:spacing w:line="312" w:lineRule="auto" w:before="0" w:after="120"/>
        <w:ind w:firstLine="454"/>
        <w:jc w:val="both"/>
      </w:pPr>
      <w:r>
        <w:rPr>
          <w:rFonts w:ascii="Times New Roman" w:hAnsi="Times New Roman" w:cs="B Nazanin"/>
          <w:sz w:val="22"/>
          <w:szCs w:val="28"/>
          <w:rtl w:val="1"/>
        </w:rPr>
        <w:t>اجماع گسترده‌ای در حمایت از هماهنگی مؤثرتر بین اسناد و نهادهای بین‌المللی محیط زیست وجود دارد. گزارش ویژه IPCC «گرمایش جهانی ۱.۵ درجه سانتی‌گراد» پیش‌بینی می‌کند که دولت‌ها فقط ده سال فرصت دارند تا هماهنگی را بهبود بخشند، قبل از اینکه آسیب‌ها غیرقابل تحمل شوند. گرمایش شتابان جو زمین هیچ مماطله بیشتری را مجاز نمی‌دارد. تقویت سیستم‌های حقوقی بین‌المللی محیط زیست برای دستیابی به دستور کار ۲۰۳۰ در مورد توسعه پایدار ضروری است. دولت‌ها از داشتن نهادهای قوی‌تری که بتوانند به طور مؤثرتری به مشکلات زیست‌محیطی آنها پاسخ دهند، سود می‌برند. تدوین مجموعه‌ای از اصول، همکاری بین‌المللی را به سمت ساختارهای حاکمیتی جدیدی تحریک می‌کند/ سوق می‌دهد که به تدریج خلا ‌های موجود در سیستم حقوق بین‌الملل محیط زیست را «...به عنوان پایه حقوقی برای عدالت زیست‌محیطی، یکپارچگی بوم‌شناختی جهانی، و آینده‌ای پایدار برای همه.»&lt;sup&gt;۷۷&lt;/sup&gt; پر خواهند کرد،</w:t>
      </w:r>
    </w:p>
    <w:p>
      <w:pPr>
        <w:pStyle w:val="GPEHeading3"/>
        <w:bidi w:val="1"/>
        <w:spacing w:line="312" w:lineRule="auto" w:before="200" w:after="120"/>
        <w:jc w:val="right"/>
      </w:pPr>
      <w:r>
        <w:rPr>
          <w:rFonts w:ascii="Times New Roman" w:hAnsi="Times New Roman" w:cs="B Nazanin"/>
          <w:sz w:val="24"/>
          <w:szCs w:val="24"/>
          <w:rtl w:val="1"/>
          <w:b/>
          <w:bCs/>
          <w:color w:val="14203a"/>
        </w:rPr>
        <w:t>۳-۱-۷ خلاءهای مرتبط با اجرا و اثربخشی حقوق بین الملل محیط زیست</w:t>
      </w:r>
    </w:p>
    <w:p>
      <w:pPr>
        <w:bidi w:val="1"/>
        <w:spacing w:line="312" w:lineRule="auto" w:before="0" w:after="120"/>
        <w:ind w:firstLine="454"/>
        <w:jc w:val="both"/>
      </w:pPr>
      <w:r>
        <w:rPr>
          <w:rFonts w:ascii="Times New Roman" w:hAnsi="Times New Roman" w:cs="B Nazanin"/>
          <w:sz w:val="22"/>
          <w:szCs w:val="28"/>
          <w:rtl w:val="1"/>
        </w:rPr>
        <w:t>«پراکندگی اجتناب‌ناپذیر است، اما فقدان یک چارچوب مادر، این پراکندگی را به یک آسیب سیستمی تبدیل کرده است»</w:t>
      </w:r>
    </w:p>
    <w:p>
      <w:pPr>
        <w:pStyle w:val="GPEHeading2"/>
        <w:bidi w:val="1"/>
        <w:spacing w:line="312" w:lineRule="auto" w:before="200" w:after="120"/>
        <w:jc w:val="right"/>
      </w:pPr>
      <w:r>
        <w:rPr>
          <w:rFonts w:ascii="Times New Roman" w:hAnsi="Times New Roman" w:cs="B Nazanin"/>
          <w:sz w:val="24"/>
          <w:szCs w:val="24"/>
          <w:rtl w:val="1"/>
          <w:b/>
          <w:bCs/>
          <w:color w:val="14203a"/>
        </w:rPr>
        <w:t>۳-۲ گفتار دوم: واکاویِ ابتکارِ پیمان جهانی محیط زیست</w:t>
      </w:r>
    </w:p>
    <w:p>
      <w:pPr>
        <w:bidi w:val="1"/>
        <w:spacing w:line="312" w:lineRule="auto" w:before="0" w:after="120"/>
        <w:ind w:firstLine="454"/>
        <w:jc w:val="both"/>
      </w:pPr>
      <w:r>
        <w:rPr>
          <w:rFonts w:ascii="Times New Roman" w:hAnsi="Times New Roman" w:cs="B Nazanin"/>
          <w:sz w:val="22"/>
          <w:szCs w:val="28"/>
          <w:rtl w:val="1"/>
        </w:rPr>
        <w:t>پس از آنکه گفتارِ نخست خلأهای گزارشِ دبیرکل (۱۹۹۰) و روندِ شکل‌گیریِ پیش‌نویسِ ۲۰۱۷ را کاوید، گفتارِ حاضر خودِ ابتکارِ پیمان را در نُه محورِ به‌هم‌پیوسته تحلیل می‌کند: ضرورت، اهداف، دامنه، رویکردها، ماهیت و جایگاه، محتوای مواد ماهوی، محتوای مواد شکلی، ارزشِ افزوده و نوآوری، و کاستی‌ها. هدف، ارزیابیِ مستدلِ این پرسش است که آیا پیمان می‌توانست به خلأهای شناسایی‌شده در گزارشِ دبیرکل پاسخ دهد.</w:t>
      </w:r>
    </w:p>
    <w:p>
      <w:pPr>
        <w:pStyle w:val="GPEHeading3"/>
        <w:bidi w:val="1"/>
        <w:spacing w:line="312" w:lineRule="auto" w:before="200" w:after="120"/>
        <w:jc w:val="right"/>
      </w:pPr>
      <w:r>
        <w:rPr>
          <w:rFonts w:ascii="Times New Roman" w:hAnsi="Times New Roman" w:cs="B Nazanin"/>
          <w:sz w:val="24"/>
          <w:szCs w:val="24"/>
          <w:rtl w:val="1"/>
          <w:b/>
          <w:bCs/>
          <w:color w:val="14203a"/>
        </w:rPr>
        <w:t>۳-۲-۱ ضرورتِ تدوینِ پیمان</w:t>
      </w:r>
    </w:p>
    <w:p>
      <w:pPr>
        <w:bidi w:val="1"/>
        <w:spacing w:line="312" w:lineRule="auto" w:before="0" w:after="120"/>
        <w:ind w:firstLine="454"/>
        <w:jc w:val="both"/>
      </w:pPr>
      <w:r>
        <w:rPr>
          <w:rFonts w:ascii="Times New Roman" w:hAnsi="Times New Roman" w:cs="B Nazanin"/>
          <w:sz w:val="22"/>
          <w:szCs w:val="28"/>
          <w:rtl w:val="1"/>
        </w:rPr>
        <w:t>ضرورتِ پیمان از سه سرچشمه برمی‌خیزد. نخست، پراکندگیِ ساختاریِ حقوق بین‌الملل محیط زیست که در فصل دوم تبیین شد و به همپوشانی و تعارضِ تعهدات میان بیش از پانصد MEA انجامیده است. دوم، فقدانِ یک متنِ مرجعِ الزام‌آور که اصولِ بنیادین (احتیاط، پیشگیری، آلوده‌ساز می‌پردازد، عدم‌پس‌رفت) را در یک‌جا و با ارزشِ حقوقیِ یکسان گرد آورد. سوم، شکافِ اجرا و پایبندی که گزارش‌های پیاپیِ برنامهٔ محیط زیست ملل متحد بر آن انگشت گذاشته‌اند.</w:t>
      </w:r>
      <w:r>
        <w:rPr>
          <w:rStyle w:val="FootnoteReference"/>
          <w:rtl w:val="1"/>
        </w:rPr>
        <w:footnoteReference w:id="387"/>
      </w:r>
    </w:p>
    <w:p>
      <w:pPr>
        <w:bidi w:val="1"/>
        <w:spacing w:line="312" w:lineRule="auto" w:before="0" w:after="120"/>
        <w:ind w:firstLine="454"/>
        <w:jc w:val="both"/>
      </w:pPr>
      <w:r>
        <w:rPr>
          <w:rFonts w:ascii="Times New Roman" w:hAnsi="Times New Roman" w:cs="B Nazanin"/>
          <w:sz w:val="22"/>
          <w:szCs w:val="28"/>
          <w:rtl w:val="1"/>
        </w:rPr>
        <w:t>آگیلا و وینیوالس استدلال می‌کنند که تدوینِ اصولِ پراکنده در یک سندِ واحد، «هزینهٔ معاملاتیِ» تفسیر و اجرا را می‌کاهد و به قاضی و دولت‌ها مرجعی مشترک می‌دهد؛ همان کارکردی که کمیسیون حقوق بین‌الملل ذیلِ «یکپارچگیِ نظام‌مند» توضیح می‌دهد.</w:t>
      </w:r>
      <w:r>
        <w:rPr>
          <w:rStyle w:val="FootnoteReference"/>
          <w:rtl w:val="1"/>
        </w:rPr>
        <w:footnoteReference w:id="388"/>
      </w:r>
    </w:p>
    <w:p>
      <w:pPr>
        <w:pStyle w:val="GPEHeading3"/>
        <w:bidi w:val="1"/>
        <w:spacing w:line="312" w:lineRule="auto" w:before="200" w:after="120"/>
        <w:jc w:val="right"/>
      </w:pPr>
      <w:r>
        <w:rPr>
          <w:rFonts w:ascii="Times New Roman" w:hAnsi="Times New Roman" w:cs="B Nazanin"/>
          <w:sz w:val="24"/>
          <w:szCs w:val="24"/>
          <w:rtl w:val="1"/>
          <w:b/>
          <w:bCs/>
          <w:color w:val="14203a"/>
        </w:rPr>
        <w:t>۳-۲-۲ اهداف و دامنهٔ شمول</w:t>
      </w:r>
    </w:p>
    <w:p>
      <w:pPr>
        <w:bidi w:val="1"/>
        <w:spacing w:line="312" w:lineRule="auto" w:before="0" w:after="120"/>
        <w:ind w:firstLine="454"/>
        <w:jc w:val="both"/>
      </w:pPr>
      <w:r>
        <w:rPr>
          <w:rFonts w:ascii="Times New Roman" w:hAnsi="Times New Roman" w:cs="B Nazanin"/>
          <w:sz w:val="22"/>
          <w:szCs w:val="28"/>
          <w:rtl w:val="1"/>
        </w:rPr>
        <w:t>هدفِ اصلیِ پیش‌نویسِ ۲۰۱۷، تثبیتِ اصولِ عمومیِ حقوق محیط زیست به‌مثابه حقوقِ الزام‌آور و ایجادِ حقِ بنیادینِ «زیستن در محیطی زیست‌سازگار (ecologically sound environment)» بود (مادهٔ ۱). دامنهٔ شمولِ آن فراگیر است: همهٔ عرصه‌های زیست‌محیطی و همهٔ تابعانِ حقوق بین‌الملل، اعم از دولت‌ها، سازمان‌ها و — به‌طور غیرمستقیم — بازیگرانِ غیردولتی.</w:t>
      </w:r>
    </w:p>
    <w:p>
      <w:pPr>
        <w:bidi w:val="1"/>
        <w:spacing w:line="312" w:lineRule="auto" w:before="0" w:after="120"/>
        <w:ind w:firstLine="454"/>
        <w:jc w:val="both"/>
      </w:pPr>
      <w:r>
        <w:rPr>
          <w:rFonts w:ascii="Times New Roman" w:hAnsi="Times New Roman" w:cs="B Nazanin"/>
          <w:sz w:val="22"/>
          <w:szCs w:val="28"/>
          <w:rtl w:val="1"/>
        </w:rPr>
        <w:t>این فراگیریِ دامنه، هم بزرگ‌ترین جاه‌طلبیِ پیمان و هم — چنان‌که در بخشِ کاستی‌ها خواهد آمد — یکی از عللِ مقاومتِ دولت‌ها بود؛ زیرا سندی با چنین گستره‌ای، ناگزیر با اصلِ حاکمیت و با رژیم‌های تخصصیِ موجود در تماس قرار می‌گرفت.</w:t>
      </w:r>
    </w:p>
    <w:p>
      <w:pPr>
        <w:pStyle w:val="GPEHeading3"/>
        <w:bidi w:val="1"/>
        <w:spacing w:line="312" w:lineRule="auto" w:before="200" w:after="120"/>
        <w:jc w:val="right"/>
      </w:pPr>
      <w:r>
        <w:rPr>
          <w:rFonts w:ascii="Times New Roman" w:hAnsi="Times New Roman" w:cs="B Nazanin"/>
          <w:sz w:val="24"/>
          <w:szCs w:val="24"/>
          <w:rtl w:val="1"/>
          <w:b/>
          <w:bCs/>
          <w:color w:val="14203a"/>
        </w:rPr>
        <w:t>۳-۲-۳ رویکردها: پیشگیرانه، آینده‌نگر و حق‌بشری</w:t>
      </w:r>
    </w:p>
    <w:p>
      <w:pPr>
        <w:bidi w:val="1"/>
        <w:spacing w:line="312" w:lineRule="auto" w:before="0" w:after="120"/>
        <w:ind w:firstLine="454"/>
        <w:jc w:val="both"/>
      </w:pPr>
      <w:r>
        <w:rPr>
          <w:rFonts w:ascii="Times New Roman" w:hAnsi="Times New Roman" w:cs="B Nazanin"/>
          <w:sz w:val="22"/>
          <w:szCs w:val="28"/>
          <w:rtl w:val="1"/>
        </w:rPr>
        <w:t>پیمان بر سه رویکردِ به‌هم‌تنیده استوار بود. رویکردِ پیشگیرانه (preventive) که اصولِ احتیاط و پیشگیری را به کانونِ تعهدات می‌آورد و بارِ اثباتِ بی‌خطری را جابه‌جا می‌کند. رویکردِ آینده‌نگر (forward-looking) که با گنجاندنِ اصلِ «عدم‌پس‌رفت (non-regression)» و توجه به نسل‌های آینده، بُعدی آینده‌پژوهانه به سند می‌بخشد.</w:t>
      </w:r>
      <w:r>
        <w:rPr>
          <w:rStyle w:val="FootnoteReference"/>
          <w:rtl w:val="1"/>
        </w:rPr>
        <w:footnoteReference w:id="389"/>
      </w:r>
    </w:p>
    <w:p>
      <w:pPr>
        <w:bidi w:val="1"/>
        <w:spacing w:line="312" w:lineRule="auto" w:before="0" w:after="120"/>
        <w:ind w:firstLine="454"/>
        <w:jc w:val="both"/>
      </w:pPr>
      <w:r>
        <w:rPr>
          <w:rFonts w:ascii="Times New Roman" w:hAnsi="Times New Roman" w:cs="B Nazanin"/>
          <w:sz w:val="22"/>
          <w:szCs w:val="28"/>
          <w:rtl w:val="1"/>
        </w:rPr>
        <w:t>رویکردِ حق‌بشری (rights-based) که — به تعبیرِ تیگره — «حق بر محیط‌زیست سالم» را همچون زمینهٔ مشترکی برای عبور از بن‌بستِ سیاسی به کار می‌گیرد؛ همان رویکردی که بعدها در قطعنامهٔ ۷۶/۳۰۰ مجمع عمومی (۲۰۲۲) به بار نشست.</w:t>
      </w:r>
      <w:r>
        <w:rPr>
          <w:rStyle w:val="FootnoteReference"/>
          <w:rtl w:val="1"/>
        </w:rPr>
        <w:footnoteReference w:id="390"/>
      </w:r>
    </w:p>
    <w:p>
      <w:pPr>
        <w:pStyle w:val="GPEHeading3"/>
        <w:bidi w:val="1"/>
        <w:spacing w:line="312" w:lineRule="auto" w:before="200" w:after="120"/>
        <w:jc w:val="right"/>
      </w:pPr>
      <w:r>
        <w:rPr>
          <w:rFonts w:ascii="Times New Roman" w:hAnsi="Times New Roman" w:cs="B Nazanin"/>
          <w:sz w:val="24"/>
          <w:szCs w:val="24"/>
          <w:rtl w:val="1"/>
          <w:b/>
          <w:bCs/>
          <w:color w:val="14203a"/>
        </w:rPr>
        <w:t>۳-۲-۴ ماهیت و جایگاهِ حقوقیِ پیمان در نظمِ کنونی</w:t>
      </w:r>
    </w:p>
    <w:p>
      <w:pPr>
        <w:bidi w:val="1"/>
        <w:spacing w:line="312" w:lineRule="auto" w:before="0" w:after="120"/>
        <w:ind w:firstLine="454"/>
        <w:jc w:val="both"/>
      </w:pPr>
      <w:r>
        <w:rPr>
          <w:rFonts w:ascii="Times New Roman" w:hAnsi="Times New Roman" w:cs="B Nazanin"/>
          <w:sz w:val="22"/>
          <w:szCs w:val="28"/>
          <w:rtl w:val="1"/>
        </w:rPr>
        <w:t>ماهیتِ حقوقیِ پیمان، «سندِ اصولِ عام (umbrella instrument)» است؛ یعنی متنی که نه جایگزینِ MEAهای موجود می‌شود و نه آن‌ها را در یک نهادِ واحد ادغام می‌کند، بلکه چترِ اصولیِ مشترکی فراهم می‌آورد که سایرِ معاهدات ذیلِ آن تفسیر و هماهنگ شوند.</w:t>
      </w:r>
    </w:p>
    <w:p>
      <w:pPr>
        <w:bidi w:val="1"/>
        <w:spacing w:line="312" w:lineRule="auto" w:before="0" w:after="120"/>
        <w:ind w:firstLine="454"/>
        <w:jc w:val="both"/>
      </w:pPr>
      <w:r>
        <w:rPr>
          <w:rFonts w:ascii="Times New Roman" w:hAnsi="Times New Roman" w:cs="B Nazanin"/>
          <w:sz w:val="22"/>
          <w:szCs w:val="28"/>
          <w:rtl w:val="1"/>
        </w:rPr>
        <w:t>این جایگاه دقیقاً با ابزارِ «یکپارچگیِ نظام‌مندِ» کمیسیون حقوق بین‌الملل هم‌خوان است: پیمان می‌توانست به‌مثابه «بافتِ هنجاریِ مشترک» عمل کند که مادهٔ ۳۱(۳)(ج) کنوانسیون وین در تفسیرِ هر MEA به آن ارجاع می‌دهد — بی‌آنکه استقلالِ رژیم‌های خاص را نفی کند.</w:t>
      </w:r>
      <w:r>
        <w:rPr>
          <w:rStyle w:val="FootnoteReference"/>
          <w:rtl w:val="1"/>
        </w:rPr>
        <w:footnoteReference w:id="391"/>
      </w:r>
    </w:p>
    <w:p>
      <w:pPr>
        <w:pStyle w:val="GPEHeading3"/>
        <w:bidi w:val="1"/>
        <w:spacing w:line="312" w:lineRule="auto" w:before="200" w:after="120"/>
        <w:jc w:val="right"/>
      </w:pPr>
      <w:r>
        <w:rPr>
          <w:rFonts w:ascii="Times New Roman" w:hAnsi="Times New Roman" w:cs="B Nazanin"/>
          <w:sz w:val="24"/>
          <w:szCs w:val="24"/>
          <w:rtl w:val="1"/>
          <w:b/>
          <w:bCs/>
          <w:color w:val="14203a"/>
        </w:rPr>
        <w:t>۳-۲-۵ محتوای مواد ماهوی و شکلی</w:t>
      </w:r>
    </w:p>
    <w:p>
      <w:pPr>
        <w:bidi w:val="1"/>
        <w:spacing w:line="312" w:lineRule="auto" w:before="0" w:after="120"/>
        <w:ind w:firstLine="454"/>
        <w:jc w:val="both"/>
      </w:pPr>
      <w:r>
        <w:rPr>
          <w:rFonts w:ascii="Times New Roman" w:hAnsi="Times New Roman" w:cs="B Nazanin"/>
          <w:sz w:val="22"/>
          <w:szCs w:val="28"/>
          <w:rtl w:val="1"/>
        </w:rPr>
        <w:t>از منظرِ ماهوی، پیش‌نویس در بیست‌وشش ماده، اصولِ شناخته‌شدهٔ حقوق محیط زیست را گرد آورد: حقِ محیط‌زیست سالم (م۱)، وظیفهٔ مراقبت (م۲)، ادغامِ ملاحظاتِ زیست‌محیطی در توسعه (م۳)، برابریِ بین‌نسلی (م۴)، پیشگیری (م۵)، احتیاط (م۶)، جبرانِ خسارت و اصلِ آلوده‌ساز می‌پردازد (م۸)، و عدم‌پس‌رفت (م۱۷).</w:t>
      </w:r>
    </w:p>
    <w:p>
      <w:pPr>
        <w:bidi w:val="1"/>
        <w:spacing w:line="312" w:lineRule="auto" w:before="0" w:after="120"/>
        <w:ind w:firstLine="454"/>
        <w:jc w:val="both"/>
      </w:pPr>
      <w:r>
        <w:rPr>
          <w:rFonts w:ascii="Times New Roman" w:hAnsi="Times New Roman" w:cs="B Nazanin"/>
          <w:sz w:val="22"/>
          <w:szCs w:val="28"/>
          <w:rtl w:val="1"/>
        </w:rPr>
        <w:t>از منظرِ شکلی و اجرایی، پیمان سازوکارِ نظارتیِ سبک (کمیتهٔ متخصصانِ مستقل و گزارش‌دهیِ ادواری) پیش‌بینی کرده بود، نه یک دیوانِ الزام‌آور. همین سبک‌بودنِ ضمانتِ اجرا، از سویی شانسِ پذیرشِ سیاسی را بالا می‌برد و از سوی دیگر، آماجِ نقدِ منتقدانی شد که آن را فاقدِ دندانِ اجرایی می‌دانستند.</w:t>
      </w:r>
      <w:r>
        <w:rPr>
          <w:rStyle w:val="FootnoteReference"/>
          <w:rtl w:val="1"/>
        </w:rPr>
        <w:footnoteReference w:id="392"/>
      </w:r>
    </w:p>
    <w:p>
      <w:pPr>
        <w:pStyle w:val="GPEHeading3"/>
        <w:bidi w:val="1"/>
        <w:spacing w:line="312" w:lineRule="auto" w:before="200" w:after="120"/>
        <w:jc w:val="right"/>
      </w:pPr>
      <w:r>
        <w:rPr>
          <w:rFonts w:ascii="Times New Roman" w:hAnsi="Times New Roman" w:cs="B Nazanin"/>
          <w:sz w:val="24"/>
          <w:szCs w:val="24"/>
          <w:rtl w:val="1"/>
          <w:b/>
          <w:bCs/>
          <w:color w:val="14203a"/>
        </w:rPr>
        <w:t>۳-۲-۶ ارزشِ افزوده و نوآوریِ حقوقی</w:t>
      </w:r>
    </w:p>
    <w:p>
      <w:pPr>
        <w:bidi w:val="1"/>
        <w:spacing w:line="312" w:lineRule="auto" w:before="0" w:after="120"/>
        <w:ind w:firstLine="454"/>
        <w:jc w:val="both"/>
      </w:pPr>
      <w:r>
        <w:rPr>
          <w:rFonts w:ascii="Times New Roman" w:hAnsi="Times New Roman" w:cs="B Nazanin"/>
          <w:sz w:val="22"/>
          <w:szCs w:val="28"/>
          <w:rtl w:val="1"/>
        </w:rPr>
        <w:t>ارزشِ افزودهٔ اصلیِ پیمان، «یک‌جا و الزام‌آور کردنِ» اصولی بود که تاکنون پراکنده و عمدتاً نرم بودند؛ به‌ویژه تثبیتِ اصلِ «عدم‌پس‌رفت» به‌مثابه یک تعهدِ حقوقی، نوآوریِ برجستهٔ آن به شمار می‌رود. افزون بر این، پیمان می‌توانست مرجعی برای رویهٔ قضاییِ نوپای زیست‌محیطی فراهم کند.</w:t>
      </w:r>
    </w:p>
    <w:p>
      <w:pPr>
        <w:bidi w:val="1"/>
        <w:spacing w:line="312" w:lineRule="auto" w:before="0" w:after="120"/>
        <w:ind w:firstLine="454"/>
        <w:jc w:val="both"/>
      </w:pPr>
      <w:r>
        <w:rPr>
          <w:rFonts w:ascii="Times New Roman" w:hAnsi="Times New Roman" w:cs="B Nazanin"/>
          <w:sz w:val="22"/>
          <w:szCs w:val="28"/>
          <w:rtl w:val="1"/>
        </w:rPr>
        <w:t>تیلر نتیجه می‌گیرد که پیمان در «تقویتِ اصولِ عمومی» ارزش‌افزا است، هرچند در «پرکردنِ خلأهای مقرراتیِ مشخص» توفیقی نمی‌یافت؛ داوریِ متعادلی که این رساله آن را می‌پذیرد و در فصل چهارم بسط می‌دهد.</w:t>
      </w:r>
      <w:r>
        <w:rPr>
          <w:rStyle w:val="FootnoteReference"/>
          <w:rtl w:val="1"/>
        </w:rPr>
        <w:footnoteReference w:id="393"/>
      </w:r>
    </w:p>
    <w:p>
      <w:pPr>
        <w:pStyle w:val="GPEHeading3"/>
        <w:bidi w:val="1"/>
        <w:spacing w:line="312" w:lineRule="auto" w:before="200" w:after="120"/>
        <w:jc w:val="right"/>
      </w:pPr>
      <w:r>
        <w:rPr>
          <w:rFonts w:ascii="Times New Roman" w:hAnsi="Times New Roman" w:cs="B Nazanin"/>
          <w:sz w:val="24"/>
          <w:szCs w:val="24"/>
          <w:rtl w:val="1"/>
          <w:b/>
          <w:bCs/>
          <w:color w:val="14203a"/>
        </w:rPr>
        <w:t>۳-۲-۷ کاستی‌ها و قابلیتِ پاسخ‌گویی به خلأهای گزارشِ دبیرکل</w:t>
      </w:r>
    </w:p>
    <w:p>
      <w:pPr>
        <w:bidi w:val="1"/>
        <w:spacing w:line="312" w:lineRule="auto" w:before="0" w:after="120"/>
        <w:ind w:firstLine="454"/>
        <w:jc w:val="both"/>
      </w:pPr>
      <w:r>
        <w:rPr>
          <w:rFonts w:ascii="Times New Roman" w:hAnsi="Times New Roman" w:cs="B Nazanin"/>
          <w:sz w:val="22"/>
          <w:szCs w:val="28"/>
          <w:rtl w:val="1"/>
        </w:rPr>
        <w:t>پیمان با سه کاستیِ اصلی روبه‌رو بود: ضمانتِ اجرای ضعیف، ابهامِ نسبتِ آن با MEAهای موجود، و بلندپروازیِ دامنه که مقاومتِ دولت‌های نگرانِ حاکمیت را برانگیخت. با این حال، ارزیابیِ مستدل نشان می‌دهد که پیمان دستِ‌کم به بخشی از خلأهای چهارگانهٔ گزارشِ دبیرکل (خلأِ هنجاری، خلأِ انسجام، خلأِ اجرا، و خلأِ حق‌محوری) پاسخ می‌داد: خلأِ هنجاری و انسجام را از طریقِ تجمیعِ اصول، و خلأِ حق‌محوری را با تثبیتِ حقِ محیط‌زیست سالم.</w:t>
      </w:r>
      <w:r>
        <w:rPr>
          <w:rStyle w:val="FootnoteReference"/>
          <w:rtl w:val="1"/>
        </w:rPr>
        <w:footnoteReference w:id="394"/>
      </w:r>
    </w:p>
    <w:p>
      <w:pPr>
        <w:bidi w:val="1"/>
        <w:spacing w:line="312" w:lineRule="auto" w:before="0" w:after="120"/>
        <w:ind w:firstLine="454"/>
        <w:jc w:val="both"/>
      </w:pPr>
      <w:r>
        <w:rPr>
          <w:rFonts w:ascii="Times New Roman" w:hAnsi="Times New Roman" w:cs="B Nazanin"/>
          <w:sz w:val="22"/>
          <w:szCs w:val="28"/>
          <w:rtl w:val="1"/>
        </w:rPr>
        <w:t>اما در خلأِ اجرا و پایبندی، پاسخِ پیمان ناکافی بود؛ زیرا سازوکارِ نظارتیِ آن سبک و غیرالزام‌آور طراحی شده بود. این ارزیابیِ دووجهی، پلِ ورود به فصل چهارم است که در آن، اثرِ بالقوهٔ پیمان بر MEAها و پیامدهای شکستِ آن تحلیل می‌شود.</w:t>
      </w:r>
    </w:p>
    <w:p>
      <w:pPr>
        <w:pStyle w:val="GPEHeading3"/>
        <w:bidi w:val="1"/>
        <w:spacing w:line="312" w:lineRule="auto" w:before="200" w:after="120"/>
        <w:jc w:val="right"/>
      </w:pPr>
      <w:r>
        <w:rPr>
          <w:rFonts w:ascii="Times New Roman" w:hAnsi="Times New Roman" w:cs="B Nazanin"/>
          <w:sz w:val="24"/>
          <w:szCs w:val="24"/>
          <w:rtl w:val="1"/>
          <w:b/>
          <w:bCs/>
          <w:color w:val="14203a"/>
        </w:rPr>
        <w:t>۳-۲-۸ خوانشِ انتقادیِ گزارش دبیرکل: تفکیکِ «خلأ» از «خلأِ حقوقی»</w:t>
      </w:r>
    </w:p>
    <w:p>
      <w:pPr>
        <w:bidi w:val="1"/>
        <w:spacing w:line="312" w:lineRule="auto" w:before="0" w:after="120"/>
        <w:ind w:firstLine="454"/>
        <w:jc w:val="both"/>
      </w:pPr>
      <w:r>
        <w:rPr>
          <w:rFonts w:ascii="Times New Roman" w:hAnsi="Times New Roman" w:cs="B Nazanin"/>
          <w:sz w:val="22"/>
          <w:szCs w:val="28"/>
          <w:rtl w:val="1"/>
        </w:rPr>
        <w:t>گزارش دبیرکل (سند A/73/419) خلأهای حقوق بین‌الملل محیط زیست را در سه سطحِ هنجاری، ساختاری/حکمرانی و اجرایی صورت‌بندی می‌کند. این طبقه‌بندی سودمند است، اما رساله نباید چارچوبِ مسئله را یک‌سره از این گزارش وام بگیرد؛ زیرا خطرِ آن است که هر کاستی به‌طور خودکار «خلأِ حقوقی» و در نتیجه دلیلی برای ضرورتِ یک پیمانِ جامع تلقی شود.</w:t>
      </w:r>
      <w:r>
        <w:rPr>
          <w:rStyle w:val="FootnoteReference"/>
          <w:rtl w:val="1"/>
        </w:rPr>
        <w:footnoteReference w:id="395"/>
      </w:r>
    </w:p>
    <w:p>
      <w:pPr>
        <w:bidi w:val="1"/>
        <w:spacing w:line="312" w:lineRule="auto" w:before="0" w:after="120"/>
        <w:ind w:firstLine="454"/>
        <w:jc w:val="both"/>
      </w:pPr>
      <w:r>
        <w:rPr>
          <w:rFonts w:ascii="Times New Roman" w:hAnsi="Times New Roman" w:cs="B Nazanin"/>
          <w:sz w:val="22"/>
          <w:szCs w:val="28"/>
          <w:rtl w:val="1"/>
        </w:rPr>
        <w:t>برای تقویتِ نقد باید چهار تفکیکِ صریح وارد تحلیل شود: نخست، «عدمِ اجرای تعهد» با «فقدانِ تعهد» یکسان نیست؛ دوم، «ضعفِ نهاد» با «فقدانِ قاعده» برابر نیست؛ سوم، «نبودِ ارادهٔ سیاسی» فی‌نفسه یک «خلأِ حقوقی» نیست؛ و چهارم، «پراکندگی» با «لزومِ وجودِ یک معاهدهٔ جامع» این‌همان نیست. تنها پس از این پالایش می‌توان گفت کدام کاستی واقعاً پاسخی هنجاری (معاهده) می‌طلبد و کدام‌یک راه‌حلی نهادی یا سیاسی.</w:t>
      </w:r>
    </w:p>
    <w:p>
      <w:pPr>
        <w:bidi w:val="1"/>
        <w:spacing w:line="312" w:lineRule="auto" w:before="0" w:after="120"/>
        <w:ind w:firstLine="454"/>
        <w:jc w:val="both"/>
      </w:pPr>
      <w:r>
        <w:rPr>
          <w:rFonts w:ascii="Times New Roman" w:hAnsi="Times New Roman" w:cs="B Nazanin"/>
          <w:sz w:val="22"/>
          <w:szCs w:val="28"/>
          <w:rtl w:val="1"/>
        </w:rPr>
        <w:t>بر این پایه، پرسشِ سنجش‌گرانهٔ رساله چنین می‌شود: از میانِ آنچه گزارش «خلأ» می‌نامد، چه بخشی حقیقتاً خلأِ هنجاری است که رفعِ آن مستلزمِ قاعده‌سازیِ تازه است، و چه بخشی مسئلهٔ اجرا، حکمرانی یا ارادهٔ سیاسی است که با ابزارهایی جز معاهدهٔ جامع بهتر حل می‌شود؟ همین تفکیک، پلِ ورود به تحلیلِ سه‌سطحیِ ضرورتِ پیمان است.</w:t>
      </w:r>
    </w:p>
    <w:p>
      <w:pPr>
        <w:pStyle w:val="GPEHeading3"/>
        <w:bidi w:val="1"/>
        <w:spacing w:line="312" w:lineRule="auto" w:before="200" w:after="120"/>
        <w:jc w:val="right"/>
      </w:pPr>
      <w:r>
        <w:rPr>
          <w:rFonts w:ascii="Times New Roman" w:hAnsi="Times New Roman" w:cs="B Nazanin"/>
          <w:sz w:val="24"/>
          <w:szCs w:val="24"/>
          <w:rtl w:val="1"/>
          <w:b/>
          <w:bCs/>
          <w:color w:val="14203a"/>
        </w:rPr>
        <w:t>۳-۲-۹ سطح‌بندیِ ضرورتِ پیمان: هنجاری، نهادی، سیاسی</w:t>
      </w:r>
    </w:p>
    <w:p>
      <w:pPr>
        <w:bidi w:val="1"/>
        <w:spacing w:line="312" w:lineRule="auto" w:before="0" w:after="120"/>
        <w:ind w:firstLine="454"/>
        <w:jc w:val="both"/>
      </w:pPr>
      <w:r>
        <w:rPr>
          <w:rFonts w:ascii="Times New Roman" w:hAnsi="Times New Roman" w:cs="B Nazanin"/>
          <w:sz w:val="22"/>
          <w:szCs w:val="28"/>
          <w:rtl w:val="1"/>
        </w:rPr>
        <w:t>ضرورتِ پیمان را باید در سه سطحِ جداگانه سنجید تا روشن شود پیمان پاسخِ مناسبِ کدام مشکل است. در سطحِ هنجاری پرسیده می‌شود آیا در سطحِ اصول و قواعد خلأِ واقعی وجود دارد؛ در سطحِ نهادی پرسیده می‌شود آیا مشکل از ساختارهای حکمرانی و پراکندگیِ نهادی برمی‌خیزد؛ و در سطحِ سیاسی پرسیده می‌شود آیا مسئلهٔ اصلی در واقع نبودِ ارادهٔ سیاسی است.</w:t>
      </w:r>
    </w:p>
    <w:p>
      <w:pPr>
        <w:bidi w:val="1"/>
        <w:spacing w:line="312" w:lineRule="auto" w:before="0" w:after="120"/>
        <w:ind w:firstLine="454"/>
        <w:jc w:val="both"/>
      </w:pPr>
      <w:r>
        <w:rPr>
          <w:rFonts w:ascii="Times New Roman" w:hAnsi="Times New Roman" w:cs="B Nazanin"/>
          <w:sz w:val="22"/>
          <w:szCs w:val="28"/>
          <w:rtl w:val="1"/>
        </w:rPr>
        <w:t>این تفکیک نتیجه‌ای مهم دارد: اگر ریشهٔ مشکل عمدتاً سیاسی یا نهادی باشد، یک معاهدهٔ جامعِ تازه نه‌تنها لزوماً درمان نیست، بلکه می‌تواند خودْ به منبعِ تعارض و بارِ نهادیِ افزوده بدل شود. بدین‌ترتیب، ضرورتِ پیمان از یک پیش‌فرض به یک فرضیهٔ آزمون‌پذیر بدل می‌شود که در فصل چهارم به محکِ مطالعاتِ موردی سپرده خواهد شد.</w:t>
      </w:r>
    </w:p>
    <w:p>
      <w:pPr>
        <w:pStyle w:val="GPEHeading3"/>
        <w:bidi w:val="1"/>
        <w:spacing w:line="312" w:lineRule="auto" w:before="200" w:after="120"/>
        <w:jc w:val="right"/>
      </w:pPr>
      <w:r>
        <w:rPr>
          <w:rFonts w:ascii="Times New Roman" w:hAnsi="Times New Roman" w:cs="B Nazanin"/>
          <w:sz w:val="24"/>
          <w:szCs w:val="24"/>
          <w:rtl w:val="1"/>
          <w:b/>
          <w:bCs/>
          <w:color w:val="14203a"/>
        </w:rPr>
        <w:t>۳-۲-۱۰ دامنه و اهدافِ پیمان: جامعیت به‌مثابه مزیتِ حقوقی و مانعِ سیاسی</w:t>
      </w:r>
    </w:p>
    <w:p>
      <w:pPr>
        <w:bidi w:val="1"/>
        <w:spacing w:line="312" w:lineRule="auto" w:before="0" w:after="120"/>
        <w:ind w:firstLine="454"/>
        <w:jc w:val="both"/>
      </w:pPr>
      <w:r>
        <w:rPr>
          <w:rFonts w:ascii="Times New Roman" w:hAnsi="Times New Roman" w:cs="B Nazanin"/>
          <w:sz w:val="22"/>
          <w:szCs w:val="28"/>
          <w:rtl w:val="1"/>
        </w:rPr>
        <w:t>گستردگیِ دامنه و اهدافِ پیمان دو رویه دارد. از یک‌سو، دامنهٔ جامع مزیتی حقوقی است، زیرا امکانِ پوششِ اصولِ مشترک و کاهشِ خلأهای موضوعی را فراهم می‌کند. از سوی دیگر، همان جامعیت می‌تواند مانعی سیاسی باشد.</w:t>
      </w:r>
    </w:p>
    <w:p>
      <w:pPr>
        <w:bidi w:val="1"/>
        <w:spacing w:line="312" w:lineRule="auto" w:before="0" w:after="120"/>
        <w:ind w:firstLine="454"/>
        <w:jc w:val="both"/>
      </w:pPr>
      <w:r>
        <w:rPr>
          <w:rFonts w:ascii="Times New Roman" w:hAnsi="Times New Roman" w:cs="B Nazanin"/>
          <w:sz w:val="22"/>
          <w:szCs w:val="28"/>
          <w:rtl w:val="1"/>
        </w:rPr>
        <w:t>زنجیرهٔ علّیِ این مانع چنین است: دامنهٔ گسترده‌تر ← اهدافِ بیشتر ← تعهداتِ بالقوهٔ بیشتر ← منافعِ متعارضِ بیشتر ← مذاکرهٔ دشوارتر ← احتمالِ شکستِ بیشتر. از این منظر، فرضیهٔ رساله آن است که خودِ گستردگیِ دامنهٔ پیمان یکی از عللِ ساختاریِ ناکامیِ مذاکرات بوده است؛ فرضیه‌ای که در تحلیلِ تطبیقی با مسیرهای موضوعیِ موفق‌ترِ پلاستیک و BBNJ آزموده می‌شود.</w:t>
      </w:r>
    </w:p>
    <w:p>
      <w:pPr>
        <w:pStyle w:val="GPEHeading3"/>
        <w:bidi w:val="1"/>
        <w:spacing w:line="312" w:lineRule="auto" w:before="200" w:after="120"/>
        <w:jc w:val="right"/>
      </w:pPr>
      <w:r>
        <w:rPr>
          <w:rFonts w:ascii="Times New Roman" w:hAnsi="Times New Roman" w:cs="B Nazanin"/>
          <w:sz w:val="24"/>
          <w:szCs w:val="24"/>
          <w:rtl w:val="1"/>
          <w:b/>
          <w:bCs/>
          <w:color w:val="14203a"/>
        </w:rPr>
        <w:t>۳-۲-۱۱ ماهیت و جایگاهِ حقوقیِ پیمان در نظامِ منابع و نسبتِ آن با MEAها</w:t>
      </w:r>
    </w:p>
    <w:p>
      <w:pPr>
        <w:bidi w:val="1"/>
        <w:spacing w:line="312" w:lineRule="auto" w:before="0" w:after="120"/>
        <w:ind w:firstLine="454"/>
        <w:jc w:val="both"/>
      </w:pPr>
      <w:r>
        <w:rPr>
          <w:rFonts w:ascii="Times New Roman" w:hAnsi="Times New Roman" w:cs="B Nazanin"/>
          <w:sz w:val="22"/>
          <w:szCs w:val="28"/>
          <w:rtl w:val="1"/>
        </w:rPr>
        <w:t>این بخش باید یکی از دقیق‌ترین قسمت‌های حقوقیِ رساله باشد و به شش پرسشِ به‌هم‌پیوسته پاسخ دهد: پیمان چه جایگاهی در نظامِ منابعِ حقوق بین‌الملل می‌یافت؛ آیا معاهده‌ای جامع می‌بود؛ آیا می‌توانست بر MEAهای پیشین اثر بگذارد؛ آیا سلسله‌مراتب (hierarchy) پدید می‌آورد؛ آیا صرفاً نقشِ تفسیری می‌یافت؛ و آیا یکپارچگیِ نظام‌مند را تقویت می‌کرد.</w:t>
      </w:r>
    </w:p>
    <w:p>
      <w:pPr>
        <w:bidi w:val="1"/>
        <w:spacing w:line="312" w:lineRule="auto" w:before="0" w:after="120"/>
        <w:ind w:firstLine="454"/>
        <w:jc w:val="both"/>
      </w:pPr>
      <w:r>
        <w:rPr>
          <w:rFonts w:ascii="Times New Roman" w:hAnsi="Times New Roman" w:cs="B Nazanin"/>
          <w:sz w:val="22"/>
          <w:szCs w:val="28"/>
          <w:rtl w:val="1"/>
        </w:rPr>
        <w:t>پاسخِ محتمل آن است که پیمان به‌احتمال بیش‌تر نه سلسله‌مراتبِ صریح، بلکه کارکردی تفسیری و هماهنگ‌کننده می‌یافت؛ یعنی از رهگذرِ اصولِ مشترک و ارجاع به مادهٔ ۳۱(۳)(ج) کنوانسیون وین می‌توانست مبنایی برای تفسیرِ هماهنگِ رژیم‌های موجود فراهم آورد. این خوانش، جایگاهِ پیمان را از «اَبَرمعاهده‌ای فراتر از MEAها» به «سندِ اصولِ عامِ راهنمای تفسیر» تغییر می‌دهد و مستقیماً به تحلیل‌های فصل چهارم گره می‌خورد.</w:t>
      </w:r>
      <w:r>
        <w:rPr>
          <w:rStyle w:val="FootnoteReference"/>
          <w:rtl w:val="1"/>
        </w:rPr>
        <w:footnoteReference w:id="396"/>
      </w:r>
    </w:p>
    <w:p>
      <w:pPr>
        <w:pStyle w:val="GPEHeading3"/>
        <w:bidi w:val="1"/>
        <w:spacing w:line="312" w:lineRule="auto" w:before="200" w:after="120"/>
        <w:jc w:val="right"/>
      </w:pPr>
      <w:r>
        <w:rPr>
          <w:rFonts w:ascii="Times New Roman" w:hAnsi="Times New Roman" w:cs="B Nazanin"/>
          <w:sz w:val="24"/>
          <w:szCs w:val="24"/>
          <w:rtl w:val="1"/>
          <w:b/>
          <w:bCs/>
          <w:color w:val="14203a"/>
        </w:rPr>
        <w:t>۳-۲-۱۲ تفکیکِ «نوآوریِ پیمان» از «نوآوریِ پژوهش»</w:t>
      </w:r>
    </w:p>
    <w:p>
      <w:pPr>
        <w:bidi w:val="1"/>
        <w:spacing w:line="312" w:lineRule="auto" w:before="0" w:after="120"/>
        <w:ind w:firstLine="454"/>
        <w:jc w:val="both"/>
      </w:pPr>
      <w:r>
        <w:rPr>
          <w:rFonts w:ascii="Times New Roman" w:hAnsi="Times New Roman" w:cs="B Nazanin"/>
          <w:sz w:val="22"/>
          <w:szCs w:val="28"/>
          <w:rtl w:val="1"/>
        </w:rPr>
        <w:t>دو مفهومِ نوآوری را باید به‌روشنی از هم جدا کرد. «نوآوریِ پیمان» به آن چیزی اشاره دارد که خودِ سندِ پیمان به حقوق بین‌الملل می‌افزود: تثبیتِ حقِ بشری بر محیط‌زیستِ سالم، گردآوریِ اصولِ پراکنده در یک سند، و طرحِ سازوکارِ بازبینیِ دوره‌ای.</w:t>
      </w:r>
    </w:p>
    <w:p>
      <w:pPr>
        <w:bidi w:val="1"/>
        <w:spacing w:line="312" w:lineRule="auto" w:before="0" w:after="120"/>
        <w:ind w:firstLine="454"/>
        <w:jc w:val="both"/>
      </w:pPr>
      <w:r>
        <w:rPr>
          <w:rFonts w:ascii="Times New Roman" w:hAnsi="Times New Roman" w:cs="B Nazanin"/>
          <w:sz w:val="22"/>
          <w:szCs w:val="28"/>
          <w:rtl w:val="1"/>
        </w:rPr>
        <w:t>در مقابل، «نوآوریِ پژوهش» همان چیزی است که این رساله به ادبیاتِ علمی می‌افزاید: صورت‌بندیِ تز «جامعیت لزوماً انسجام نیست»، کاربستِ روشِ تحلیلِ خلافِ‌واقع برای سنجشِ اثرِ یک معاهدهٔ تصویب‌نشده بر MEAها، و ارائهٔ نقشهٔ راهِ چندسطحیِ عملیاتی به‌جای اتکا به یک معاهدهٔ واحد. آمیختنِ این دو سطح، ارزشِ علمیِ رساله را مبهم می‌کند؛ از همین‌رو تفکیکِ آن‌ها ضروری است.</w:t>
      </w:r>
    </w:p>
    <w:p>
      <w:pPr>
        <w:pStyle w:val="GPEHeading3"/>
        <w:bidi w:val="1"/>
        <w:spacing w:line="312" w:lineRule="auto" w:before="200" w:after="120"/>
        <w:jc w:val="right"/>
      </w:pPr>
      <w:r>
        <w:rPr>
          <w:rFonts w:ascii="Times New Roman" w:hAnsi="Times New Roman" w:cs="B Nazanin"/>
          <w:sz w:val="24"/>
          <w:szCs w:val="24"/>
          <w:rtl w:val="1"/>
          <w:b/>
          <w:bCs/>
          <w:color w:val="14203a"/>
        </w:rPr>
        <w:t>۳-۲-۱۳ طبقه‌بندیِ کاستی‌های پیمان در هفت دسته</w:t>
      </w:r>
    </w:p>
    <w:p>
      <w:pPr>
        <w:bidi w:val="1"/>
        <w:spacing w:line="312" w:lineRule="auto" w:before="0" w:after="120"/>
        <w:ind w:firstLine="454"/>
        <w:jc w:val="both"/>
      </w:pPr>
      <w:r>
        <w:rPr>
          <w:rFonts w:ascii="Times New Roman" w:hAnsi="Times New Roman" w:cs="B Nazanin"/>
          <w:sz w:val="22"/>
          <w:szCs w:val="28"/>
          <w:rtl w:val="1"/>
        </w:rPr>
        <w:t>برای آنکه بحثِ کاستی‌ها از توصیفِ پراکنده به تحلیلِ نظام‌مند ارتقا یابد، کاستی‌های پیمان در هفت دسته طبقه‌بندی می‌شود: کاستی‌های هنجاری (ابهامِ اصول و تعهدات)، نهادی (نبودِ نهادِ متولیِ روشن)، اجرایی (ضعفِ سازوکارِ پایبندی و نظارت)، سیاسی (نبودِ ارادهٔ دولت‌های کلیدی)، مربوط به دامنه (گستردگیِ بیش از حد)، مربوط به ضمانتِ اجرا (فقدانِ اهرمِ الزام) و مربوط به تعامل با MEAها (ابهام در نسبتِ پیمان با رژیم‌های موجود).</w:t>
      </w:r>
    </w:p>
    <w:p>
      <w:pPr>
        <w:bidi w:val="1"/>
        <w:spacing w:line="312" w:lineRule="auto" w:before="0" w:after="120"/>
        <w:ind w:firstLine="454"/>
        <w:jc w:val="both"/>
      </w:pPr>
      <w:r>
        <w:rPr>
          <w:rFonts w:ascii="Times New Roman" w:hAnsi="Times New Roman" w:cs="B Nazanin"/>
          <w:sz w:val="22"/>
          <w:szCs w:val="28"/>
          <w:rtl w:val="1"/>
        </w:rPr>
        <w:t>این طبقه‌بندی امکانِ داوریِ دقیق‌تر را فراهم می‌کند: برخی کاستی‌ها ذاتیِ ایدهٔ معاهدهٔ جامع‌اند (مانند کاستیِ دامنه و تعامل با MEAها)، حال‌آنکه برخی دیگر با طراحیِ بهترِ نهادی و رویه‌ای قابلِ رفع بودند. همین تمایز، مبنای پیشنهادِ نقشهٔ راهِ جایگزین در فصلِ پایانی است.</w:t>
      </w:r>
    </w:p>
    <w:p>
      <w:pPr>
        <w:pStyle w:val="GPEHeading2"/>
        <w:bidi w:val="1"/>
        <w:spacing w:line="312" w:lineRule="auto" w:before="200" w:after="120"/>
        <w:jc w:val="right"/>
      </w:pPr>
      <w:r>
        <w:rPr>
          <w:rFonts w:ascii="Times New Roman" w:hAnsi="Times New Roman" w:cs="B Nazanin"/>
          <w:sz w:val="24"/>
          <w:szCs w:val="24"/>
          <w:rtl w:val="1"/>
          <w:b/>
          <w:bCs/>
          <w:color w:val="14203a"/>
        </w:rPr>
        <w:t>۳-۳ نتیجه‌گیری فصل سوم</w:t>
      </w:r>
    </w:p>
    <w:p>
      <w:pPr>
        <w:bidi w:val="1"/>
        <w:spacing w:line="312" w:lineRule="auto" w:before="0" w:after="120"/>
        <w:ind w:firstLine="454"/>
        <w:jc w:val="both"/>
      </w:pPr>
      <w:r>
        <w:rPr>
          <w:rFonts w:ascii="Times New Roman" w:hAnsi="Times New Roman" w:cs="B Nazanin"/>
          <w:sz w:val="22"/>
          <w:szCs w:val="28"/>
          <w:rtl w:val="1"/>
        </w:rPr>
        <w:t>فصل سوم نشان داد که ابتکارِ پیمان، پاسخی سنجیده اما ناتمام به خلأهای شناسایی‌شده در گزارشِ دبیرکل بود. پیمان در تجمیعِ اصولِ پراکنده، تثبیتِ حقِ محیط‌زیست سالم و درج اصلِ عدم‌پس‌رفت، ارزشِ افزودهٔ روشنی داشت؛ اما در طراحیِ ضمانتِ اجرا و در تعیینِ نسبتِ خود با رژیم‌های خاصِ موجود، ناکام ماند.</w:t>
      </w:r>
    </w:p>
    <w:p>
      <w:pPr>
        <w:bidi w:val="1"/>
        <w:spacing w:line="312" w:lineRule="auto" w:before="0" w:after="120"/>
        <w:ind w:firstLine="454"/>
        <w:jc w:val="both"/>
      </w:pPr>
      <w:r>
        <w:rPr>
          <w:rFonts w:ascii="Times New Roman" w:hAnsi="Times New Roman" w:cs="B Nazanin"/>
          <w:sz w:val="22"/>
          <w:szCs w:val="28"/>
          <w:rtl w:val="1"/>
        </w:rPr>
        <w:t>این داوریِ متعادل — که از تیلر و آگیلا و وینیوالس وام گرفته و با چارچوبِ پراکندگیِ کمیسیون حقوق بین‌الملل تلفیق شده — مبنای تحلیلِ فصل چهارم است: اینکه شکستِ پیمان چه اثری بر انسجام، کارآمدی و حکمرانیِ MEAها بر جای نهاد و چه نقشهٔ راهی برای جبرانِ آن می‌توان ترسیم کرد.</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فصل ۴: تأثیرِ پیمان جهانی محیط زیست بر موافقت‌نامه‌های چندجانبهٔ محیط‌زیستی و نقشهٔ راهِ جایگزین</w:t>
      </w:r>
    </w:p>
    <w:p>
      <w:pPr>
        <w:bidi w:val="1"/>
        <w:spacing w:line="312" w:lineRule="auto" w:before="0" w:after="160"/>
        <w:jc w:val="both"/>
      </w:pPr>
      <w:r>
        <w:rPr>
          <w:rFonts w:ascii="Times New Roman" w:hAnsi="Times New Roman" w:cs="B Nazanin"/>
          <w:sz w:val="22"/>
          <w:szCs w:val="24"/>
          <w:rtl w:val="1"/>
        </w:rPr>
        <w:t>هستهٔ تحلیلیِ رساله در دو گفتار: گفتار نخست، اثرِ پیمان بر MEAها را در پرتوِ سندِ پراکندگیِ کمیسیون حقوق بین‌الملل (۲۰۰۶) و از هفت منظر (انسجام، کارآمدی، حکمرانی، اجرا، پایبندی، ضمانت اجرا، حاکمیت قانون) می‌کاود و تحلیلِ تطبیقیِ عللِ شکست و دستاوردهای پنهان را دربردارد؛ گفتار دوم، مواضعِ دولت‌ها و نقشهٔ راهِ شش‌ستونیِ جایگزین را ارائه می‌کند. افزون بر آن، دو گفتارِ مستندِ تازه افزوده شد: «شواهدِ پایگاه‌های استنادی دربارهٔ تأثیر بر MEAها» و «سنتزِ هفت‌منظری» که هر ادعا را به منبعِ صفحه‌دار گره می‌زند.</w:t>
      </w:r>
    </w:p>
    <w:p>
      <w:pPr>
        <w:pStyle w:val="GPEHeading2"/>
        <w:bidi w:val="1"/>
        <w:spacing w:line="312" w:lineRule="auto" w:before="200" w:after="120"/>
        <w:jc w:val="right"/>
      </w:pPr>
      <w:r>
        <w:rPr>
          <w:rFonts w:ascii="Times New Roman" w:hAnsi="Times New Roman" w:cs="B Nazanin"/>
          <w:sz w:val="24"/>
          <w:szCs w:val="24"/>
          <w:rtl w:val="1"/>
          <w:b/>
          <w:bCs/>
          <w:color w:val="14203a"/>
        </w:rPr>
        <w:t>۴-۰ درآمد فصل چهارم</w:t>
      </w:r>
    </w:p>
    <w:p>
      <w:pPr>
        <w:bidi w:val="1"/>
        <w:spacing w:line="312" w:lineRule="auto" w:before="0" w:after="120"/>
        <w:ind w:firstLine="454"/>
        <w:jc w:val="both"/>
      </w:pPr>
      <w:r>
        <w:rPr>
          <w:rFonts w:ascii="Times New Roman" w:hAnsi="Times New Roman" w:cs="B Nazanin"/>
          <w:sz w:val="22"/>
          <w:szCs w:val="28"/>
          <w:rtl w:val="1"/>
        </w:rPr>
        <w:t>فصل چهارم، هستهٔ تحلیلیِ رساله است و به پرسشِ اصلی پاسخ می‌دهد: شکل‌گیریِ پیمان — و سرانجام ناکامیِ آن — چه تأثیری بر موافقت‌نامه‌های چندجانبهٔ محیط‌زیستی داشته و چه راهِ جایگزینی برای تحققِ اهدافِ آن متصور است؟ گفتارِ نخست، اثرِ بالقوهٔ پیمان (در صورتِ تصویب) و اثرِ واقعیِ شکستِ آن را با تکیه بر چارچوبِ پراکندگیِ کمیسیون حقوق بین‌الملل (۲۰۰۶) و از هفت منظرِ حقوقی می‌کاود. گفتارِ دوم، دلایلِ حقوقی و ژئوپلیتیکِ مواضعِ دولت‌ها را تحلیل و سپس یک نقشهٔ راهِ شش‌ستونی برای مسیرِ جایگزین ارائه می‌کند.</w:t>
      </w:r>
    </w:p>
    <w:p>
      <w:pPr>
        <w:pStyle w:val="GPEHeading2"/>
        <w:bidi w:val="1"/>
        <w:spacing w:line="312" w:lineRule="auto" w:before="200" w:after="120"/>
        <w:jc w:val="right"/>
      </w:pPr>
      <w:r>
        <w:rPr>
          <w:rFonts w:ascii="Times New Roman" w:hAnsi="Times New Roman" w:cs="B Nazanin"/>
          <w:sz w:val="24"/>
          <w:szCs w:val="24"/>
          <w:rtl w:val="1"/>
          <w:b/>
          <w:bCs/>
          <w:color w:val="14203a"/>
        </w:rPr>
        <w:t>۴-۱ گفتار نخست: اثرِ پیمان بر MEAها در پرتوِ سندِ پراکندگیِ ۲۰۰۶</w:t>
      </w:r>
    </w:p>
    <w:p>
      <w:pPr>
        <w:bidi w:val="1"/>
        <w:spacing w:line="312" w:lineRule="auto" w:before="0" w:after="120"/>
        <w:ind w:firstLine="454"/>
        <w:jc w:val="both"/>
      </w:pPr>
      <w:r>
        <w:rPr>
          <w:rFonts w:ascii="Times New Roman" w:hAnsi="Times New Roman" w:cs="B Nazanin"/>
          <w:sz w:val="22"/>
          <w:szCs w:val="28"/>
          <w:rtl w:val="1"/>
        </w:rPr>
        <w:t>برای سنجشِ اثرِ پیمان بر MEAها، این گفتار از سندِ «نتیجه‌گیری‌های گروه مطالعاتیِ پراکندگیِ» کمیسیون حقوق بین‌الملل (۲۰۰۶) به‌مثابه چارچوبِ تحلیلی بهره می‌گیرد. آن سند، پراکندگی را پدیده‌ای «اجتناب‌ناپذیر اما قابلِ مدیریت» می‌داند و سه ابزارِ هماهنگ‌سازی، قاعدهٔ خاصِ مقدم و یکپارچگیِ نظام‌مند را برای مدیریتِ آن پیشنهاد می‌کند.</w:t>
      </w:r>
      <w:r>
        <w:rPr>
          <w:rStyle w:val="FootnoteReference"/>
          <w:rtl w:val="1"/>
        </w:rPr>
        <w:footnoteReference w:id="397"/>
      </w:r>
    </w:p>
    <w:p>
      <w:pPr>
        <w:bidi w:val="1"/>
        <w:spacing w:line="312" w:lineRule="auto" w:before="0" w:after="120"/>
        <w:ind w:firstLine="454"/>
        <w:jc w:val="both"/>
      </w:pPr>
      <w:r>
        <w:rPr>
          <w:rFonts w:ascii="Times New Roman" w:hAnsi="Times New Roman" w:cs="B Nazanin"/>
          <w:sz w:val="22"/>
          <w:szCs w:val="28"/>
          <w:rtl w:val="1"/>
        </w:rPr>
        <w:t>بر این پایه، اثرِ پیمان را از هفت منظر می‌سنجیم: انسجام، کارآمدی، حکمرانی، اجرا، پایبندی، ضمانتِ اجرا، و حاکمیتِ قانون و سلسله‌مراتبِ هنجاری. در هر منظر، هم سناریوی «تصویبِ پیمان» و هم واقعیتِ «شکستِ پیمان» ارزیابی می‌شود.</w:t>
      </w:r>
    </w:p>
    <w:p>
      <w:pPr>
        <w:pStyle w:val="GPEHeading3"/>
        <w:bidi w:val="1"/>
        <w:spacing w:line="312" w:lineRule="auto" w:before="200" w:after="120"/>
        <w:jc w:val="right"/>
      </w:pPr>
      <w:r>
        <w:rPr>
          <w:rFonts w:ascii="Times New Roman" w:hAnsi="Times New Roman" w:cs="B Nazanin"/>
          <w:sz w:val="24"/>
          <w:szCs w:val="24"/>
          <w:rtl w:val="1"/>
          <w:b/>
          <w:bCs/>
          <w:color w:val="14203a"/>
        </w:rPr>
        <w:t>۴-۱-۱ انسجام و کارآمدیِ نظام</w:t>
      </w:r>
    </w:p>
    <w:p>
      <w:pPr>
        <w:bidi w:val="1"/>
        <w:spacing w:line="312" w:lineRule="auto" w:before="0" w:after="120"/>
        <w:ind w:firstLine="454"/>
        <w:jc w:val="both"/>
      </w:pPr>
      <w:r>
        <w:rPr>
          <w:rFonts w:ascii="Times New Roman" w:hAnsi="Times New Roman" w:cs="B Nazanin"/>
          <w:sz w:val="22"/>
          <w:szCs w:val="28"/>
          <w:rtl w:val="1"/>
        </w:rPr>
        <w:t>از منظرِ انسجام (coherence)، تصویبِ پیمان می‌توانست با فراهم‌آوردنِ «بافتِ اصولیِ مشترک»، ابزارِ یکپارچگیِ نظام‌مند را تقویت کند و تفسیرِ هماهنگِ MEAها را تسهیل نماید. شکستِ پیمان، این فرصت را از میان برد و پراکندگیِ ماهویِ موجود را تداوم بخشید.</w:t>
      </w:r>
    </w:p>
    <w:p>
      <w:pPr>
        <w:bidi w:val="1"/>
        <w:spacing w:line="312" w:lineRule="auto" w:before="0" w:after="120"/>
        <w:ind w:firstLine="454"/>
        <w:jc w:val="both"/>
      </w:pPr>
      <w:r>
        <w:rPr>
          <w:rFonts w:ascii="Times New Roman" w:hAnsi="Times New Roman" w:cs="B Nazanin"/>
          <w:sz w:val="22"/>
          <w:szCs w:val="28"/>
          <w:rtl w:val="1"/>
        </w:rPr>
        <w:t>از منظرِ کارآمدی (effectiveness)، داموآ و همکاران — هرچند در یک پیش‌چاپِ داوری‌نشده — استدلال می‌کنند که تکثرِ معاهداتِ ناکارآمد، بدونِ سازوکارِ انسجام‌بخش، به بهبودِ شاخص‌های زیست‌محیطیِ سیاره نینجامیده است؛ از این‌رو نبودِ پیمان، خلأِ کارآمدی را پابرجا نگاه داشت.</w:t>
      </w:r>
      <w:r>
        <w:rPr>
          <w:rStyle w:val="FootnoteReference"/>
          <w:rtl w:val="1"/>
        </w:rPr>
        <w:footnoteReference w:id="398"/>
      </w:r>
    </w:p>
    <w:p>
      <w:pPr>
        <w:pStyle w:val="GPEHeading3"/>
        <w:bidi w:val="1"/>
        <w:spacing w:line="312" w:lineRule="auto" w:before="200" w:after="120"/>
        <w:jc w:val="right"/>
      </w:pPr>
      <w:r>
        <w:rPr>
          <w:rFonts w:ascii="Times New Roman" w:hAnsi="Times New Roman" w:cs="B Nazanin"/>
          <w:sz w:val="24"/>
          <w:szCs w:val="24"/>
          <w:rtl w:val="1"/>
          <w:b/>
          <w:bCs/>
          <w:color w:val="14203a"/>
        </w:rPr>
        <w:t>۴-۱-۲ حکمرانی، اجرا، پایبندی و ضمانتِ اجرا</w:t>
      </w:r>
    </w:p>
    <w:p>
      <w:pPr>
        <w:bidi w:val="1"/>
        <w:spacing w:line="312" w:lineRule="auto" w:before="0" w:after="120"/>
        <w:ind w:firstLine="454"/>
        <w:jc w:val="both"/>
      </w:pPr>
      <w:r>
        <w:rPr>
          <w:rFonts w:ascii="Times New Roman" w:hAnsi="Times New Roman" w:cs="B Nazanin"/>
          <w:sz w:val="22"/>
          <w:szCs w:val="28"/>
          <w:rtl w:val="1"/>
        </w:rPr>
        <w:t>از منظرِ حکمرانی (governance)، پیمان می‌توانست جایگاهِ برنامهٔ محیط زیست ملل متحد را به‌مثابه نهادِ هماهنگ‌کننده تقویت کند؛ شکستِ آن، ضعفِ نهادیِ این برنامه را استمرار بخشید. از منظرِ اجرا و پایبندی، پیمان به‌سببِ سازوکارِ نظارتیِ سبکِ خود، حتی در صورتِ تصویب نیز جهشِ چشمگیری در اجرا پدید نمی‌آورد؛ اما دستِ‌کم یک مرجعِ گزارش‌دهیِ فراگیر ایجاد می‌کرد.</w:t>
      </w:r>
    </w:p>
    <w:p>
      <w:pPr>
        <w:bidi w:val="1"/>
        <w:spacing w:line="312" w:lineRule="auto" w:before="0" w:after="120"/>
        <w:ind w:firstLine="454"/>
        <w:jc w:val="both"/>
      </w:pPr>
      <w:r>
        <w:rPr>
          <w:rFonts w:ascii="Times New Roman" w:hAnsi="Times New Roman" w:cs="B Nazanin"/>
          <w:sz w:val="22"/>
          <w:szCs w:val="28"/>
          <w:rtl w:val="1"/>
        </w:rPr>
        <w:t>از منظرِ ضمانتِ اجرا (enforcement)، پیمان فاقدِ سازوکارِ الزام‌آورِ حل‌وفصلِ اختلاف بود؛ همین امر یکی از نقدهای اصلیِ تیلر است و نشان می‌دهد که حتی سناریوی موفقیت نیز محدودیت‌های جدی داشت.</w:t>
      </w:r>
      <w:r>
        <w:rPr>
          <w:rStyle w:val="FootnoteReference"/>
          <w:rtl w:val="1"/>
        </w:rPr>
        <w:footnoteReference w:id="399"/>
      </w:r>
    </w:p>
    <w:p>
      <w:pPr>
        <w:pStyle w:val="GPEHeading3"/>
        <w:bidi w:val="1"/>
        <w:spacing w:line="312" w:lineRule="auto" w:before="200" w:after="120"/>
        <w:jc w:val="right"/>
      </w:pPr>
      <w:r>
        <w:rPr>
          <w:rFonts w:ascii="Times New Roman" w:hAnsi="Times New Roman" w:cs="B Nazanin"/>
          <w:sz w:val="24"/>
          <w:szCs w:val="24"/>
          <w:rtl w:val="1"/>
          <w:b/>
          <w:bCs/>
          <w:color w:val="14203a"/>
        </w:rPr>
        <w:t>۴-۱-۳ حاکمیتِ قانون و سلسله‌مراتبِ هنجاری</w:t>
      </w:r>
    </w:p>
    <w:p>
      <w:pPr>
        <w:bidi w:val="1"/>
        <w:spacing w:line="312" w:lineRule="auto" w:before="0" w:after="120"/>
        <w:ind w:firstLine="454"/>
        <w:jc w:val="both"/>
      </w:pPr>
      <w:r>
        <w:rPr>
          <w:rFonts w:ascii="Times New Roman" w:hAnsi="Times New Roman" w:cs="B Nazanin"/>
          <w:sz w:val="22"/>
          <w:szCs w:val="28"/>
          <w:rtl w:val="1"/>
        </w:rPr>
        <w:t>از منظرِ حاکمیتِ قانون و سلسله‌مراتبِ هنجاری، کمیسیون حقوق بین‌الملل تأکید می‌کند که — جز در موردِ قواعدِ آمره (jus cogens) و تعهداتِ منشوری (مادهٔ ۱۰۳) — حقوق بین‌الملل سلسله‌مراتبِ صوریِ صلبی ندارد و روابطِ میان هنجارها از رهگذرِ تفسیر مدیریت می‌شود. پیمان نمی‌توانست و نمی‌خواست بر MEAها «برتری» یابد؛ بلکه می‌توانست همچون معیارِ تفسیریِ مشترک عمل کند.</w:t>
      </w:r>
      <w:r>
        <w:rPr>
          <w:rStyle w:val="FootnoteReference"/>
          <w:rtl w:val="1"/>
        </w:rPr>
        <w:footnoteReference w:id="400"/>
      </w:r>
    </w:p>
    <w:p>
      <w:pPr>
        <w:bidi w:val="1"/>
        <w:spacing w:line="312" w:lineRule="auto" w:before="0" w:after="120"/>
        <w:ind w:firstLine="454"/>
        <w:jc w:val="both"/>
      </w:pPr>
      <w:r>
        <w:rPr>
          <w:rFonts w:ascii="Times New Roman" w:hAnsi="Times New Roman" w:cs="B Nazanin"/>
          <w:sz w:val="22"/>
          <w:szCs w:val="28"/>
          <w:rtl w:val="1"/>
        </w:rPr>
        <w:t>بدین‌سان، این تصورِ نادرست که پیمان قرار بوده «ابرمعاهده‌ای فراتر از سایر معاهدات» باشد، رد می‌شود؛ کارکردِ حقوقیِ درستِ آن، تقویتِ یکپارچگیِ نظام‌مند در چارچوبِ افقیِ موجود بود.</w:t>
      </w:r>
    </w:p>
    <w:p>
      <w:pPr>
        <w:pStyle w:val="GPEHeading3"/>
        <w:bidi w:val="1"/>
        <w:spacing w:line="312" w:lineRule="auto" w:before="200" w:after="120"/>
        <w:jc w:val="right"/>
      </w:pPr>
      <w:r>
        <w:rPr>
          <w:rFonts w:ascii="Times New Roman" w:hAnsi="Times New Roman" w:cs="B Nazanin"/>
          <w:sz w:val="24"/>
          <w:szCs w:val="24"/>
          <w:rtl w:val="1"/>
          <w:b/>
          <w:bCs/>
          <w:color w:val="14203a"/>
        </w:rPr>
        <w:t>۴-۱-۴ تحلیلِ تطبیقیِ عللِ شکستِ پیمان و نقشِ جامعهٔ مدنی</w:t>
      </w:r>
    </w:p>
    <w:p>
      <w:pPr>
        <w:bidi w:val="1"/>
        <w:spacing w:line="312" w:lineRule="auto" w:before="0" w:after="120"/>
        <w:ind w:firstLine="454"/>
        <w:jc w:val="both"/>
      </w:pPr>
      <w:r>
        <w:rPr>
          <w:rFonts w:ascii="Times New Roman" w:hAnsi="Times New Roman" w:cs="B Nazanin"/>
          <w:sz w:val="22"/>
          <w:szCs w:val="28"/>
          <w:rtl w:val="1"/>
        </w:rPr>
        <w:t>چاباسون و اژه چهار علتِ به‌هم‌پیوسته را برای شکست برمی‌شمارند: نخست، سازوکارِ تصمیم‌گیریِ اجماع‌محورِ سازمان ملل که به اقلیتی از دولت‌های ناسیونالیست (به‌ویژه ایالات متحدهٔ دورهٔ ترامپ، روسیه و برخی دولت‌های نفتی) امکانِ توقفِ روند را داد؛ دوم، شکافِ درونِ اتحادیهٔ اروپا میانِ فرانسه (پیشگام) و آلمان (محتاط)؛ سوم، موضعِ کشورهای آفریقایی و در حال توسعه که «ابزارهای اجرا و تأمینِ مالی» را بر «سندِ حقوقیِ نو» ترجیح می‌دادند؛ و چهارم، غیبتِ نسبیِ جامعهٔ مدنی و سازمان‌های غیردولتی در مقایسه با مذاکراتِ اقلیمی.</w:t>
      </w:r>
      <w:r>
        <w:rPr>
          <w:rStyle w:val="FootnoteReference"/>
          <w:rtl w:val="1"/>
        </w:rPr>
        <w:footnoteReference w:id="401"/>
      </w:r>
    </w:p>
    <w:p>
      <w:pPr>
        <w:bidi w:val="1"/>
        <w:spacing w:line="312" w:lineRule="auto" w:before="0" w:after="120"/>
        <w:ind w:firstLine="454"/>
        <w:jc w:val="both"/>
      </w:pPr>
      <w:r>
        <w:rPr>
          <w:rFonts w:ascii="Times New Roman" w:hAnsi="Times New Roman" w:cs="B Nazanin"/>
          <w:sz w:val="22"/>
          <w:szCs w:val="28"/>
          <w:rtl w:val="1"/>
        </w:rPr>
        <w:t>این الگو با تجربهٔ سایرِ ابتکارهای ناکام هم‌خوان است: هرگاه سندی بلندپروازانه بدونِ ائتلافِ فراگیر و بدونِ پاسخ به دغدغهٔ اجراییِ کشورهای در حال توسعه پیش رانده شود، در سدِ اجماع متوقف می‌گردد. مقایسه با روندِ کندِ مذاکراتِ آلودگیِ پلاستیک و توافقِ تنوعِ زیستیِ ورای صلاحیتِ ملی (BBNJ) نشان می‌دهد که مسیرهای بخشی و گام‌به‌گام، به‌رغمِ کندی، شانسِ بیشتری برای تحقق دارند.</w:t>
      </w:r>
      <w:r>
        <w:rPr>
          <w:rStyle w:val="FootnoteReference"/>
          <w:rtl w:val="1"/>
        </w:rPr>
        <w:footnoteReference w:id="402"/>
      </w:r>
    </w:p>
    <w:p>
      <w:pPr>
        <w:pStyle w:val="GPEHeading3"/>
        <w:bidi w:val="1"/>
        <w:spacing w:line="312" w:lineRule="auto" w:before="200" w:after="120"/>
        <w:jc w:val="right"/>
      </w:pPr>
      <w:r>
        <w:rPr>
          <w:rFonts w:ascii="Times New Roman" w:hAnsi="Times New Roman" w:cs="B Nazanin"/>
          <w:sz w:val="24"/>
          <w:szCs w:val="24"/>
          <w:rtl w:val="1"/>
          <w:b/>
          <w:bCs/>
          <w:color w:val="14203a"/>
        </w:rPr>
        <w:t>۴-۱-۵ دستاوردهای پنهانِ پیمان به‌رغمِ شکست</w:t>
      </w:r>
    </w:p>
    <w:p>
      <w:pPr>
        <w:bidi w:val="1"/>
        <w:spacing w:line="312" w:lineRule="auto" w:before="0" w:after="120"/>
        <w:ind w:firstLine="454"/>
        <w:jc w:val="both"/>
      </w:pPr>
      <w:r>
        <w:rPr>
          <w:rFonts w:ascii="Times New Roman" w:hAnsi="Times New Roman" w:cs="B Nazanin"/>
          <w:sz w:val="22"/>
          <w:szCs w:val="28"/>
          <w:rtl w:val="1"/>
        </w:rPr>
        <w:t>شکستِ پیمان به‌معنای بی‌ثمریِ آن نبود. سه دستاوردِ پنهان را می‌توان برشمرد: نخست، تقویتِ گفتمانِ «حق بر محیط‌زیست سالم» که تنها سه سال بعد در قطعنامهٔ ۷۶/۳۰۰ مجمع عمومی (۲۰۲۲) به‌رسمیت شناخته شد؛ دوم، گفتمان‌سازیِ جهانی دربارهٔ ضرورتِ انسجامِ حقوق محیط زیست؛ و سوم، تقویتِ شبکه‌های جامعهٔ مدنی و نهادهای دانشگاهی (نظیرِ کمیسیونِ حقوق محیط زیستِ IUCN) که پیرامونِ این ایده گرد آمدند.</w:t>
      </w:r>
      <w:r>
        <w:rPr>
          <w:rStyle w:val="FootnoteReference"/>
          <w:rtl w:val="1"/>
        </w:rPr>
        <w:footnoteReference w:id="403"/>
      </w:r>
    </w:p>
    <w:p>
      <w:pPr>
        <w:bidi w:val="1"/>
        <w:spacing w:line="312" w:lineRule="auto" w:before="0" w:after="120"/>
        <w:ind w:firstLine="454"/>
        <w:jc w:val="both"/>
      </w:pPr>
      <w:r>
        <w:rPr>
          <w:rFonts w:ascii="Times New Roman" w:hAnsi="Times New Roman" w:cs="B Nazanin"/>
          <w:sz w:val="22"/>
          <w:szCs w:val="28"/>
          <w:rtl w:val="1"/>
        </w:rPr>
        <w:t>تیگره این پدیده را «میراثِ هنجاریِ یک ابتکارِ ناکام» می‌نامد و نشان می‌دهد که چگونه ایدهٔ پیمان، زمینه‌سازِ رویکردِ حق‌محور در حقوق بین‌الملل محیط زیست شد.</w:t>
      </w:r>
      <w:r>
        <w:rPr>
          <w:rStyle w:val="FootnoteReference"/>
          <w:rtl w:val="1"/>
        </w:rPr>
        <w:footnoteReference w:id="404"/>
      </w:r>
    </w:p>
    <w:p>
      <w:pPr>
        <w:pStyle w:val="GPEHeading2"/>
        <w:bidi w:val="1"/>
        <w:spacing w:line="312" w:lineRule="auto" w:before="200" w:after="120"/>
        <w:jc w:val="right"/>
      </w:pPr>
      <w:r>
        <w:rPr>
          <w:rFonts w:ascii="Times New Roman" w:hAnsi="Times New Roman" w:cs="B Nazanin"/>
          <w:sz w:val="24"/>
          <w:szCs w:val="24"/>
          <w:rtl w:val="1"/>
          <w:b/>
          <w:bCs/>
          <w:color w:val="14203a"/>
        </w:rPr>
        <w:t>۴-۲ گفتار دوم: مواضعِ دولت‌ها و نقشهٔ راهِ جایگزین</w:t>
      </w:r>
    </w:p>
    <w:p>
      <w:pPr>
        <w:bidi w:val="1"/>
        <w:spacing w:line="312" w:lineRule="auto" w:before="0" w:after="120"/>
        <w:ind w:firstLine="454"/>
        <w:jc w:val="both"/>
      </w:pPr>
      <w:r>
        <w:rPr>
          <w:rFonts w:ascii="Times New Roman" w:hAnsi="Times New Roman" w:cs="B Nazanin"/>
          <w:sz w:val="22"/>
          <w:szCs w:val="28"/>
          <w:rtl w:val="1"/>
        </w:rPr>
        <w:t>گفتارِ دوم نخست دلایلِ حقوقی و ژئوپلیتیکِ مواضعِ دولت‌ها را تحلیل و سپس یک نقشهٔ راهِ شش‌ستونی برای تحققِ اهدافِ پیمان از مسیرهای جایگزین ترسیم می‌کند؛ مسیرهایی که — برخلافِ خودِ پیمان — با خصلتِ پراکنده، بخشی، تدریجی، واکنشی و اجماعیِ حقوق بین‌الملل محیط زیست سازگارند و از همین‌رو شانسِ تحققِ بالاتری دارند.</w:t>
      </w:r>
    </w:p>
    <w:p>
      <w:pPr>
        <w:pStyle w:val="GPEHeading3"/>
        <w:bidi w:val="1"/>
        <w:spacing w:line="312" w:lineRule="auto" w:before="200" w:after="120"/>
        <w:jc w:val="right"/>
      </w:pPr>
      <w:r>
        <w:rPr>
          <w:rFonts w:ascii="Times New Roman" w:hAnsi="Times New Roman" w:cs="B Nazanin"/>
          <w:sz w:val="24"/>
          <w:szCs w:val="24"/>
          <w:rtl w:val="1"/>
          <w:b/>
          <w:bCs/>
          <w:color w:val="14203a"/>
        </w:rPr>
        <w:t>۴-۲-۱ دلایلِ حقوقی و ژئوپلیتیکِ مواضعِ دولت‌ها</w:t>
      </w:r>
    </w:p>
    <w:p>
      <w:pPr>
        <w:bidi w:val="1"/>
        <w:spacing w:line="312" w:lineRule="auto" w:before="0" w:after="120"/>
        <w:ind w:firstLine="454"/>
        <w:jc w:val="both"/>
      </w:pPr>
      <w:r>
        <w:rPr>
          <w:rFonts w:ascii="Times New Roman" w:hAnsi="Times New Roman" w:cs="B Nazanin"/>
          <w:sz w:val="22"/>
          <w:szCs w:val="28"/>
          <w:rtl w:val="1"/>
        </w:rPr>
        <w:t>مواضعِ دولت‌ها را سه دستهٔ عامل توضیح می‌دهد. عاملِ حقوقی: نگرانی از تحدیدِ حاکمیت و از تعهداتِ الزام‌آورِ مبهم که ممکن است در آینده علیهِ دولت استناد شود. عاملِ اقتصادی-توسعه‌ای: کشورهای در حال توسعه، بیم داشتند که سندِ نو، بی‌آنکه سازوکارِ تأمینِ مالی و انتقالِ فناوری بیاورد، تنها بارِ تعهداتِ تازه بر آنان تحمیل کند. عاملِ ژئوپلیتیک: رقابتِ قدرت‌های بزرگ و بی‌میلیِ ایالات متحده و روسیه به هر سازوکارِ چندجانبهٔ الزام‌آورِ نو.</w:t>
      </w:r>
      <w:r>
        <w:rPr>
          <w:rStyle w:val="FootnoteReference"/>
          <w:rtl w:val="1"/>
        </w:rPr>
        <w:footnoteReference w:id="405"/>
      </w:r>
    </w:p>
    <w:p>
      <w:pPr>
        <w:bidi w:val="1"/>
        <w:spacing w:line="312" w:lineRule="auto" w:before="0" w:after="120"/>
        <w:ind w:firstLine="454"/>
        <w:jc w:val="both"/>
      </w:pPr>
      <w:r>
        <w:rPr>
          <w:rFonts w:ascii="Times New Roman" w:hAnsi="Times New Roman" w:cs="B Nazanin"/>
          <w:sz w:val="22"/>
          <w:szCs w:val="28"/>
          <w:rtl w:val="1"/>
        </w:rPr>
        <w:t>این عوامل، در سازوکارِ اجماع‌محورِ نایروبی به یک «حقِ وتوی عملی» برای اقلیت بدل شدند و روند را متوقف کردند؛ درسی که هر نقشهٔ راهِ جایگزین باید آن را درونی کند.</w:t>
      </w:r>
    </w:p>
    <w:p>
      <w:pPr>
        <w:pStyle w:val="GPEHeading3"/>
        <w:bidi w:val="1"/>
        <w:spacing w:line="312" w:lineRule="auto" w:before="200" w:after="120"/>
        <w:jc w:val="right"/>
      </w:pPr>
      <w:r>
        <w:rPr>
          <w:rFonts w:ascii="Times New Roman" w:hAnsi="Times New Roman" w:cs="B Nazanin"/>
          <w:sz w:val="24"/>
          <w:szCs w:val="24"/>
          <w:rtl w:val="1"/>
          <w:b/>
          <w:bCs/>
          <w:color w:val="14203a"/>
        </w:rPr>
        <w:t>۴-۲-۲ نقشهٔ راهِ شش‌ستونیِ جایگزین</w:t>
      </w:r>
    </w:p>
    <w:p>
      <w:pPr>
        <w:bidi w:val="1"/>
        <w:spacing w:line="312" w:lineRule="auto" w:before="0" w:after="120"/>
        <w:ind w:firstLine="454"/>
        <w:jc w:val="both"/>
      </w:pPr>
      <w:r>
        <w:rPr>
          <w:rFonts w:ascii="Times New Roman" w:hAnsi="Times New Roman" w:cs="B Nazanin"/>
          <w:sz w:val="22"/>
          <w:szCs w:val="28"/>
          <w:rtl w:val="1"/>
        </w:rPr>
        <w:t>بر پایهٔ تحلیلِ عللِ شکست، این رساله یک نقشهٔ راهِ شش‌ستونی پیشنهاد می‌کند که اهدافِ هنجاریِ پیمان را از مسیرهایی سازگار با ساختارِ موجودِ حقوق بین‌الملل محیط زیست دنبال می‌کند. اصلِ راهنما این است که هر ستون باید هم‌زمان دو شرط را برآورد: نخست، به یکی از عللِ شناخته‌شدهٔ شکستِ پیمان (اجماع‌گریزی، رقابتِ نهادی، ضعفِ اجرا، پراکندگیِ ماهوی) پاسخ دهد؛ دوم، با خصلتِ واکنشی، بخشی، تدریجی و اجماعیِ این حوزه هم‌سو باشد تا شانسِ تحققِ آن از خودِ پیمان بالاتر رود.</w:t>
      </w:r>
    </w:p>
    <w:p>
      <w:pPr>
        <w:bidi w:val="1"/>
        <w:spacing w:line="312" w:lineRule="auto" w:before="0" w:after="120"/>
        <w:ind w:firstLine="454"/>
        <w:jc w:val="both"/>
      </w:pPr>
      <w:r>
        <w:rPr>
          <w:rFonts w:ascii="Times New Roman" w:hAnsi="Times New Roman" w:cs="B Nazanin"/>
          <w:sz w:val="22"/>
          <w:szCs w:val="28"/>
          <w:rtl w:val="1"/>
        </w:rPr>
        <w:t>ستونِ یکم — توسعهٔ رویهٔ قضایی و تثبیتِ اصول از مسیرِ آرای بین‌المللی: به‌جای تحمیلِ یک معاهدهٔ نو، اصولِ عمومیِ حقوق محیط زیست را می‌توان از رهگذرِ رویهٔ قضایی تثبیت کرد. نظرِ مشورتیِ دیوان بین‌المللی دادگستری دربارهٔ تعهداتِ دولت‌ها در قبالِ تغییرِ اقلیم (۲۰۲۵) و آرای دیوان‌های منطقه‌ای نشان می‌دهند که مرجعِ قضایی می‌تواند بی‌نیاز از اجماعِ سیاسیِ دولت‌ها، اصولی چون پیشگیری و احتیاط را به تعهدِ حقوقی بدل کند. این مسیر مستقیماً بر تزِ محوریِ تیگره (۲۰۲۲) استوار است که توسعهٔ حقوق را نه از راهِ یک معاهدهٔ فراگیرِ واحد، بلکه از مسیرِ رویه، آرای قضایی و شناساییِ تدریجیِ حقوق می‌داند؛ و دقیقاً همان عاملی را که پیمان را در نایروبی متوقف کرد — نیازِ به اجماع — دور می‌زند.</w:t>
      </w:r>
      <w:r>
        <w:rPr>
          <w:rStyle w:val="FootnoteReference"/>
          <w:rtl w:val="1"/>
        </w:rPr>
        <w:footnoteReference w:id="406"/>
      </w:r>
    </w:p>
    <w:p>
      <w:pPr>
        <w:bidi w:val="1"/>
        <w:spacing w:line="312" w:lineRule="auto" w:before="0" w:after="120"/>
        <w:ind w:firstLine="454"/>
        <w:jc w:val="both"/>
      </w:pPr>
      <w:r>
        <w:rPr>
          <w:rFonts w:ascii="Times New Roman" w:hAnsi="Times New Roman" w:cs="B Nazanin"/>
          <w:sz w:val="22"/>
          <w:szCs w:val="28"/>
          <w:rtl w:val="1"/>
        </w:rPr>
        <w:t>ستونِ دوم — تقویتِ نهادیِ برنامهٔ محیط زیستِ ملل متحد (یونپ): چاباسون و اِژه (۲۰۱۹) یکی از سه علتِ اصلیِ شکستِ پیمان را رقابتِ نهادی و بیمِ دولت‌ها از موازی‌کاریِ نهادی می‌دانند. ارتقای جایگاه و اختیاراتِ هماهنگ‌کنندگیِ یونپ — به‌جای ایجادِ نهادِ نو — همان «خلأِ هماهنگیِ نهادیِ ناشی از تکثرِ نهادهای موازی» را که سندِ کمیسیون حقوق بین‌الملل (۲۰۰۶) بر آن انگشت می‌گذارد ترمیم می‌کند، آن‌هم بدونِ برانگیختنِ رقابتِ نهادیِ تازه‌ای که خودْ عاملِ شکست بود.</w:t>
      </w:r>
      <w:r>
        <w:rPr>
          <w:rStyle w:val="FootnoteReference"/>
          <w:rtl w:val="1"/>
        </w:rPr>
        <w:footnoteReference w:id="407"/>
      </w:r>
    </w:p>
    <w:p>
      <w:pPr>
        <w:bidi w:val="1"/>
        <w:spacing w:line="312" w:lineRule="auto" w:before="0" w:after="120"/>
        <w:ind w:firstLine="454"/>
        <w:jc w:val="both"/>
      </w:pPr>
      <w:r>
        <w:rPr>
          <w:rFonts w:ascii="Times New Roman" w:hAnsi="Times New Roman" w:cs="B Nazanin"/>
          <w:sz w:val="22"/>
          <w:szCs w:val="28"/>
          <w:rtl w:val="1"/>
        </w:rPr>
        <w:t>ستونِ سوم — سازوکارِ بازنگریِ ادواریِ زیست‌محیطی به الگوی UPR: ریشهٔ «بن‌بستِ» معاهداتِ محیط‌زیستی، آن‌گونه که داموآ و همکاران (۲۰۲۶ — پیش‌چاپِ داوری‌نشده، با احتیاط) و نیز تیلر (۲۰۱۸) نشان می‌دهند، ضعفِ اجرا و نبودِ سازوکارِ پایبندی است؛ همان خلأیی که خودِ پیمان نیز به‌سببِ ضمانتِ اجرای سبک قادر به پرکردنِ آن نبود. استقرارِ یک «بازنگریِ ادواریِ زیست‌محیطی» به الگوی بازنگریِ ادواریِ جهانیِ شورای حقوق بشر، با تکیه بر فشارِ همتایان و شفافیت، پایبندیِ دولت‌ها را بی‌آنکه به ضمانتِ اجرای قهری — همان عاملِ بازدارندهٔ دولت‌ها در نایروبی — نیاز باشد، بالا می‌برد.</w:t>
      </w:r>
      <w:r>
        <w:rPr>
          <w:rStyle w:val="FootnoteReference"/>
          <w:rtl w:val="1"/>
        </w:rPr>
        <w:footnoteReference w:id="408"/>
      </w:r>
    </w:p>
    <w:p>
      <w:pPr>
        <w:bidi w:val="1"/>
        <w:spacing w:line="312" w:lineRule="auto" w:before="0" w:after="120"/>
        <w:ind w:firstLine="454"/>
        <w:jc w:val="both"/>
      </w:pPr>
      <w:r>
        <w:rPr>
          <w:rFonts w:ascii="Times New Roman" w:hAnsi="Times New Roman" w:cs="B Nazanin"/>
          <w:sz w:val="22"/>
          <w:szCs w:val="28"/>
          <w:rtl w:val="1"/>
        </w:rPr>
        <w:t>ستونِ چهارم — خوشه‌بندیِ معاهدات و هم‌افزایی (clustering &amp; synergies): پراکندگیِ ماهوی که سندِ کمیسیون حقوق بین‌الملل (۲۰۰۶) آن را کانونِ چالشِ نظام می‌داند، از راهِ گسترشِ تجربهٔ موفقِ هماهنگیِ کنوانسیون‌های بازل، روتردام و استکهلم به سایرِ خوشه‌ها (اقلیم-انرژی، تنوعِ زیستی-کاربریِ زمین) قابلِ کاهش است. این ستون، برخلافِ پیمان، به‌جای افزودنِ یک سطحِ هنجاریِ نو، رژیم‌های موجود را هم‌افزا می‌کند و از این‌رو خطرِ تضعیفِ رژیم‌های تخصصی را — که تیلر (۲۰۱۸) به‌صراحت نسبت به آن هشدار داده بود — پدید نمی‌آورد.</w:t>
      </w:r>
      <w:r>
        <w:rPr>
          <w:rStyle w:val="FootnoteReference"/>
          <w:rtl w:val="1"/>
        </w:rPr>
        <w:footnoteReference w:id="409"/>
      </w:r>
    </w:p>
    <w:p>
      <w:pPr>
        <w:bidi w:val="1"/>
        <w:spacing w:line="312" w:lineRule="auto" w:before="0" w:after="120"/>
        <w:ind w:firstLine="454"/>
        <w:jc w:val="both"/>
      </w:pPr>
      <w:r>
        <w:rPr>
          <w:rFonts w:ascii="Times New Roman" w:hAnsi="Times New Roman" w:cs="B Nazanin"/>
          <w:sz w:val="22"/>
          <w:szCs w:val="28"/>
          <w:rtl w:val="1"/>
        </w:rPr>
        <w:t>ستونِ پنجم — بهره‌گیریِ راهبردی از حقوق نرم: چاباسون و اِژه (۲۰۱۹) نتیجهٔ ملموسِ فرایندِ پیمان را نه یک معاهده، بلکه قطعنامهٔ ۷۲/۲۷۷ و در ادامه قطعنامهٔ ۷۶/۳۰۰ (شناساییِ حق بر محیط‌زیستِ سالم) می‌دانند؛ یعنی حقوق نرم، بازدهِ واقعیِ این فرایند بود. به‌کارگیریِ نظام‌مندِ اعلامیه‌ها، رهنمودها و قطعنامه‌ها به‌مثابه گام‌های تدریجیِ شکل‌دهنده به عرفِ بین‌المللی، با خصلتِ تدریجیِ این حقوق و با تزِ تیگره (۲۰۲۲) دربارهٔ نقشِ شناساییِ تدریجیِ حقوق کاملاً سازگار است.</w:t>
      </w:r>
      <w:r>
        <w:rPr>
          <w:rStyle w:val="FootnoteReference"/>
          <w:rtl w:val="1"/>
        </w:rPr>
        <w:footnoteReference w:id="410"/>
      </w:r>
    </w:p>
    <w:p>
      <w:pPr>
        <w:bidi w:val="1"/>
        <w:spacing w:line="312" w:lineRule="auto" w:before="0" w:after="120"/>
        <w:ind w:firstLine="454"/>
        <w:jc w:val="both"/>
      </w:pPr>
      <w:r>
        <w:rPr>
          <w:rFonts w:ascii="Times New Roman" w:hAnsi="Times New Roman" w:cs="B Nazanin"/>
          <w:sz w:val="22"/>
          <w:szCs w:val="28"/>
          <w:rtl w:val="1"/>
        </w:rPr>
        <w:t>ستونِ ششم — یکسان‌سازیِ تفسیرِ اصول از رهگذرِ یکپارچگیِ نظام‌مند: مهم‌ترین ستون، همان ابزاری است که کمیسیون حقوق بین‌الملل (۲۰۰۶) به‌صراحت برای مدیریتِ تعارضِ هنجاری معرفی کرده است: مادهٔ ۳۱(۳)(ج) کنوانسیون وین (یکپارچگیِ نظام‌مند). ترویجِ کاربردِ این قاعده در رویهٔ نهادهای معاهده‌ای سبب می‌شود اصولِ مشترک در تفسیرِ همهٔ MEAها لحاظ شوند — یعنی «کارکردِ انسجام‌بخشِ» پیمان بدونِ نیاز به خودِ پیمان محقق شود. این، پاسخِ مستقیمِ رساله به تردیدِ تیلر (۲۰۱۸) دربارهٔ ارزش‌افزودهٔ ابزار است: هدفِ درستِ پیمان از ابزاری کم‌هزینه‌تر و سازگار با ساختارِ موجود دست‌یافتنی است.</w:t>
      </w:r>
      <w:r>
        <w:rPr>
          <w:rStyle w:val="FootnoteReference"/>
          <w:rtl w:val="1"/>
        </w:rPr>
        <w:footnoteReference w:id="411"/>
      </w:r>
    </w:p>
    <w:p>
      <w:pPr>
        <w:bidi w:val="1"/>
        <w:spacing w:line="312" w:lineRule="auto" w:before="0" w:after="120"/>
        <w:ind w:firstLine="454"/>
        <w:jc w:val="both"/>
      </w:pPr>
      <w:r>
        <w:rPr>
          <w:rFonts w:ascii="Times New Roman" w:hAnsi="Times New Roman" w:cs="B Nazanin"/>
          <w:sz w:val="22"/>
          <w:szCs w:val="28"/>
          <w:rtl w:val="1"/>
        </w:rPr>
        <w:t>این شش ستون در کنارِ هم یک راهبردِ واحد را می‌سازند: «انسجام‌بخشیِ تدریجی بدونِ معاهدهٔ واحد». برخلافِ پیمان که می‌کوشید همهٔ اصول را یک‌باره و از راهِ اجماعِ سراسری الزام‌آور کند، این نقشهٔ راه، همان اهداف را از راهِ انباشتِ تدریجیِ رویه، نهاد، نظارت، هم‌افزایی و تفسیر دنبال می‌کند — مسیری که هر گامِ آن به‌تنهایی نیازمندِ اجماعِ سراسری نیست و از همین‌رو در برابرِ «حقِ وتوی عملیِ» اقلیت آسیب‌پذیر نیست.</w:t>
      </w:r>
    </w:p>
    <w:p>
      <w:pPr>
        <w:pStyle w:val="GPEHeading2"/>
        <w:bidi w:val="1"/>
        <w:spacing w:line="312" w:lineRule="auto" w:before="200" w:after="120"/>
        <w:jc w:val="right"/>
      </w:pPr>
      <w:r>
        <w:rPr>
          <w:rFonts w:ascii="Times New Roman" w:hAnsi="Times New Roman" w:cs="B Nazanin"/>
          <w:sz w:val="24"/>
          <w:szCs w:val="24"/>
          <w:rtl w:val="1"/>
          <w:b/>
          <w:bCs/>
          <w:color w:val="14203a"/>
        </w:rPr>
        <w:t>۴-۴ گفتار سوم: چارچوبِ خلافِ‌واقع، مطالعاتِ موردی و عملیاتی‌سازیِ نقشهٔ راه</w:t>
      </w:r>
    </w:p>
    <w:p>
      <w:pPr>
        <w:bidi w:val="1"/>
        <w:spacing w:line="312" w:lineRule="auto" w:before="0" w:after="120"/>
        <w:ind w:firstLine="454"/>
        <w:jc w:val="both"/>
      </w:pPr>
      <w:r>
        <w:rPr>
          <w:rFonts w:ascii="Times New Roman" w:hAnsi="Times New Roman" w:cs="B Nazanin"/>
          <w:sz w:val="22"/>
          <w:szCs w:val="28"/>
          <w:rtl w:val="1"/>
        </w:rPr>
        <w:t>از آنجا که پیمان جهانی محیط زیست هرگز تصویب نشد، اثرِ آن بر MEAها را نمی‌توان به‌مثابه اثرِ بالفعل بررسی کرد؛ این یک محدودیتِ روش‌شناختیِ بنیادین است. راهِ برون‌رفت، کاربستِ «تحلیلِ خلافِ‌واقع» است: پرسیدنِ اینکه «اگر پیمان با فلان مضمون لازم‌الاجرا می‌شد، بر قاعدهٔ مشخصی از یک MEA چه اثری می‌گذاشت؟»</w:t>
      </w:r>
    </w:p>
    <w:p>
      <w:pPr>
        <w:bidi w:val="1"/>
        <w:spacing w:line="312" w:lineRule="auto" w:before="0" w:after="120"/>
        <w:ind w:firstLine="454"/>
        <w:jc w:val="both"/>
      </w:pPr>
      <w:r>
        <w:rPr>
          <w:rFonts w:ascii="Times New Roman" w:hAnsi="Times New Roman" w:cs="B Nazanin"/>
          <w:sz w:val="22"/>
          <w:szCs w:val="28"/>
          <w:rtl w:val="1"/>
        </w:rPr>
        <w:t>برای آنکه این تحلیل علمی و قابلِ دفاع باشد، یک چارچوبِ هشت‌مرحله‌ایِ ثابت به کار بسته می‌شود: (۱) انتخابِ MEA؛ (۲) تعیینِ قاعده یا تعهدِ فعلیِ آن؛ (۳) شناساییِ مشکل یا تعارضِ احتمالی؛ (۴) تعیینِ مادهٔ مرتبطِ پیمان؛ (۵) تعیینِ قاعدهٔ حقوقیِ تعامل؛ (۶) تحلیلِ اثرِ محتملِ پیمان؛ (۷) بررسیِ محدودیت‌ها؛ و (۸) نتیجه‌گیری. همهٔ مطالعاتِ موردیِ این فصل بر پایهٔ همین چارچوب و الگوی ده‌پرسشیِ برخاسته از آن سامان یافته‌اند.</w:t>
      </w:r>
    </w:p>
    <w:p>
      <w:pPr>
        <w:bidi w:val="1"/>
        <w:spacing w:line="312" w:lineRule="auto" w:before="0" w:after="120"/>
        <w:ind w:firstLine="454"/>
        <w:jc w:val="both"/>
      </w:pPr>
      <w:r>
        <w:rPr>
          <w:rFonts w:ascii="Times New Roman" w:hAnsi="Times New Roman" w:cs="B Nazanin"/>
          <w:sz w:val="22"/>
          <w:szCs w:val="28"/>
          <w:rtl w:val="1"/>
        </w:rPr>
        <w:t>معیارِ گزینشِ MEAها نیز صریح است: تنوعِ موضوعی (اقلیم، تنوعِ زیستی، مواد شیمیایی/پسماند، محیطِ دریایی)، وجودِ رژیمِ نهادیِ بالغ، و ارتباطِ مستقیمِ موضوع با اصولِ عامِ پیمان. بر این پایه چهار موردِ توافق پاریس، کنوانسیون تنوع زیستی، کنوانسیون بازل و موافقت‌نامهٔ BBNJ برگزیده شده‌اند.</w:t>
      </w:r>
    </w:p>
    <w:p>
      <w:pPr>
        <w:pStyle w:val="GPEHeading3"/>
        <w:bidi w:val="1"/>
        <w:spacing w:line="312" w:lineRule="auto" w:before="200" w:after="120"/>
        <w:jc w:val="right"/>
      </w:pPr>
      <w:r>
        <w:rPr>
          <w:rFonts w:ascii="Times New Roman" w:hAnsi="Times New Roman" w:cs="B Nazanin"/>
          <w:sz w:val="24"/>
          <w:szCs w:val="24"/>
          <w:rtl w:val="1"/>
          <w:b/>
          <w:bCs/>
          <w:color w:val="14203a"/>
        </w:rPr>
        <w:t>۴-۴-۱ مطالعهٔ موردی ۱: توافق پاریس (رژیمِ اقلیم)</w:t>
      </w:r>
    </w:p>
    <w:p>
      <w:pPr>
        <w:bidi w:val="1"/>
        <w:spacing w:line="312" w:lineRule="auto" w:before="0" w:after="120"/>
        <w:ind w:firstLine="454"/>
        <w:jc w:val="both"/>
      </w:pPr>
      <w:r>
        <w:rPr>
          <w:rFonts w:ascii="Times New Roman" w:hAnsi="Times New Roman" w:cs="B Nazanin"/>
          <w:sz w:val="22"/>
          <w:szCs w:val="28"/>
          <w:rtl w:val="1"/>
        </w:rPr>
        <w:t>قاعدهٔ فعلیِ رژیم: توافق پاریس بر سازوکارِ «مشارکت‌های تعیین‌شده در سطح ملی» استوار است؛ تعهداتِ کاهش عمدتاً خوداظهار و رویه‌ای‌اند و ضمانتِ اجرای سخت ندارند.</w:t>
      </w:r>
    </w:p>
    <w:p>
      <w:pPr>
        <w:bidi w:val="1"/>
        <w:spacing w:line="312" w:lineRule="auto" w:before="0" w:after="120"/>
        <w:ind w:firstLine="454"/>
        <w:jc w:val="both"/>
      </w:pPr>
      <w:r>
        <w:rPr>
          <w:rFonts w:ascii="Times New Roman" w:hAnsi="Times New Roman" w:cs="B Nazanin"/>
          <w:sz w:val="22"/>
          <w:szCs w:val="28"/>
          <w:rtl w:val="1"/>
        </w:rPr>
        <w:t>مشکل یا تعارضِ کنونی: تعهداتِ رفتاریِ نرم و نبودِ سازوکارِ الزام، شکافِ میان هدفِ دمایی و مجموعِ تعهداتِ ملی را باقی می‌گذارد.</w:t>
      </w:r>
    </w:p>
    <w:p>
      <w:pPr>
        <w:bidi w:val="1"/>
        <w:spacing w:line="312" w:lineRule="auto" w:before="0" w:after="120"/>
        <w:ind w:firstLine="454"/>
        <w:jc w:val="both"/>
      </w:pPr>
      <w:r>
        <w:rPr>
          <w:rFonts w:ascii="Times New Roman" w:hAnsi="Times New Roman" w:cs="B Nazanin"/>
          <w:sz w:val="22"/>
          <w:szCs w:val="28"/>
          <w:rtl w:val="1"/>
        </w:rPr>
        <w:t>مادهٔ مرتبطِ پیمان و افزودهٔ آن: پیش‌نویسِ پیمان با تثبیتِ اصولِ پیشگیری، احتیاط و عدالتِ بین‌نسلی می‌توانست مبنایی اصولی برای تفسیرِ سخت‌گیرانه‌ترِ تعهداتِ پاریس فراهم آورد.</w:t>
      </w:r>
    </w:p>
    <w:p>
      <w:pPr>
        <w:bidi w:val="1"/>
        <w:spacing w:line="312" w:lineRule="auto" w:before="0" w:after="120"/>
        <w:ind w:firstLine="454"/>
        <w:jc w:val="both"/>
      </w:pPr>
      <w:r>
        <w:rPr>
          <w:rFonts w:ascii="Times New Roman" w:hAnsi="Times New Roman" w:cs="B Nazanin"/>
          <w:sz w:val="22"/>
          <w:szCs w:val="28"/>
          <w:rtl w:val="1"/>
        </w:rPr>
        <w:t>قاعدهٔ حقوقیِ تعامل (عام/خاص، lex specialis و مادهٔ ۳۱(۳)(ج)): پیمان سندِ عام و پاریس رژیمِ خاص است؛ بنابراین lex specialis رژیمِ پاریس را حفظ می‌کند، اما مادهٔ ۳۱(۳)(ج) کنوانسیون وین اجازهٔ تفسیرِ هماهنگِ تعهداتِ پاریس در پرتوِ اصولِ پیمان را می‌دهد.</w:t>
      </w:r>
    </w:p>
    <w:p>
      <w:pPr>
        <w:bidi w:val="1"/>
        <w:spacing w:line="312" w:lineRule="auto" w:before="0" w:after="120"/>
        <w:ind w:firstLine="454"/>
        <w:jc w:val="both"/>
      </w:pPr>
      <w:r>
        <w:rPr>
          <w:rFonts w:ascii="Times New Roman" w:hAnsi="Times New Roman" w:cs="B Nazanin"/>
          <w:sz w:val="22"/>
          <w:szCs w:val="28"/>
          <w:rtl w:val="1"/>
        </w:rPr>
        <w:t>اثرِ محتملِ پیمان و امکانِ یکپارچگیِ نظام‌مند: اثرِ محتمل نه جایگزینیِ پاریس، بلکه تقویتِ یکپارچگیِ نظام‌مند از راهِ تفسیر است: بالا بردنِ سطحِ انتظار از «بلندپروازیِ» تعهداتِ ملی و پیوندِ آن با حقِ بر محیط‌زیستِ سالم.</w:t>
      </w:r>
    </w:p>
    <w:p>
      <w:pPr>
        <w:bidi w:val="1"/>
        <w:spacing w:line="312" w:lineRule="auto" w:before="0" w:after="120"/>
        <w:ind w:firstLine="454"/>
        <w:jc w:val="both"/>
      </w:pPr>
      <w:r>
        <w:rPr>
          <w:rFonts w:ascii="Times New Roman" w:hAnsi="Times New Roman" w:cs="B Nazanin"/>
          <w:sz w:val="22"/>
          <w:szCs w:val="28"/>
          <w:rtl w:val="1"/>
        </w:rPr>
        <w:t>محدودیت‌ها و خطرِ سلسله‌مراتب یا تعارضِ واقعی: پیمان نمی‌توانست ماهیتِ خوداظهارِ پاریس را تغییر دهد؛ اثرِ آن به پذیرشِ دولت‌ها و به رویهٔ نهادهای تفسیری وابسته می‌ماند.</w:t>
      </w:r>
    </w:p>
    <w:p>
      <w:pPr>
        <w:bidi w:val="1"/>
        <w:spacing w:line="312" w:lineRule="auto" w:before="0" w:after="120"/>
        <w:ind w:firstLine="454"/>
        <w:jc w:val="both"/>
      </w:pPr>
      <w:r>
        <w:rPr>
          <w:rFonts w:ascii="Times New Roman" w:hAnsi="Times New Roman" w:cs="B Nazanin"/>
          <w:sz w:val="22"/>
          <w:szCs w:val="28"/>
          <w:rtl w:val="1"/>
        </w:rPr>
        <w:t>نتیجهٔ عملیِ خلافِ‌واقع: در سناریوی خلافِ‌واقع، پیمان بیش از آنکه قاعدهٔ تازه‌ای بر پاریس تحمیل کند، ظرفیتِ تفسیریِ آن را تقویت می‌کرد؛ مصداقی از «انسجام از راهِ تفسیر» نه «انسجام از راهِ سلسله‌مراتب».</w:t>
      </w:r>
    </w:p>
    <w:p>
      <w:pPr>
        <w:pStyle w:val="GPEHeading3"/>
        <w:bidi w:val="1"/>
        <w:spacing w:line="312" w:lineRule="auto" w:before="200" w:after="120"/>
        <w:jc w:val="right"/>
      </w:pPr>
      <w:r>
        <w:rPr>
          <w:rFonts w:ascii="Times New Roman" w:hAnsi="Times New Roman" w:cs="B Nazanin"/>
          <w:sz w:val="24"/>
          <w:szCs w:val="24"/>
          <w:rtl w:val="1"/>
          <w:b/>
          <w:bCs/>
          <w:color w:val="14203a"/>
        </w:rPr>
        <w:t>۴-۴-۲ مطالعهٔ موردی ۲: کنوانسیون تنوع زیستی (CBD)</w:t>
      </w:r>
    </w:p>
    <w:p>
      <w:pPr>
        <w:bidi w:val="1"/>
        <w:spacing w:line="312" w:lineRule="auto" w:before="0" w:after="120"/>
        <w:ind w:firstLine="454"/>
        <w:jc w:val="both"/>
      </w:pPr>
      <w:r>
        <w:rPr>
          <w:rFonts w:ascii="Times New Roman" w:hAnsi="Times New Roman" w:cs="B Nazanin"/>
          <w:sz w:val="22"/>
          <w:szCs w:val="28"/>
          <w:rtl w:val="1"/>
        </w:rPr>
        <w:t>قاعدهٔ فعلیِ رژیم: CBD چارچوبی عام برای حفاظت و بهره‌برداریِ پایدار از تنوعِ زیستی است، اما بسیاری از تعهداتِ آن کیفی و مشروط به «حدِ امکان» و توانِ ملی‌اند.</w:t>
      </w:r>
    </w:p>
    <w:p>
      <w:pPr>
        <w:bidi w:val="1"/>
        <w:spacing w:line="312" w:lineRule="auto" w:before="0" w:after="120"/>
        <w:ind w:firstLine="454"/>
        <w:jc w:val="both"/>
      </w:pPr>
      <w:r>
        <w:rPr>
          <w:rFonts w:ascii="Times New Roman" w:hAnsi="Times New Roman" w:cs="B Nazanin"/>
          <w:sz w:val="22"/>
          <w:szCs w:val="28"/>
          <w:rtl w:val="1"/>
        </w:rPr>
        <w:t>مشکل یا تعارضِ کنونی: کلی‌بودنِ تعهدات و پراکندگیِ آن میانِ پروتکل‌ها (کارتاهنا، ناگویا) هماهنگیِ تفسیری را دشوار می‌کند.</w:t>
      </w:r>
    </w:p>
    <w:p>
      <w:pPr>
        <w:bidi w:val="1"/>
        <w:spacing w:line="312" w:lineRule="auto" w:before="0" w:after="120"/>
        <w:ind w:firstLine="454"/>
        <w:jc w:val="both"/>
      </w:pPr>
      <w:r>
        <w:rPr>
          <w:rFonts w:ascii="Times New Roman" w:hAnsi="Times New Roman" w:cs="B Nazanin"/>
          <w:sz w:val="22"/>
          <w:szCs w:val="28"/>
          <w:rtl w:val="1"/>
        </w:rPr>
        <w:t>مادهٔ مرتبطِ پیمان و افزودهٔ آن: پیمان با اصلِ عدمِ پس‌رفت و اصولِ مشترکِ حفاظت می‌توانست کفِ هنجاریِ مشترکی زیرِ تعهداتِ CBD و پروتکل‌های آن قرار دهد.</w:t>
      </w:r>
    </w:p>
    <w:p>
      <w:pPr>
        <w:bidi w:val="1"/>
        <w:spacing w:line="312" w:lineRule="auto" w:before="0" w:after="120"/>
        <w:ind w:firstLine="454"/>
        <w:jc w:val="both"/>
      </w:pPr>
      <w:r>
        <w:rPr>
          <w:rFonts w:ascii="Times New Roman" w:hAnsi="Times New Roman" w:cs="B Nazanin"/>
          <w:sz w:val="22"/>
          <w:szCs w:val="28"/>
          <w:rtl w:val="1"/>
        </w:rPr>
        <w:t>قاعدهٔ حقوقیِ تعامل (عام/خاص، lex specialis و مادهٔ ۳۱(۳)(ج)): رابطهٔ عام/خاص؛ پیمان اصولِ عام را عرضه می‌کند و CBD رژیمِ تخصصی می‌ماند. مادهٔ ۳۱(۳)(ج) امکانِ خواندنِ تعهداتِ CBD در پرتوِ اصولِ پیمان را می‌دهد.</w:t>
      </w:r>
    </w:p>
    <w:p>
      <w:pPr>
        <w:bidi w:val="1"/>
        <w:spacing w:line="312" w:lineRule="auto" w:before="0" w:after="120"/>
        <w:ind w:firstLine="454"/>
        <w:jc w:val="both"/>
      </w:pPr>
      <w:r>
        <w:rPr>
          <w:rFonts w:ascii="Times New Roman" w:hAnsi="Times New Roman" w:cs="B Nazanin"/>
          <w:sz w:val="22"/>
          <w:szCs w:val="28"/>
          <w:rtl w:val="1"/>
        </w:rPr>
        <w:t>اثرِ محتملِ پیمان و امکانِ یکپارچگیِ نظام‌مند: افزایشِ انسجامِ تفسیری میانِ CBD و دیگر رژیم‌های مرتبط (اقلیم، بیابان‌زایی) و کاهشِ خطرِ تفسیرهای جزیره‌ای.</w:t>
      </w:r>
    </w:p>
    <w:p>
      <w:pPr>
        <w:bidi w:val="1"/>
        <w:spacing w:line="312" w:lineRule="auto" w:before="0" w:after="120"/>
        <w:ind w:firstLine="454"/>
        <w:jc w:val="both"/>
      </w:pPr>
      <w:r>
        <w:rPr>
          <w:rFonts w:ascii="Times New Roman" w:hAnsi="Times New Roman" w:cs="B Nazanin"/>
          <w:sz w:val="22"/>
          <w:szCs w:val="28"/>
          <w:rtl w:val="1"/>
        </w:rPr>
        <w:t>محدودیت‌ها و خطرِ سلسله‌مراتب یا تعارضِ واقعی: بدونِ نهادِ هماهنگ‌کننده و منابعِ مالی، اثرِ پیمان در سطحِ اصول باقی می‌ماند و به اجرا سرایت نمی‌کند.</w:t>
      </w:r>
    </w:p>
    <w:p>
      <w:pPr>
        <w:bidi w:val="1"/>
        <w:spacing w:line="312" w:lineRule="auto" w:before="0" w:after="120"/>
        <w:ind w:firstLine="454"/>
        <w:jc w:val="both"/>
      </w:pPr>
      <w:r>
        <w:rPr>
          <w:rFonts w:ascii="Times New Roman" w:hAnsi="Times New Roman" w:cs="B Nazanin"/>
          <w:sz w:val="22"/>
          <w:szCs w:val="28"/>
          <w:rtl w:val="1"/>
        </w:rPr>
        <w:t>نتیجهٔ عملیِ خلافِ‌واقع: خلافِ‌واقع نشان می‌دهد بیشترین ارزشِ افزودهٔ پیمان در «هماهنگیِ اصولی» است، نه در رفعِ خلأِ هنجاریِ بنیادین که CBD تا حدِ زیادی آن را پوشانده است.</w:t>
      </w:r>
    </w:p>
    <w:p>
      <w:pPr>
        <w:pStyle w:val="GPEHeading3"/>
        <w:bidi w:val="1"/>
        <w:spacing w:line="312" w:lineRule="auto" w:before="200" w:after="120"/>
        <w:jc w:val="right"/>
      </w:pPr>
      <w:r>
        <w:rPr>
          <w:rFonts w:ascii="Times New Roman" w:hAnsi="Times New Roman" w:cs="B Nazanin"/>
          <w:sz w:val="24"/>
          <w:szCs w:val="24"/>
          <w:rtl w:val="1"/>
          <w:b/>
          <w:bCs/>
          <w:color w:val="14203a"/>
        </w:rPr>
        <w:t>۴-۴-۳ مطالعهٔ موردی ۳: کنوانسیون بازل (مواد شیمیایی و پسماند)</w:t>
      </w:r>
    </w:p>
    <w:p>
      <w:pPr>
        <w:bidi w:val="1"/>
        <w:spacing w:line="312" w:lineRule="auto" w:before="0" w:after="120"/>
        <w:ind w:firstLine="454"/>
        <w:jc w:val="both"/>
      </w:pPr>
      <w:r>
        <w:rPr>
          <w:rFonts w:ascii="Times New Roman" w:hAnsi="Times New Roman" w:cs="B Nazanin"/>
          <w:sz w:val="22"/>
          <w:szCs w:val="28"/>
          <w:rtl w:val="1"/>
        </w:rPr>
        <w:t>قاعدهٔ فعلیِ رژیم: بازل انتقالاتِ فرامرزیِ پسماندهای خطرناک را از راهِ نظامِ «رضایتِ آگاهانهٔ پیشین» کنترل می‌کند و رژیمی نسبتاً دقیق و اجرایی دارد.</w:t>
      </w:r>
    </w:p>
    <w:p>
      <w:pPr>
        <w:bidi w:val="1"/>
        <w:spacing w:line="312" w:lineRule="auto" w:before="0" w:after="120"/>
        <w:ind w:firstLine="454"/>
        <w:jc w:val="both"/>
      </w:pPr>
      <w:r>
        <w:rPr>
          <w:rFonts w:ascii="Times New Roman" w:hAnsi="Times New Roman" w:cs="B Nazanin"/>
          <w:sz w:val="22"/>
          <w:szCs w:val="28"/>
          <w:rtl w:val="1"/>
        </w:rPr>
        <w:t>مشکل یا تعارضِ کنونی: مرزهای موضوعیِ بازل با رژیم‌های همجوار (روتردام، استکهلم، میناماتا) هم‌پوشانی و شکافِ پوشش ایجاد می‌کند.</w:t>
      </w:r>
    </w:p>
    <w:p>
      <w:pPr>
        <w:bidi w:val="1"/>
        <w:spacing w:line="312" w:lineRule="auto" w:before="0" w:after="120"/>
        <w:ind w:firstLine="454"/>
        <w:jc w:val="both"/>
      </w:pPr>
      <w:r>
        <w:rPr>
          <w:rFonts w:ascii="Times New Roman" w:hAnsi="Times New Roman" w:cs="B Nazanin"/>
          <w:sz w:val="22"/>
          <w:szCs w:val="28"/>
          <w:rtl w:val="1"/>
        </w:rPr>
        <w:t>مادهٔ مرتبطِ پیمان و افزودهٔ آن: پیمان با اصلِ پیشگیری و اصلِ آلوده‌ساز-پرداخت‌کننده می‌توانست مبنایی مشترک برای پرکردنِ شکافِ میانِ این کنوانسیون‌ها فراهم آورد.</w:t>
      </w:r>
    </w:p>
    <w:p>
      <w:pPr>
        <w:bidi w:val="1"/>
        <w:spacing w:line="312" w:lineRule="auto" w:before="0" w:after="120"/>
        <w:ind w:firstLine="454"/>
        <w:jc w:val="both"/>
      </w:pPr>
      <w:r>
        <w:rPr>
          <w:rFonts w:ascii="Times New Roman" w:hAnsi="Times New Roman" w:cs="B Nazanin"/>
          <w:sz w:val="22"/>
          <w:szCs w:val="28"/>
          <w:rtl w:val="1"/>
        </w:rPr>
        <w:t>قاعدهٔ حقوقیِ تعامل (عام/خاص، lex specialis و مادهٔ ۳۱(۳)(ج)): رابطهٔ عام/خاص با احترام به تخصصِ بازل؛ نقشِ پیمان تفسیری و مکمل است، نه ناسخ. مادهٔ ۳۱(۳)(ج) مبنای هماهنگی است.</w:t>
      </w:r>
    </w:p>
    <w:p>
      <w:pPr>
        <w:bidi w:val="1"/>
        <w:spacing w:line="312" w:lineRule="auto" w:before="0" w:after="120"/>
        <w:ind w:firstLine="454"/>
        <w:jc w:val="both"/>
      </w:pPr>
      <w:r>
        <w:rPr>
          <w:rFonts w:ascii="Times New Roman" w:hAnsi="Times New Roman" w:cs="B Nazanin"/>
          <w:sz w:val="22"/>
          <w:szCs w:val="28"/>
          <w:rtl w:val="1"/>
        </w:rPr>
        <w:t>اثرِ محتملِ پیمان و امکانِ یکپارچگیِ نظام‌مند: تسهیلِ خوشه‌بندیِ رژیم‌های مواد شیمیایی و پسماند و هماهنگیِ گزارش‌دهی و تفسیرِ مشترک.</w:t>
      </w:r>
    </w:p>
    <w:p>
      <w:pPr>
        <w:bidi w:val="1"/>
        <w:spacing w:line="312" w:lineRule="auto" w:before="0" w:after="120"/>
        <w:ind w:firstLine="454"/>
        <w:jc w:val="both"/>
      </w:pPr>
      <w:r>
        <w:rPr>
          <w:rFonts w:ascii="Times New Roman" w:hAnsi="Times New Roman" w:cs="B Nazanin"/>
          <w:sz w:val="22"/>
          <w:szCs w:val="28"/>
          <w:rtl w:val="1"/>
        </w:rPr>
        <w:t>محدودیت‌ها و خطرِ سلسله‌مراتب یا تعارضِ واقعی: رژیمِ بازل چنان تخصصی است که افزودهٔ هنجاریِ پیمان اندک است؛ ارزشِ اصلی در سطحِ هماهنگیِ نهادی است که خود مستلزمِ توافقِ جداگانه است.</w:t>
      </w:r>
    </w:p>
    <w:p>
      <w:pPr>
        <w:bidi w:val="1"/>
        <w:spacing w:line="312" w:lineRule="auto" w:before="0" w:after="120"/>
        <w:ind w:firstLine="454"/>
        <w:jc w:val="both"/>
      </w:pPr>
      <w:r>
        <w:rPr>
          <w:rFonts w:ascii="Times New Roman" w:hAnsi="Times New Roman" w:cs="B Nazanin"/>
          <w:sz w:val="22"/>
          <w:szCs w:val="28"/>
          <w:rtl w:val="1"/>
        </w:rPr>
        <w:t>نتیجهٔ عملیِ خلافِ‌واقع: این مورد نشان می‌دهد در رژیم‌های بالغ و تخصصی، مزیتِ پیمان بیشتر نهادی-هماهنگ‌کننده است تا هنجاری؛ شاهدی بر تزِ «جامعیت ≠ انسجام».</w:t>
      </w:r>
    </w:p>
    <w:p>
      <w:pPr>
        <w:pStyle w:val="GPEHeading3"/>
        <w:bidi w:val="1"/>
        <w:spacing w:line="312" w:lineRule="auto" w:before="200" w:after="120"/>
        <w:jc w:val="right"/>
      </w:pPr>
      <w:r>
        <w:rPr>
          <w:rFonts w:ascii="Times New Roman" w:hAnsi="Times New Roman" w:cs="B Nazanin"/>
          <w:sz w:val="24"/>
          <w:szCs w:val="24"/>
          <w:rtl w:val="1"/>
          <w:b/>
          <w:bCs/>
          <w:color w:val="14203a"/>
        </w:rPr>
        <w:t>۴-۴-۴ مطالعهٔ موردی ۴: موافقت‌نامهٔ BBNJ (محیطِ دریایی فراسویِ صلاحیتِ ملی)</w:t>
      </w:r>
    </w:p>
    <w:p>
      <w:pPr>
        <w:bidi w:val="1"/>
        <w:spacing w:line="312" w:lineRule="auto" w:before="0" w:after="120"/>
        <w:ind w:firstLine="454"/>
        <w:jc w:val="both"/>
      </w:pPr>
      <w:r>
        <w:rPr>
          <w:rFonts w:ascii="Times New Roman" w:hAnsi="Times New Roman" w:cs="B Nazanin"/>
          <w:sz w:val="22"/>
          <w:szCs w:val="28"/>
          <w:rtl w:val="1"/>
        </w:rPr>
        <w:t>قاعدهٔ فعلیِ رژیم: موافقت‌نامهٔ BBNJ (۲۰۲۳) در چارچوبِ کنوانسیون حقوق دریاها، رژیمی موضوعی و تازه برای حفاظت از تنوعِ زیستیِ دریایی در مناطقِ خارج از صلاحیتِ ملی پدید آورد.</w:t>
      </w:r>
    </w:p>
    <w:p>
      <w:pPr>
        <w:bidi w:val="1"/>
        <w:spacing w:line="312" w:lineRule="auto" w:before="0" w:after="120"/>
        <w:ind w:firstLine="454"/>
        <w:jc w:val="both"/>
      </w:pPr>
      <w:r>
        <w:rPr>
          <w:rFonts w:ascii="Times New Roman" w:hAnsi="Times New Roman" w:cs="B Nazanin"/>
          <w:sz w:val="22"/>
          <w:szCs w:val="28"/>
          <w:rtl w:val="1"/>
        </w:rPr>
        <w:t>مشکل یا تعارضِ کنونی: پیش از BBNJ، این پهنه با خلأِ نهادی و هنجاریِ جدی روبه‌رو بود؛ پرسش این است که چرا این مسیرِ موضوعی به توافق رسید حال‌آنکه پیمانِ جامع شکست خورد.</w:t>
      </w:r>
    </w:p>
    <w:p>
      <w:pPr>
        <w:bidi w:val="1"/>
        <w:spacing w:line="312" w:lineRule="auto" w:before="0" w:after="120"/>
        <w:ind w:firstLine="454"/>
        <w:jc w:val="both"/>
      </w:pPr>
      <w:r>
        <w:rPr>
          <w:rFonts w:ascii="Times New Roman" w:hAnsi="Times New Roman" w:cs="B Nazanin"/>
          <w:sz w:val="22"/>
          <w:szCs w:val="28"/>
          <w:rtl w:val="1"/>
        </w:rPr>
        <w:t>مادهٔ مرتبطِ پیمان و افزودهٔ آن: اصولِ عامِ پیمان (احتیاط، ارزیابیِ اثرات، عدالتِ بین‌نسلی) با مضمونِ BBNJ هم‌سو بود و می‌توانست پشتوانهٔ اصولیِ آن باشد.</w:t>
      </w:r>
    </w:p>
    <w:p>
      <w:pPr>
        <w:bidi w:val="1"/>
        <w:spacing w:line="312" w:lineRule="auto" w:before="0" w:after="120"/>
        <w:ind w:firstLine="454"/>
        <w:jc w:val="both"/>
      </w:pPr>
      <w:r>
        <w:rPr>
          <w:rFonts w:ascii="Times New Roman" w:hAnsi="Times New Roman" w:cs="B Nazanin"/>
          <w:sz w:val="22"/>
          <w:szCs w:val="28"/>
          <w:rtl w:val="1"/>
        </w:rPr>
        <w:t>قاعدهٔ حقوقیِ تعامل (عام/خاص، lex specialis و مادهٔ ۳۱(۳)(ج)): BBNJ رژیمِ خاصِ اجرایی است و پیمان سندِ اصولِ عام؛ رابطه مکمل است و مادهٔ ۳۱(۳)(ج) مبنای هماهنگی.</w:t>
      </w:r>
    </w:p>
    <w:p>
      <w:pPr>
        <w:bidi w:val="1"/>
        <w:spacing w:line="312" w:lineRule="auto" w:before="0" w:after="120"/>
        <w:ind w:firstLine="454"/>
        <w:jc w:val="both"/>
      </w:pPr>
      <w:r>
        <w:rPr>
          <w:rFonts w:ascii="Times New Roman" w:hAnsi="Times New Roman" w:cs="B Nazanin"/>
          <w:sz w:val="22"/>
          <w:szCs w:val="28"/>
          <w:rtl w:val="1"/>
        </w:rPr>
        <w:t>اثرِ محتملِ پیمان و امکانِ یکپارچگیِ نظام‌مند: BBNJ نمونهٔ زندهٔ آن است که پیشرفتِ موضوعی و مرحله‌ای می‌تواند در جایی که معاهدهٔ جامع درمانده است، به توافق برسد.</w:t>
      </w:r>
    </w:p>
    <w:p>
      <w:pPr>
        <w:bidi w:val="1"/>
        <w:spacing w:line="312" w:lineRule="auto" w:before="0" w:after="120"/>
        <w:ind w:firstLine="454"/>
        <w:jc w:val="both"/>
      </w:pPr>
      <w:r>
        <w:rPr>
          <w:rFonts w:ascii="Times New Roman" w:hAnsi="Times New Roman" w:cs="B Nazanin"/>
          <w:sz w:val="22"/>
          <w:szCs w:val="28"/>
          <w:rtl w:val="1"/>
        </w:rPr>
        <w:t>محدودیت‌ها و خطرِ سلسله‌مراتب یا تعارضِ واقعی: موفقیتِ BBNJ به محدودیِ دامنه و ذی‌نفعانِ متمرکز وابسته بود؛ تعمیمِ آن به یک پیمانِ همه‌شمول ساده‌انگارانه است.</w:t>
      </w:r>
    </w:p>
    <w:p>
      <w:pPr>
        <w:bidi w:val="1"/>
        <w:spacing w:line="312" w:lineRule="auto" w:before="0" w:after="120"/>
        <w:ind w:firstLine="454"/>
        <w:jc w:val="both"/>
      </w:pPr>
      <w:r>
        <w:rPr>
          <w:rFonts w:ascii="Times New Roman" w:hAnsi="Times New Roman" w:cs="B Nazanin"/>
          <w:sz w:val="22"/>
          <w:szCs w:val="28"/>
          <w:rtl w:val="1"/>
        </w:rPr>
        <w:t>نتیجهٔ عملیِ خلافِ‌واقع: مقایسهٔ BBNJ با شکستِ پیمان، مستقیماً تزِ رساله را تأیید می‌کند: مزیتِ رویکردِ موضوعی و مرحله‌ای در برابرِ جامعیتِ یک‌سندی.</w:t>
      </w:r>
    </w:p>
    <w:p>
      <w:pPr>
        <w:pStyle w:val="GPEHeading3"/>
        <w:bidi w:val="1"/>
        <w:spacing w:line="312" w:lineRule="auto" w:before="200" w:after="120"/>
        <w:jc w:val="right"/>
      </w:pPr>
      <w:r>
        <w:rPr>
          <w:rFonts w:ascii="Times New Roman" w:hAnsi="Times New Roman" w:cs="B Nazanin"/>
          <w:sz w:val="24"/>
          <w:szCs w:val="24"/>
          <w:rtl w:val="1"/>
          <w:b/>
          <w:bCs/>
          <w:color w:val="14203a"/>
        </w:rPr>
        <w:t>۴-۴-۵ تحلیلِ تطبیقی: پیمان جهانی در برابرِ مذاکراتِ پلاستیک و BBNJ</w:t>
      </w:r>
    </w:p>
    <w:p>
      <w:pPr>
        <w:bidi w:val="1"/>
        <w:spacing w:line="312" w:lineRule="auto" w:before="0" w:after="120"/>
        <w:ind w:firstLine="454"/>
        <w:jc w:val="both"/>
      </w:pPr>
      <w:r>
        <w:rPr>
          <w:rFonts w:ascii="Times New Roman" w:hAnsi="Times New Roman" w:cs="B Nazanin"/>
          <w:sz w:val="22"/>
          <w:szCs w:val="28"/>
          <w:rtl w:val="1"/>
        </w:rPr>
        <w:t>برای سنجشِ تزِ رساله، سه مسیرِ مذاکراتی در کنار هم نهاده می‌شوند: پیمانِ جامع (که شکست خورد)، مذاکراتِ معاهدهٔ آلودگیِ پلاستیکی (که با فرازونشیب ادامه یافت) و موافقت‌نامهٔ BBNJ (که به توافق رسید). جدولِ زیر این سه را بر پایهٔ معیارهای کلیدی مقایسه می‌کند.</w:t>
      </w:r>
    </w:p>
    <w:p>
      <w:pPr>
        <w:bidi w:val="1"/>
        <w:spacing w:line="312" w:lineRule="auto" w:before="0" w:after="120"/>
        <w:ind w:firstLine="454"/>
        <w:jc w:val="both"/>
      </w:pPr>
      <w:r>
        <w:rPr>
          <w:rFonts w:ascii="Times New Roman" w:hAnsi="Times New Roman" w:cs="B Nazanin"/>
          <w:sz w:val="22"/>
          <w:szCs w:val="28"/>
          <w:rtl w:val="1"/>
        </w:rPr>
        <w:t>خوانشِ جدول، فرضیهٔ محوری را تقویت می‌کند: هرچه دامنه محدودتر، ذی‌نفعان متمرکزتر و امکانِ اجماع بیشتر بوده، احتمالِ توفیق بالاتر رفته است. درسِ رساله از این مقایسه، نه نفیِ ارزشِ انسجام، بلکه بازاندیشی در ابزارِ دستیابی به آن است: مزیتِ رویکردِ مرحله‌ای و موضوعی در برابرِ جامعیتِ یک‌سندی.</w:t>
      </w:r>
      <w:r>
        <w:rPr>
          <w:rStyle w:val="FootnoteReference"/>
          <w:rtl w:val="1"/>
        </w:rPr>
        <w:footnoteReference w:id="412"/>
      </w:r>
    </w:p>
    <w:p>
      <w:pPr>
        <w:bidi w:val="1"/>
        <w:spacing w:line="312" w:lineRule="auto" w:before="120" w:after="40"/>
        <w:jc w:val="center"/>
      </w:pPr>
      <w:r>
        <w:rPr>
          <w:rFonts w:ascii="Times New Roman" w:hAnsi="Times New Roman" w:cs="B Nazanin"/>
          <w:sz w:val="22"/>
          <w:szCs w:val="24"/>
          <w:rtl w:val="1"/>
          <w:b/>
          <w:bCs/>
        </w:rPr>
        <w:t>جدول ۴-۱: مقایسهٔ تطبیقیِ پیمان جهانی، مذاکراتِ پلاستیک و BBNJ</w:t>
      </w:r>
    </w:p>
    <w:tbl>
      <w:tblPr>
        <w:tblStyle w:val="TableGrid"/>
        <w:tblW w:type="auto" w:w="0"/>
        <w:tblLook w:firstColumn="1" w:firstRow="1" w:lastColumn="0" w:lastRow="0" w:noHBand="0" w:noVBand="1" w:val="04A0"/>
        <w:bidiVisual/>
      </w:tblPr>
      <w:tblGrid>
        <w:gridCol w:w="2126"/>
        <w:gridCol w:w="2126"/>
        <w:gridCol w:w="2126"/>
        <w:gridCol w:w="2126"/>
      </w:tblGrid>
      <w:tr>
        <w:tc>
          <w:tcPr>
            <w:tcW w:type="dxa" w:w="2126"/>
          </w:tcPr>
          <w:p>
            <w:pPr>
              <w:bidi w:val="1"/>
              <w:spacing w:line="312" w:lineRule="auto" w:before="0" w:after="120"/>
              <w:jc w:val="center"/>
            </w:pPr>
            <w:r/>
            <w:r>
              <w:rPr>
                <w:rFonts w:ascii="Times New Roman" w:hAnsi="Times New Roman" w:cs="B Nazanin"/>
                <w:sz w:val="20"/>
                <w:szCs w:val="24"/>
                <w:rtl w:val="1"/>
                <w:b/>
                <w:bCs/>
              </w:rPr>
              <w:t>معیار</w:t>
            </w:r>
          </w:p>
        </w:tc>
        <w:tc>
          <w:tcPr>
            <w:tcW w:type="dxa" w:w="2126"/>
          </w:tcPr>
          <w:p>
            <w:pPr>
              <w:bidi w:val="1"/>
              <w:spacing w:line="312" w:lineRule="auto" w:before="0" w:after="120"/>
              <w:jc w:val="center"/>
            </w:pPr>
            <w:r/>
            <w:r>
              <w:rPr>
                <w:rFonts w:ascii="Times New Roman" w:hAnsi="Times New Roman" w:cs="B Nazanin"/>
                <w:sz w:val="20"/>
                <w:szCs w:val="24"/>
                <w:rtl w:val="1"/>
                <w:b/>
                <w:bCs/>
              </w:rPr>
              <w:t>پیمان جهانی</w:t>
            </w:r>
          </w:p>
        </w:tc>
        <w:tc>
          <w:tcPr>
            <w:tcW w:type="dxa" w:w="2126"/>
          </w:tcPr>
          <w:p>
            <w:pPr>
              <w:bidi w:val="1"/>
              <w:spacing w:line="312" w:lineRule="auto" w:before="0" w:after="120"/>
              <w:jc w:val="center"/>
            </w:pPr>
            <w:r/>
            <w:r>
              <w:rPr>
                <w:rFonts w:ascii="Times New Roman" w:hAnsi="Times New Roman" w:cs="B Nazanin"/>
                <w:sz w:val="20"/>
                <w:szCs w:val="24"/>
                <w:rtl w:val="1"/>
                <w:b/>
                <w:bCs/>
              </w:rPr>
              <w:t>پلاستیک</w:t>
            </w:r>
          </w:p>
        </w:tc>
        <w:tc>
          <w:tcPr>
            <w:tcW w:type="dxa" w:w="2126"/>
          </w:tcPr>
          <w:p>
            <w:pPr>
              <w:bidi w:val="1"/>
              <w:spacing w:line="312" w:lineRule="auto" w:before="0" w:after="120"/>
              <w:jc w:val="center"/>
            </w:pPr>
            <w:r/>
            <w:r>
              <w:rPr>
                <w:rFonts w:ascii="Times New Roman" w:hAnsi="Times New Roman" w:cs="B Nazanin"/>
                <w:sz w:val="20"/>
                <w:szCs w:val="24"/>
                <w:rtl w:val="1"/>
                <w:b/>
                <w:bCs/>
              </w:rPr>
              <w:t>BBNJ</w:t>
            </w:r>
          </w:p>
        </w:tc>
      </w:tr>
      <w:tr>
        <w:tc>
          <w:tcPr>
            <w:tcW w:type="dxa" w:w="2126"/>
          </w:tcPr>
          <w:p>
            <w:pPr>
              <w:bidi w:val="1"/>
              <w:spacing w:line="312" w:lineRule="auto" w:before="0" w:after="120"/>
              <w:jc w:val="center"/>
            </w:pPr>
            <w:r/>
            <w:r>
              <w:rPr>
                <w:rFonts w:ascii="Times New Roman" w:hAnsi="Times New Roman" w:cs="B Nazanin"/>
                <w:sz w:val="20"/>
                <w:szCs w:val="24"/>
                <w:rtl w:val="1"/>
              </w:rPr>
              <w:t>دامنه</w:t>
            </w:r>
          </w:p>
        </w:tc>
        <w:tc>
          <w:tcPr>
            <w:tcW w:type="dxa" w:w="2126"/>
          </w:tcPr>
          <w:p>
            <w:pPr>
              <w:bidi w:val="1"/>
              <w:spacing w:line="312" w:lineRule="auto" w:before="0" w:after="120"/>
              <w:jc w:val="center"/>
            </w:pPr>
            <w:r/>
            <w:r>
              <w:rPr>
                <w:rFonts w:ascii="Times New Roman" w:hAnsi="Times New Roman" w:cs="B Nazanin"/>
                <w:sz w:val="20"/>
                <w:szCs w:val="24"/>
                <w:rtl w:val="1"/>
              </w:rPr>
              <w:t>جامع</w:t>
            </w:r>
          </w:p>
        </w:tc>
        <w:tc>
          <w:tcPr>
            <w:tcW w:type="dxa" w:w="2126"/>
          </w:tcPr>
          <w:p>
            <w:pPr>
              <w:bidi w:val="1"/>
              <w:spacing w:line="312" w:lineRule="auto" w:before="0" w:after="120"/>
              <w:jc w:val="center"/>
            </w:pPr>
            <w:r/>
            <w:r>
              <w:rPr>
                <w:rFonts w:ascii="Times New Roman" w:hAnsi="Times New Roman" w:cs="B Nazanin"/>
                <w:sz w:val="20"/>
                <w:szCs w:val="24"/>
                <w:rtl w:val="1"/>
              </w:rPr>
              <w:t>موضوعی</w:t>
            </w:r>
          </w:p>
        </w:tc>
        <w:tc>
          <w:tcPr>
            <w:tcW w:type="dxa" w:w="2126"/>
          </w:tcPr>
          <w:p>
            <w:pPr>
              <w:bidi w:val="1"/>
              <w:spacing w:line="312" w:lineRule="auto" w:before="0" w:after="120"/>
              <w:jc w:val="center"/>
            </w:pPr>
            <w:r/>
            <w:r>
              <w:rPr>
                <w:rFonts w:ascii="Times New Roman" w:hAnsi="Times New Roman" w:cs="B Nazanin"/>
                <w:sz w:val="20"/>
                <w:szCs w:val="24"/>
                <w:rtl w:val="1"/>
              </w:rPr>
              <w:t>موضوعی</w:t>
            </w:r>
          </w:p>
        </w:tc>
      </w:tr>
      <w:tr>
        <w:tc>
          <w:tcPr>
            <w:tcW w:type="dxa" w:w="2126"/>
          </w:tcPr>
          <w:p>
            <w:pPr>
              <w:bidi w:val="1"/>
              <w:spacing w:line="312" w:lineRule="auto" w:before="0" w:after="120"/>
              <w:jc w:val="center"/>
            </w:pPr>
            <w:r/>
            <w:r>
              <w:rPr>
                <w:rFonts w:ascii="Times New Roman" w:hAnsi="Times New Roman" w:cs="B Nazanin"/>
                <w:sz w:val="20"/>
                <w:szCs w:val="24"/>
                <w:rtl w:val="1"/>
              </w:rPr>
              <w:t>سطحِ تعهدات</w:t>
            </w:r>
          </w:p>
        </w:tc>
        <w:tc>
          <w:tcPr>
            <w:tcW w:type="dxa" w:w="2126"/>
          </w:tcPr>
          <w:p>
            <w:pPr>
              <w:bidi w:val="1"/>
              <w:spacing w:line="312" w:lineRule="auto" w:before="0" w:after="120"/>
              <w:jc w:val="center"/>
            </w:pPr>
            <w:r/>
            <w:r>
              <w:rPr>
                <w:rFonts w:ascii="Times New Roman" w:hAnsi="Times New Roman" w:cs="B Nazanin"/>
                <w:sz w:val="20"/>
                <w:szCs w:val="24"/>
                <w:rtl w:val="1"/>
              </w:rPr>
              <w:t>گسترده</w:t>
            </w:r>
          </w:p>
        </w:tc>
        <w:tc>
          <w:tcPr>
            <w:tcW w:type="dxa" w:w="2126"/>
          </w:tcPr>
          <w:p>
            <w:pPr>
              <w:bidi w:val="1"/>
              <w:spacing w:line="312" w:lineRule="auto" w:before="0" w:after="120"/>
              <w:jc w:val="center"/>
            </w:pPr>
            <w:r/>
            <w:r>
              <w:rPr>
                <w:rFonts w:ascii="Times New Roman" w:hAnsi="Times New Roman" w:cs="B Nazanin"/>
                <w:sz w:val="20"/>
                <w:szCs w:val="24"/>
                <w:rtl w:val="1"/>
              </w:rPr>
              <w:t>محدودتر</w:t>
            </w:r>
          </w:p>
        </w:tc>
        <w:tc>
          <w:tcPr>
            <w:tcW w:type="dxa" w:w="2126"/>
          </w:tcPr>
          <w:p>
            <w:pPr>
              <w:bidi w:val="1"/>
              <w:spacing w:line="312" w:lineRule="auto" w:before="0" w:after="120"/>
              <w:jc w:val="center"/>
            </w:pPr>
            <w:r/>
            <w:r>
              <w:rPr>
                <w:rFonts w:ascii="Times New Roman" w:hAnsi="Times New Roman" w:cs="B Nazanin"/>
                <w:sz w:val="20"/>
                <w:szCs w:val="24"/>
                <w:rtl w:val="1"/>
              </w:rPr>
              <w:t>محدودتر</w:t>
            </w:r>
          </w:p>
        </w:tc>
      </w:tr>
      <w:tr>
        <w:tc>
          <w:tcPr>
            <w:tcW w:type="dxa" w:w="2126"/>
          </w:tcPr>
          <w:p>
            <w:pPr>
              <w:bidi w:val="1"/>
              <w:spacing w:line="312" w:lineRule="auto" w:before="0" w:after="120"/>
              <w:jc w:val="center"/>
            </w:pPr>
            <w:r/>
            <w:r>
              <w:rPr>
                <w:rFonts w:ascii="Times New Roman" w:hAnsi="Times New Roman" w:cs="B Nazanin"/>
                <w:sz w:val="20"/>
                <w:szCs w:val="24"/>
                <w:rtl w:val="1"/>
              </w:rPr>
              <w:t>تعدادِ ذی‌نفعان</w:t>
            </w:r>
          </w:p>
        </w:tc>
        <w:tc>
          <w:tcPr>
            <w:tcW w:type="dxa" w:w="2126"/>
          </w:tcPr>
          <w:p>
            <w:pPr>
              <w:bidi w:val="1"/>
              <w:spacing w:line="312" w:lineRule="auto" w:before="0" w:after="120"/>
              <w:jc w:val="center"/>
            </w:pPr>
            <w:r/>
            <w:r>
              <w:rPr>
                <w:rFonts w:ascii="Times New Roman" w:hAnsi="Times New Roman" w:cs="B Nazanin"/>
                <w:sz w:val="20"/>
                <w:szCs w:val="24"/>
                <w:rtl w:val="1"/>
              </w:rPr>
              <w:t>بسیار زیاد</w:t>
            </w:r>
          </w:p>
        </w:tc>
        <w:tc>
          <w:tcPr>
            <w:tcW w:type="dxa" w:w="2126"/>
          </w:tcPr>
          <w:p>
            <w:pPr>
              <w:bidi w:val="1"/>
              <w:spacing w:line="312" w:lineRule="auto" w:before="0" w:after="120"/>
              <w:jc w:val="center"/>
            </w:pPr>
            <w:r/>
            <w:r>
              <w:rPr>
                <w:rFonts w:ascii="Times New Roman" w:hAnsi="Times New Roman" w:cs="B Nazanin"/>
                <w:sz w:val="20"/>
                <w:szCs w:val="24"/>
                <w:rtl w:val="1"/>
              </w:rPr>
              <w:t>زیاد</w:t>
            </w:r>
          </w:p>
        </w:tc>
        <w:tc>
          <w:tcPr>
            <w:tcW w:type="dxa" w:w="2126"/>
          </w:tcPr>
          <w:p>
            <w:pPr>
              <w:bidi w:val="1"/>
              <w:spacing w:line="312" w:lineRule="auto" w:before="0" w:after="120"/>
              <w:jc w:val="center"/>
            </w:pPr>
            <w:r/>
            <w:r>
              <w:rPr>
                <w:rFonts w:ascii="Times New Roman" w:hAnsi="Times New Roman" w:cs="B Nazanin"/>
                <w:sz w:val="20"/>
                <w:szCs w:val="24"/>
                <w:rtl w:val="1"/>
              </w:rPr>
              <w:t>زیاد</w:t>
            </w:r>
          </w:p>
        </w:tc>
      </w:tr>
      <w:tr>
        <w:tc>
          <w:tcPr>
            <w:tcW w:type="dxa" w:w="2126"/>
          </w:tcPr>
          <w:p>
            <w:pPr>
              <w:bidi w:val="1"/>
              <w:spacing w:line="312" w:lineRule="auto" w:before="0" w:after="120"/>
              <w:jc w:val="center"/>
            </w:pPr>
            <w:r/>
            <w:r>
              <w:rPr>
                <w:rFonts w:ascii="Times New Roman" w:hAnsi="Times New Roman" w:cs="B Nazanin"/>
                <w:sz w:val="20"/>
                <w:szCs w:val="24"/>
                <w:rtl w:val="1"/>
              </w:rPr>
              <w:t>تعارضِ منافع</w:t>
            </w:r>
          </w:p>
        </w:tc>
        <w:tc>
          <w:tcPr>
            <w:tcW w:type="dxa" w:w="2126"/>
          </w:tcPr>
          <w:p>
            <w:pPr>
              <w:bidi w:val="1"/>
              <w:spacing w:line="312" w:lineRule="auto" w:before="0" w:after="120"/>
              <w:jc w:val="center"/>
            </w:pPr>
            <w:r/>
            <w:r>
              <w:rPr>
                <w:rFonts w:ascii="Times New Roman" w:hAnsi="Times New Roman" w:cs="B Nazanin"/>
                <w:sz w:val="20"/>
                <w:szCs w:val="24"/>
                <w:rtl w:val="1"/>
              </w:rPr>
              <w:t>بسیار زیاد</w:t>
            </w:r>
          </w:p>
        </w:tc>
        <w:tc>
          <w:tcPr>
            <w:tcW w:type="dxa" w:w="2126"/>
          </w:tcPr>
          <w:p>
            <w:pPr>
              <w:bidi w:val="1"/>
              <w:spacing w:line="312" w:lineRule="auto" w:before="0" w:after="120"/>
              <w:jc w:val="center"/>
            </w:pPr>
            <w:r/>
            <w:r>
              <w:rPr>
                <w:rFonts w:ascii="Times New Roman" w:hAnsi="Times New Roman" w:cs="B Nazanin"/>
                <w:sz w:val="20"/>
                <w:szCs w:val="24"/>
                <w:rtl w:val="1"/>
              </w:rPr>
              <w:t>زیاد</w:t>
            </w:r>
          </w:p>
        </w:tc>
        <w:tc>
          <w:tcPr>
            <w:tcW w:type="dxa" w:w="2126"/>
          </w:tcPr>
          <w:p>
            <w:pPr>
              <w:bidi w:val="1"/>
              <w:spacing w:line="312" w:lineRule="auto" w:before="0" w:after="120"/>
              <w:jc w:val="center"/>
            </w:pPr>
            <w:r/>
            <w:r>
              <w:rPr>
                <w:rFonts w:ascii="Times New Roman" w:hAnsi="Times New Roman" w:cs="B Nazanin"/>
                <w:sz w:val="20"/>
                <w:szCs w:val="24"/>
                <w:rtl w:val="1"/>
              </w:rPr>
              <w:t>زیاد</w:t>
            </w:r>
          </w:p>
        </w:tc>
      </w:tr>
      <w:tr>
        <w:tc>
          <w:tcPr>
            <w:tcW w:type="dxa" w:w="2126"/>
          </w:tcPr>
          <w:p>
            <w:pPr>
              <w:bidi w:val="1"/>
              <w:spacing w:line="312" w:lineRule="auto" w:before="0" w:after="120"/>
              <w:jc w:val="center"/>
            </w:pPr>
            <w:r/>
            <w:r>
              <w:rPr>
                <w:rFonts w:ascii="Times New Roman" w:hAnsi="Times New Roman" w:cs="B Nazanin"/>
                <w:sz w:val="20"/>
                <w:szCs w:val="24"/>
                <w:rtl w:val="1"/>
              </w:rPr>
              <w:t>نقشِ صنعت</w:t>
            </w:r>
          </w:p>
        </w:tc>
        <w:tc>
          <w:tcPr>
            <w:tcW w:type="dxa" w:w="2126"/>
          </w:tcPr>
          <w:p>
            <w:pPr>
              <w:bidi w:val="1"/>
              <w:spacing w:line="312" w:lineRule="auto" w:before="0" w:after="120"/>
              <w:jc w:val="center"/>
            </w:pPr>
            <w:r/>
            <w:r>
              <w:rPr>
                <w:rFonts w:ascii="Times New Roman" w:hAnsi="Times New Roman" w:cs="B Nazanin"/>
                <w:sz w:val="20"/>
                <w:szCs w:val="24"/>
                <w:rtl w:val="1"/>
              </w:rPr>
              <w:t>گسترده</w:t>
            </w:r>
          </w:p>
        </w:tc>
        <w:tc>
          <w:tcPr>
            <w:tcW w:type="dxa" w:w="2126"/>
          </w:tcPr>
          <w:p>
            <w:pPr>
              <w:bidi w:val="1"/>
              <w:spacing w:line="312" w:lineRule="auto" w:before="0" w:after="120"/>
              <w:jc w:val="center"/>
            </w:pPr>
            <w:r/>
            <w:r>
              <w:rPr>
                <w:rFonts w:ascii="Times New Roman" w:hAnsi="Times New Roman" w:cs="B Nazanin"/>
                <w:sz w:val="20"/>
                <w:szCs w:val="24"/>
                <w:rtl w:val="1"/>
              </w:rPr>
              <w:t>بسیار مهم</w:t>
            </w:r>
          </w:p>
        </w:tc>
        <w:tc>
          <w:tcPr>
            <w:tcW w:type="dxa" w:w="2126"/>
          </w:tcPr>
          <w:p>
            <w:pPr>
              <w:bidi w:val="1"/>
              <w:spacing w:line="312" w:lineRule="auto" w:before="0" w:after="120"/>
              <w:jc w:val="center"/>
            </w:pPr>
            <w:r/>
            <w:r>
              <w:rPr>
                <w:rFonts w:ascii="Times New Roman" w:hAnsi="Times New Roman" w:cs="B Nazanin"/>
                <w:sz w:val="20"/>
                <w:szCs w:val="24"/>
                <w:rtl w:val="1"/>
              </w:rPr>
              <w:t>متوسط/زیاد</w:t>
            </w:r>
          </w:p>
        </w:tc>
      </w:tr>
      <w:tr>
        <w:tc>
          <w:tcPr>
            <w:tcW w:type="dxa" w:w="2126"/>
          </w:tcPr>
          <w:p>
            <w:pPr>
              <w:bidi w:val="1"/>
              <w:spacing w:line="312" w:lineRule="auto" w:before="0" w:after="120"/>
              <w:jc w:val="center"/>
            </w:pPr>
            <w:r/>
            <w:r>
              <w:rPr>
                <w:rFonts w:ascii="Times New Roman" w:hAnsi="Times New Roman" w:cs="B Nazanin"/>
                <w:sz w:val="20"/>
                <w:szCs w:val="24"/>
                <w:rtl w:val="1"/>
              </w:rPr>
              <w:t>نقشِ دولت‌های در حال توسعه</w:t>
            </w:r>
          </w:p>
        </w:tc>
        <w:tc>
          <w:tcPr>
            <w:tcW w:type="dxa" w:w="2126"/>
          </w:tcPr>
          <w:p>
            <w:pPr>
              <w:bidi w:val="1"/>
              <w:spacing w:line="312" w:lineRule="auto" w:before="0" w:after="120"/>
              <w:jc w:val="center"/>
            </w:pPr>
            <w:r/>
            <w:r>
              <w:rPr>
                <w:rFonts w:ascii="Times New Roman" w:hAnsi="Times New Roman" w:cs="B Nazanin"/>
                <w:sz w:val="20"/>
                <w:szCs w:val="24"/>
                <w:rtl w:val="1"/>
              </w:rPr>
              <w:t>بسیار مهم</w:t>
            </w:r>
          </w:p>
        </w:tc>
        <w:tc>
          <w:tcPr>
            <w:tcW w:type="dxa" w:w="2126"/>
          </w:tcPr>
          <w:p>
            <w:pPr>
              <w:bidi w:val="1"/>
              <w:spacing w:line="312" w:lineRule="auto" w:before="0" w:after="120"/>
              <w:jc w:val="center"/>
            </w:pPr>
            <w:r/>
            <w:r>
              <w:rPr>
                <w:rFonts w:ascii="Times New Roman" w:hAnsi="Times New Roman" w:cs="B Nazanin"/>
                <w:sz w:val="20"/>
                <w:szCs w:val="24"/>
                <w:rtl w:val="1"/>
              </w:rPr>
              <w:t>بسیار مهم</w:t>
            </w:r>
          </w:p>
        </w:tc>
        <w:tc>
          <w:tcPr>
            <w:tcW w:type="dxa" w:w="2126"/>
          </w:tcPr>
          <w:p>
            <w:pPr>
              <w:bidi w:val="1"/>
              <w:spacing w:line="312" w:lineRule="auto" w:before="0" w:after="120"/>
              <w:jc w:val="center"/>
            </w:pPr>
            <w:r/>
            <w:r>
              <w:rPr>
                <w:rFonts w:ascii="Times New Roman" w:hAnsi="Times New Roman" w:cs="B Nazanin"/>
                <w:sz w:val="20"/>
                <w:szCs w:val="24"/>
                <w:rtl w:val="1"/>
              </w:rPr>
              <w:t>مهم</w:t>
            </w:r>
          </w:p>
        </w:tc>
      </w:tr>
      <w:tr>
        <w:tc>
          <w:tcPr>
            <w:tcW w:type="dxa" w:w="2126"/>
          </w:tcPr>
          <w:p>
            <w:pPr>
              <w:bidi w:val="1"/>
              <w:spacing w:line="312" w:lineRule="auto" w:before="0" w:after="120"/>
              <w:jc w:val="center"/>
            </w:pPr>
            <w:r/>
            <w:r>
              <w:rPr>
                <w:rFonts w:ascii="Times New Roman" w:hAnsi="Times New Roman" w:cs="B Nazanin"/>
                <w:sz w:val="20"/>
                <w:szCs w:val="24"/>
                <w:rtl w:val="1"/>
              </w:rPr>
              <w:t>ساختارِ مذاکرات</w:t>
            </w:r>
          </w:p>
        </w:tc>
        <w:tc>
          <w:tcPr>
            <w:tcW w:type="dxa" w:w="2126"/>
          </w:tcPr>
          <w:p>
            <w:pPr>
              <w:bidi w:val="1"/>
              <w:spacing w:line="312" w:lineRule="auto" w:before="0" w:after="120"/>
              <w:jc w:val="center"/>
            </w:pPr>
            <w:r/>
            <w:r>
              <w:rPr>
                <w:rFonts w:ascii="Times New Roman" w:hAnsi="Times New Roman" w:cs="B Nazanin"/>
                <w:sz w:val="20"/>
                <w:szCs w:val="24"/>
                <w:rtl w:val="1"/>
              </w:rPr>
              <w:t>جامع</w:t>
            </w:r>
          </w:p>
        </w:tc>
        <w:tc>
          <w:tcPr>
            <w:tcW w:type="dxa" w:w="2126"/>
          </w:tcPr>
          <w:p>
            <w:pPr>
              <w:bidi w:val="1"/>
              <w:spacing w:line="312" w:lineRule="auto" w:before="0" w:after="120"/>
              <w:jc w:val="center"/>
            </w:pPr>
            <w:r/>
            <w:r>
              <w:rPr>
                <w:rFonts w:ascii="Times New Roman" w:hAnsi="Times New Roman" w:cs="B Nazanin"/>
                <w:sz w:val="20"/>
                <w:szCs w:val="24"/>
                <w:rtl w:val="1"/>
              </w:rPr>
              <w:t>بخشی</w:t>
            </w:r>
          </w:p>
        </w:tc>
        <w:tc>
          <w:tcPr>
            <w:tcW w:type="dxa" w:w="2126"/>
          </w:tcPr>
          <w:p>
            <w:pPr>
              <w:bidi w:val="1"/>
              <w:spacing w:line="312" w:lineRule="auto" w:before="0" w:after="120"/>
              <w:jc w:val="center"/>
            </w:pPr>
            <w:r/>
            <w:r>
              <w:rPr>
                <w:rFonts w:ascii="Times New Roman" w:hAnsi="Times New Roman" w:cs="B Nazanin"/>
                <w:sz w:val="20"/>
                <w:szCs w:val="24"/>
                <w:rtl w:val="1"/>
              </w:rPr>
              <w:t>بخشی</w:t>
            </w:r>
          </w:p>
        </w:tc>
      </w:tr>
      <w:tr>
        <w:tc>
          <w:tcPr>
            <w:tcW w:type="dxa" w:w="2126"/>
          </w:tcPr>
          <w:p>
            <w:pPr>
              <w:bidi w:val="1"/>
              <w:spacing w:line="312" w:lineRule="auto" w:before="0" w:after="120"/>
              <w:jc w:val="center"/>
            </w:pPr>
            <w:r/>
            <w:r>
              <w:rPr>
                <w:rFonts w:ascii="Times New Roman" w:hAnsi="Times New Roman" w:cs="B Nazanin"/>
                <w:sz w:val="20"/>
                <w:szCs w:val="24"/>
                <w:rtl w:val="1"/>
              </w:rPr>
              <w:t>امکانِ اجماع</w:t>
            </w:r>
          </w:p>
        </w:tc>
        <w:tc>
          <w:tcPr>
            <w:tcW w:type="dxa" w:w="2126"/>
          </w:tcPr>
          <w:p>
            <w:pPr>
              <w:bidi w:val="1"/>
              <w:spacing w:line="312" w:lineRule="auto" w:before="0" w:after="120"/>
              <w:jc w:val="center"/>
            </w:pPr>
            <w:r/>
            <w:r>
              <w:rPr>
                <w:rFonts w:ascii="Times New Roman" w:hAnsi="Times New Roman" w:cs="B Nazanin"/>
                <w:sz w:val="20"/>
                <w:szCs w:val="24"/>
                <w:rtl w:val="1"/>
              </w:rPr>
              <w:t>دشوار</w:t>
            </w:r>
          </w:p>
        </w:tc>
        <w:tc>
          <w:tcPr>
            <w:tcW w:type="dxa" w:w="2126"/>
          </w:tcPr>
          <w:p>
            <w:pPr>
              <w:bidi w:val="1"/>
              <w:spacing w:line="312" w:lineRule="auto" w:before="0" w:after="120"/>
              <w:jc w:val="center"/>
            </w:pPr>
            <w:r/>
            <w:r>
              <w:rPr>
                <w:rFonts w:ascii="Times New Roman" w:hAnsi="Times New Roman" w:cs="B Nazanin"/>
                <w:sz w:val="20"/>
                <w:szCs w:val="24"/>
                <w:rtl w:val="1"/>
              </w:rPr>
              <w:t>نسبتاً بیشتر</w:t>
            </w:r>
          </w:p>
        </w:tc>
        <w:tc>
          <w:tcPr>
            <w:tcW w:type="dxa" w:w="2126"/>
          </w:tcPr>
          <w:p>
            <w:pPr>
              <w:bidi w:val="1"/>
              <w:spacing w:line="312" w:lineRule="auto" w:before="0" w:after="120"/>
              <w:jc w:val="center"/>
            </w:pPr>
            <w:r/>
            <w:r>
              <w:rPr>
                <w:rFonts w:ascii="Times New Roman" w:hAnsi="Times New Roman" w:cs="B Nazanin"/>
                <w:sz w:val="20"/>
                <w:szCs w:val="24"/>
                <w:rtl w:val="1"/>
              </w:rPr>
              <w:t>امکان‌پذیرتر</w:t>
            </w:r>
          </w:p>
        </w:tc>
      </w:tr>
      <w:tr>
        <w:tc>
          <w:tcPr>
            <w:tcW w:type="dxa" w:w="2126"/>
          </w:tcPr>
          <w:p>
            <w:pPr>
              <w:bidi w:val="1"/>
              <w:spacing w:line="312" w:lineRule="auto" w:before="0" w:after="120"/>
              <w:jc w:val="center"/>
            </w:pPr>
            <w:r/>
            <w:r>
              <w:rPr>
                <w:rFonts w:ascii="Times New Roman" w:hAnsi="Times New Roman" w:cs="B Nazanin"/>
                <w:sz w:val="20"/>
                <w:szCs w:val="24"/>
                <w:rtl w:val="1"/>
              </w:rPr>
              <w:t>نتیجه</w:t>
            </w:r>
          </w:p>
        </w:tc>
        <w:tc>
          <w:tcPr>
            <w:tcW w:type="dxa" w:w="2126"/>
          </w:tcPr>
          <w:p>
            <w:pPr>
              <w:bidi w:val="1"/>
              <w:spacing w:line="312" w:lineRule="auto" w:before="0" w:after="120"/>
              <w:jc w:val="center"/>
            </w:pPr>
            <w:r/>
            <w:r>
              <w:rPr>
                <w:rFonts w:ascii="Times New Roman" w:hAnsi="Times New Roman" w:cs="B Nazanin"/>
                <w:sz w:val="20"/>
                <w:szCs w:val="24"/>
                <w:rtl w:val="1"/>
              </w:rPr>
              <w:t>شکست</w:t>
            </w:r>
          </w:p>
        </w:tc>
        <w:tc>
          <w:tcPr>
            <w:tcW w:type="dxa" w:w="2126"/>
          </w:tcPr>
          <w:p>
            <w:pPr>
              <w:bidi w:val="1"/>
              <w:spacing w:line="312" w:lineRule="auto" w:before="0" w:after="120"/>
              <w:jc w:val="center"/>
            </w:pPr>
            <w:r/>
            <w:r>
              <w:rPr>
                <w:rFonts w:ascii="Times New Roman" w:hAnsi="Times New Roman" w:cs="B Nazanin"/>
                <w:sz w:val="20"/>
                <w:szCs w:val="24"/>
                <w:rtl w:val="1"/>
              </w:rPr>
              <w:t>مسیرِ مذاکره</w:t>
            </w:r>
          </w:p>
        </w:tc>
        <w:tc>
          <w:tcPr>
            <w:tcW w:type="dxa" w:w="2126"/>
          </w:tcPr>
          <w:p>
            <w:pPr>
              <w:bidi w:val="1"/>
              <w:spacing w:line="312" w:lineRule="auto" w:before="0" w:after="120"/>
              <w:jc w:val="center"/>
            </w:pPr>
            <w:r/>
            <w:r>
              <w:rPr>
                <w:rFonts w:ascii="Times New Roman" w:hAnsi="Times New Roman" w:cs="B Nazanin"/>
                <w:sz w:val="20"/>
                <w:szCs w:val="24"/>
                <w:rtl w:val="1"/>
              </w:rPr>
              <w:t>توافق/پیشرفت</w:t>
            </w:r>
          </w:p>
        </w:tc>
      </w:tr>
      <w:tr>
        <w:tc>
          <w:tcPr>
            <w:tcW w:type="dxa" w:w="2126"/>
          </w:tcPr>
          <w:p>
            <w:pPr>
              <w:bidi w:val="1"/>
              <w:spacing w:line="312" w:lineRule="auto" w:before="0" w:after="120"/>
              <w:jc w:val="center"/>
            </w:pPr>
            <w:r/>
            <w:r>
              <w:rPr>
                <w:rFonts w:ascii="Times New Roman" w:hAnsi="Times New Roman" w:cs="B Nazanin"/>
                <w:sz w:val="20"/>
                <w:szCs w:val="24"/>
                <w:rtl w:val="1"/>
              </w:rPr>
              <w:t>درس برای رساله</w:t>
            </w:r>
          </w:p>
        </w:tc>
        <w:tc>
          <w:tcPr>
            <w:tcW w:type="dxa" w:w="2126"/>
          </w:tcPr>
          <w:p>
            <w:pPr>
              <w:bidi w:val="1"/>
              <w:spacing w:line="312" w:lineRule="auto" w:before="0" w:after="120"/>
              <w:jc w:val="center"/>
            </w:pPr>
            <w:r/>
            <w:r>
              <w:rPr>
                <w:rFonts w:ascii="Times New Roman" w:hAnsi="Times New Roman" w:cs="B Nazanin"/>
                <w:sz w:val="20"/>
                <w:szCs w:val="24"/>
                <w:rtl w:val="1"/>
              </w:rPr>
              <w:t>اهمیتِ انسجام</w:t>
            </w:r>
          </w:p>
        </w:tc>
        <w:tc>
          <w:tcPr>
            <w:tcW w:type="dxa" w:w="2126"/>
          </w:tcPr>
          <w:p>
            <w:pPr>
              <w:bidi w:val="1"/>
              <w:spacing w:line="312" w:lineRule="auto" w:before="0" w:after="120"/>
              <w:jc w:val="center"/>
            </w:pPr>
            <w:r/>
            <w:r>
              <w:rPr>
                <w:rFonts w:ascii="Times New Roman" w:hAnsi="Times New Roman" w:cs="B Nazanin"/>
                <w:sz w:val="20"/>
                <w:szCs w:val="24"/>
                <w:rtl w:val="1"/>
              </w:rPr>
              <w:t>مزیتِ مرحله‌ای‌بودن</w:t>
            </w:r>
          </w:p>
        </w:tc>
        <w:tc>
          <w:tcPr>
            <w:tcW w:type="dxa" w:w="2126"/>
          </w:tcPr>
          <w:p>
            <w:pPr>
              <w:bidi w:val="1"/>
              <w:spacing w:line="312" w:lineRule="auto" w:before="0" w:after="120"/>
              <w:jc w:val="center"/>
            </w:pPr>
            <w:r/>
            <w:r>
              <w:rPr>
                <w:rFonts w:ascii="Times New Roman" w:hAnsi="Times New Roman" w:cs="B Nazanin"/>
                <w:sz w:val="20"/>
                <w:szCs w:val="24"/>
                <w:rtl w:val="1"/>
              </w:rPr>
              <w:t>مزیتِ رویکردِ موضوعی</w:t>
            </w:r>
          </w:p>
        </w:tc>
      </w:tr>
    </w:tbl>
    <w:p/>
    <w:p>
      <w:pPr>
        <w:pStyle w:val="GPEHeading3"/>
        <w:bidi w:val="1"/>
        <w:spacing w:line="312" w:lineRule="auto" w:before="200" w:after="120"/>
        <w:jc w:val="right"/>
      </w:pPr>
      <w:r>
        <w:rPr>
          <w:rFonts w:ascii="Times New Roman" w:hAnsi="Times New Roman" w:cs="B Nazanin"/>
          <w:sz w:val="24"/>
          <w:szCs w:val="24"/>
          <w:rtl w:val="1"/>
          <w:b/>
          <w:bCs/>
          <w:color w:val="14203a"/>
        </w:rPr>
        <w:t>۴-۴-۶ مواضعِ دولت‌ها: تحلیلِ کشورمحور</w:t>
      </w:r>
    </w:p>
    <w:p>
      <w:pPr>
        <w:bidi w:val="1"/>
        <w:spacing w:line="312" w:lineRule="auto" w:before="0" w:after="120"/>
        <w:ind w:firstLine="454"/>
        <w:jc w:val="both"/>
      </w:pPr>
      <w:r>
        <w:rPr>
          <w:rFonts w:ascii="Times New Roman" w:hAnsi="Times New Roman" w:cs="B Nazanin"/>
          <w:sz w:val="22"/>
          <w:szCs w:val="28"/>
          <w:rtl w:val="1"/>
        </w:rPr>
        <w:t>اتحادیهٔ اروپا: پیشرانِ اصلیِ چارچوبِ جامع بود؛ انگیزهٔ آن ترکیبی از منافعِ حقوقی (تثبیتِ اصولِ زیست‌محیطی)، منافعِ سیاسی (رهبریِ هنجاری) و سیاستِ زیست‌محیطیِ داخلیِ پیشرفته بود. با این حال، حتی حمایتِ اتحادیه نتوانست بر مقاومتِ دیگر بازیگران فائق آید.</w:t>
      </w:r>
    </w:p>
    <w:p>
      <w:pPr>
        <w:bidi w:val="1"/>
        <w:spacing w:line="312" w:lineRule="auto" w:before="0" w:after="120"/>
        <w:ind w:firstLine="454"/>
        <w:jc w:val="both"/>
      </w:pPr>
      <w:r>
        <w:rPr>
          <w:rFonts w:ascii="Times New Roman" w:hAnsi="Times New Roman" w:cs="B Nazanin"/>
          <w:sz w:val="22"/>
          <w:szCs w:val="28"/>
          <w:rtl w:val="1"/>
        </w:rPr>
        <w:t>ایالات متحده: نگرانی از محدودیتِ حاکمیت، بارِ تعهداتِ تازه، هزینه‌های حقوقی و ابهامِ جایگاهِ پیمان نسبت به قواعدِ موجود، موضعی محتاط تا مخالف پدید آورد.</w:t>
      </w:r>
    </w:p>
    <w:p>
      <w:pPr>
        <w:bidi w:val="1"/>
        <w:spacing w:line="312" w:lineRule="auto" w:before="0" w:after="120"/>
        <w:ind w:firstLine="454"/>
        <w:jc w:val="both"/>
      </w:pPr>
      <w:r>
        <w:rPr>
          <w:rFonts w:ascii="Times New Roman" w:hAnsi="Times New Roman" w:cs="B Nazanin"/>
          <w:sz w:val="22"/>
          <w:szCs w:val="28"/>
          <w:rtl w:val="1"/>
        </w:rPr>
        <w:t>روسیه: تأکید بر نگرانی‌های حاکمیتی، حساسیت به ساختارِ حقوقیِ الزام‌آور، مقاومت در برابرِ تعهداتِ تازه و ملاحظاتِ ژئوپلیتیکی، آن را در صفِ مخالفانِ عملی قرار داد.</w:t>
      </w:r>
    </w:p>
    <w:p>
      <w:pPr>
        <w:bidi w:val="1"/>
        <w:spacing w:line="312" w:lineRule="auto" w:before="0" w:after="120"/>
        <w:ind w:firstLine="454"/>
        <w:jc w:val="both"/>
      </w:pPr>
      <w:r>
        <w:rPr>
          <w:rFonts w:ascii="Times New Roman" w:hAnsi="Times New Roman" w:cs="B Nazanin"/>
          <w:sz w:val="22"/>
          <w:szCs w:val="28"/>
          <w:rtl w:val="1"/>
        </w:rPr>
        <w:t>کشورهای در حال توسعه: باید از برچسبِ ساده‌انگارانهٔ «مخالفِ پیمان» پرهیز کرد. موضعِ این گروه تابعِ شش ملاحظه بود: عدالتِ زیست‌محیطی، اصلِ مسئولیتِ مشترک اما متفاوت، تأمینِ مالی، انتقالِ فناوری، ظرفیتِ اجرایی و حقِ توسعهٔ اقتصادی. حمایتِ آنان مشروط به تضمینِ این ملاحظات بود، نه مخالفتِ اصولی با ایدهٔ انسجام.</w:t>
      </w:r>
    </w:p>
    <w:p>
      <w:pPr>
        <w:bidi w:val="1"/>
        <w:spacing w:line="312" w:lineRule="auto" w:before="0" w:after="120"/>
        <w:ind w:firstLine="454"/>
        <w:jc w:val="both"/>
      </w:pPr>
      <w:r>
        <w:rPr>
          <w:rFonts w:ascii="Times New Roman" w:hAnsi="Times New Roman" w:cs="B Nazanin"/>
          <w:sz w:val="22"/>
          <w:szCs w:val="28"/>
          <w:rtl w:val="1"/>
        </w:rPr>
        <w:t>جمع‌بندیِ کشورمحور نشان می‌دهد شکستِ پیمان محصولِ یک صف‌بندیِ سادهٔ موافق/مخالف نبود، بلکه برایندِ منافع، حاکمیت و عدالتِ توزیعیِ متعارض بود؛ همان چیزی که یک معاهدهٔ جامعِ یک‌سندی کمترین ظرفیت را برای مدیریتِ آن داشت.</w:t>
      </w:r>
    </w:p>
    <w:p>
      <w:pPr>
        <w:pStyle w:val="GPEHeading3"/>
        <w:bidi w:val="1"/>
        <w:spacing w:line="312" w:lineRule="auto" w:before="200" w:after="120"/>
        <w:jc w:val="right"/>
      </w:pPr>
      <w:r>
        <w:rPr>
          <w:rFonts w:ascii="Times New Roman" w:hAnsi="Times New Roman" w:cs="B Nazanin"/>
          <w:sz w:val="24"/>
          <w:szCs w:val="24"/>
          <w:rtl w:val="1"/>
          <w:b/>
          <w:bCs/>
          <w:color w:val="14203a"/>
        </w:rPr>
        <w:t>۴-۴-۷ عملیاتی‌سازیِ نقشهٔ راهِ جایگزین: از توصیه تا سازوکار</w:t>
      </w:r>
    </w:p>
    <w:p>
      <w:pPr>
        <w:bidi w:val="1"/>
        <w:spacing w:line="312" w:lineRule="auto" w:before="0" w:after="120"/>
        <w:ind w:firstLine="454"/>
        <w:jc w:val="both"/>
      </w:pPr>
      <w:r>
        <w:rPr>
          <w:rFonts w:ascii="Times New Roman" w:hAnsi="Times New Roman" w:cs="B Nazanin"/>
          <w:sz w:val="22"/>
          <w:szCs w:val="28"/>
          <w:rtl w:val="1"/>
        </w:rPr>
        <w:t>نقشهٔ راهِ جایگزینِ رساله بر شش محور استوار است: توسعهٔ رویهٔ قضایی، تقویتِ برنامهٔ محیط‌زیستِ ملل متحد (UNEP)، بازبینیِ دوره‌ای، خوشه‌بندیِ MEAها، بهره‌گیریِ سنجیده از حقوق نرم و تفسیرِ هماهنگِ اصول. ایرادِ اصلیِ نسخهٔ پیشین آن بود که این محورها در سطحِ توصیه می‌ماندند؛ اینجا هر پیشنهاد با هشت پرسشِ عملیاتی مشخص می‌شود: چه نهادی، چه صلاحیتی، چه سندی، چه سازوکاری، چه دولت‌هایی، چه منابعی، چه محدودیت‌هایی و چه شاخصی برای موفقیت.</w:t>
      </w:r>
    </w:p>
    <w:p>
      <w:pPr>
        <w:bidi w:val="1"/>
        <w:spacing w:line="312" w:lineRule="auto" w:before="0" w:after="120"/>
        <w:ind w:firstLine="454"/>
        <w:jc w:val="both"/>
      </w:pPr>
      <w:r>
        <w:rPr>
          <w:rFonts w:ascii="Times New Roman" w:hAnsi="Times New Roman" w:cs="B Nazanin"/>
          <w:sz w:val="22"/>
          <w:szCs w:val="28"/>
          <w:rtl w:val="1"/>
        </w:rPr>
        <w:t>تقویتِ UNEP: به‌جای توصیهٔ کلی، باید صلاحیت‌های کنونیِ آن، محدودیت‌هایش و اختیاراتِ پیشنهادی تصریح شود و روشن گردد که آیا ایجادِ صلاحیتِ تازه مستلزمِ معاهده است یا با اصلاحِ ساختارِ نهادی و رزولوشنِ مجمعِ محیط‌زیست (UNEA) ممکن است. شاخصِ موفقیت: افزایشِ هماهنگیِ گزارش‌دهیِ میان‌رژیمی.</w:t>
      </w:r>
    </w:p>
    <w:p>
      <w:pPr>
        <w:bidi w:val="1"/>
        <w:spacing w:line="312" w:lineRule="auto" w:before="0" w:after="120"/>
        <w:ind w:firstLine="454"/>
        <w:jc w:val="both"/>
      </w:pPr>
      <w:r>
        <w:rPr>
          <w:rFonts w:ascii="Times New Roman" w:hAnsi="Times New Roman" w:cs="B Nazanin"/>
          <w:sz w:val="22"/>
          <w:szCs w:val="28"/>
          <w:rtl w:val="1"/>
        </w:rPr>
        <w:t>منطقِ بازبینیِ دوره‌ای (با الهام از UPR و نه کپیِ آن): زنجیرهٔ دولت ← ارائهٔ گزارش ← ارزیابیِ همتایان ← طرحِ توصیه‌ها ← پذیرش/رد ← پیگیری ← بازبینیِ بعدی. باید مبنای حقوقیِ چنین سازوکاری در حوزهٔ محیط زیست تصریح شود؛ در غیرِ این صورت صرفاً استعاره‌ای نهادی باقی می‌ماند.</w:t>
      </w:r>
    </w:p>
    <w:p>
      <w:pPr>
        <w:bidi w:val="1"/>
        <w:spacing w:line="312" w:lineRule="auto" w:before="0" w:after="120"/>
        <w:ind w:firstLine="454"/>
        <w:jc w:val="both"/>
      </w:pPr>
      <w:r>
        <w:rPr>
          <w:rFonts w:ascii="Times New Roman" w:hAnsi="Times New Roman" w:cs="B Nazanin"/>
          <w:sz w:val="22"/>
          <w:szCs w:val="28"/>
          <w:rtl w:val="1"/>
        </w:rPr>
        <w:t>خوشه‌بندیِ عملیاتیِ MEAها: پنج خوشهٔ پیشنهادی عبارت‌اند از اقلیم، تنوعِ زیستی، مواد شیمیایی و پسماند، محیطِ دریایی و جوّی. برای هر خوشه باید مشخص شود چه قواعدی مشترک‌اند، چه سازوکارهایی (گزارش‌دهی، تفسیر) قابلِ اشتراک‌اند، و آیا نهادِ هماهنگ‌کنندهٔ مشترک لازم است. این تعریفِ عملیاتی، خوشه‌بندی را از یک شعار به یک طرحِ نهادیِ سنجش‌پذیر بدل می‌کند.</w:t>
      </w:r>
    </w:p>
    <w:p>
      <w:pPr>
        <w:pStyle w:val="GPEHeading2"/>
        <w:bidi w:val="1"/>
        <w:spacing w:line="312" w:lineRule="auto" w:before="200" w:after="120"/>
        <w:jc w:val="right"/>
      </w:pPr>
      <w:r>
        <w:rPr>
          <w:rFonts w:ascii="Times New Roman" w:hAnsi="Times New Roman" w:cs="B Nazanin"/>
          <w:sz w:val="24"/>
          <w:szCs w:val="24"/>
          <w:rtl w:val="1"/>
          <w:b/>
          <w:bCs/>
          <w:color w:val="14203a"/>
        </w:rPr>
        <w:t>۴-۵ شواهدِ پایگاه‌های استنادی دربارهٔ تأثیر پیمان بر MEAها</w:t>
      </w:r>
    </w:p>
    <w:p>
      <w:pPr>
        <w:bidi w:val="1"/>
        <w:spacing w:line="312" w:lineRule="auto" w:before="0" w:after="120"/>
        <w:ind w:firstLine="454"/>
        <w:jc w:val="both"/>
      </w:pPr>
      <w:r>
        <w:rPr>
          <w:rFonts w:ascii="Times New Roman" w:hAnsi="Times New Roman" w:cs="B Nazanin"/>
          <w:sz w:val="22"/>
          <w:szCs w:val="28"/>
          <w:rtl w:val="1"/>
        </w:rPr>
        <w:t>این گفتار، ادعاهای تحلیلیِ فصل را به شواهدِ مستقلِ پایگاه‌های استنادی (Scopus، HeinOnline و Westlaw) گره می‌زند. برای هر منبعِ کلیدی، «یافتهٔ اصلی»، «نقطهٔ قوت» و «کاستیِ» آن به‌تفکیک آمده است تا داوریِ متوازن میان روایتِ معمارانِ پیمان (آگیلا و وینیوالس) و منتقدانِ آن (کوتزه و فرنچ) حفظ شود.</w:t>
      </w:r>
      <w:r>
        <w:rPr>
          <w:rStyle w:val="FootnoteReference"/>
          <w:rtl w:val="1"/>
        </w:rPr>
        <w:footnoteReference w:id="413"/>
      </w:r>
    </w:p>
    <w:p>
      <w:pPr>
        <w:bidi w:val="1"/>
        <w:spacing w:line="312" w:lineRule="auto" w:before="0" w:after="120"/>
        <w:ind w:firstLine="454"/>
        <w:jc w:val="both"/>
      </w:pPr>
      <w:r>
        <w:rPr>
          <w:rFonts w:ascii="Times New Roman" w:hAnsi="Times New Roman" w:cs="B Nazanin"/>
          <w:sz w:val="22"/>
          <w:szCs w:val="28"/>
          <w:rtl w:val="1"/>
        </w:rPr>
        <w:t>بر پایهٔ پژوهشِ Kotzé, L.J. &amp; French, D. (۲۰۱۸)، پیمان جهانی یا «مرده‌زاد» است یا می‌تواند بنیان حقوق عصر انتروپوسن (Lex Anthropocenae) شود؛ صرفِ تجمیع اصولِ موجود بدون گذار به رویکرد «سامانهٔ زمین» کافی نیست.</w:t>
      </w:r>
      <w:r>
        <w:rPr>
          <w:rStyle w:val="FootnoteReference"/>
          <w:rtl w:val="1"/>
        </w:rPr>
        <w:footnoteReference w:id="414"/>
      </w:r>
      <w:r>
        <w:rPr>
          <w:rFonts w:ascii="Times New Roman" w:hAnsi="Times New Roman" w:cs="B Nazanin"/>
          <w:sz w:val="22"/>
          <w:szCs w:val="28"/>
          <w:rtl w:val="1"/>
        </w:rPr>
        <w:t xml:space="preserve"> نقطهٔ قوتِ این منبع آن است که نقد نظری عمیق و پرارجاع؛ چارچوب مفهومی برای ارزیابی ارزش‌افزوده و کاستی‌های پیمان (مستقیماً به کار فصل۳ می‌آید). با این‌همه، رویکرد بوم‌محور رادیکال؛ کمتر به پیامدهای عملی بر MEAهای موجود می‌پردازد.</w:t>
      </w:r>
    </w:p>
    <w:p>
      <w:pPr>
        <w:bidi w:val="1"/>
        <w:spacing w:line="312" w:lineRule="auto" w:before="0" w:after="120"/>
        <w:ind w:firstLine="454"/>
        <w:jc w:val="both"/>
      </w:pPr>
      <w:r>
        <w:rPr>
          <w:rFonts w:ascii="Times New Roman" w:hAnsi="Times New Roman" w:cs="B Nazanin"/>
          <w:sz w:val="22"/>
          <w:szCs w:val="28"/>
          <w:rtl w:val="1"/>
        </w:rPr>
        <w:t>بر پایهٔ پژوهشِ Tigre, M. A. (۲۰۲۲)، در شرایطِ بن‌بستِ سیاسیِ حقوق بین‌الملل محیط زیست، «حقوقِ محیط‌زیستی» (به‌ویژه حق بر محیط‌زیستِ سالم) می‌تواند زمینهٔ مشترکی برای پیشبردِ تدریجیِ نظام فراهم کند؛ توسعهٔ حقوق نه از راهِ یک معاهدهٔ فراگیرِ واحد، بلکه از مسیرِ رویه، آرای قضایی و شناساییِ حقوق پیش می‌رود.</w:t>
      </w:r>
      <w:r>
        <w:rPr>
          <w:rStyle w:val="FootnoteReference"/>
          <w:rtl w:val="1"/>
        </w:rPr>
        <w:footnoteReference w:id="415"/>
      </w:r>
      <w:r>
        <w:rPr>
          <w:rFonts w:ascii="Times New Roman" w:hAnsi="Times New Roman" w:cs="B Nazanin"/>
          <w:sz w:val="22"/>
          <w:szCs w:val="28"/>
          <w:rtl w:val="1"/>
        </w:rPr>
        <w:t xml:space="preserve"> نقطهٔ قوتِ این منبع آن است که رسالهٔ دکتریِ روشمند و پرارجاع با روش‌شناسیِ نتیجه‌گیریِ الگو (تحلیلِ روند + سنجشِ گزینه‌ها + قضاوتِ متوازن)؛ منبعِ طلاییِ رساله برای الگوی نتیجه‌گیری و برای تبیینِ «دستاوردهای پنهانِ» فرایندِ پیمان. با این‌همه، تمرکز بر رویکردِ حق‌محور؛ کمتر به پیامدهای فنیِ پیمان بر تک‌تکِ MEAها می‌پردازد.</w:t>
      </w:r>
    </w:p>
    <w:p>
      <w:pPr>
        <w:bidi w:val="1"/>
        <w:spacing w:line="312" w:lineRule="auto" w:before="0" w:after="120"/>
        <w:ind w:firstLine="454"/>
        <w:jc w:val="both"/>
      </w:pPr>
      <w:r>
        <w:rPr>
          <w:rFonts w:ascii="Times New Roman" w:hAnsi="Times New Roman" w:cs="B Nazanin"/>
          <w:sz w:val="22"/>
          <w:szCs w:val="28"/>
          <w:rtl w:val="1"/>
        </w:rPr>
        <w:t>بر پایهٔ پژوهشِ Aguila, Y. &amp; Viñuales, J. E. (۲۰۱۹)، مبانیِ مفهومیِ پیمان: تجمیعِ اصولِ پراکنده در یک سندِ اصولِ عامِ الزام‌آور با «منشورِ حقوق محیط‌زیستی» (حقوق ماهوی + حقوقِ رویه‌ایِ اطلاعات/مشارکت/دادرسی).</w:t>
      </w:r>
      <w:r>
        <w:rPr>
          <w:rStyle w:val="FootnoteReference"/>
          <w:rtl w:val="1"/>
        </w:rPr>
        <w:footnoteReference w:id="416"/>
      </w:r>
      <w:r>
        <w:rPr>
          <w:rFonts w:ascii="Times New Roman" w:hAnsi="Times New Roman" w:cs="B Nazanin"/>
          <w:sz w:val="22"/>
          <w:szCs w:val="28"/>
          <w:rtl w:val="1"/>
        </w:rPr>
        <w:t xml:space="preserve"> نقطهٔ قوتِ این منبع آن است که چارچوبِ مفهومیِ دقیق برای تبیینِ «ارزش‌افزودهٔ حقوقیِ» پیمان نسبت به MEAهای موجود؛ ستونِ تحلیلیِ فصل ۳ و ۴. با این‌همه، کم‌تر به سازوکارِ اجرا و نهادِ نظارتی می‌پردازد؛ باید با منابعِ نهادی تکمیل شود.</w:t>
      </w:r>
    </w:p>
    <w:p>
      <w:pPr>
        <w:bidi w:val="1"/>
        <w:spacing w:line="312" w:lineRule="auto" w:before="0" w:after="120"/>
        <w:ind w:firstLine="454"/>
        <w:jc w:val="both"/>
      </w:pPr>
      <w:r>
        <w:rPr>
          <w:rFonts w:ascii="Times New Roman" w:hAnsi="Times New Roman" w:cs="B Nazanin"/>
          <w:sz w:val="22"/>
          <w:szCs w:val="28"/>
          <w:rtl w:val="1"/>
        </w:rPr>
        <w:t>بر پایهٔ پژوهشِ Draft Global Pact for the Environment (پیش‌نویسِ گروهِ حقوق‌دانانِ بین‌المللی) (۲۰۱۷)، متنِ اصلیِ پیش‌نویسِ پیمان در ۲۶ ماده که اصولِ بنیادینِ حقوق بین‌الملل محیط زیست (پیشگیری، احتیاط، «آلوده‌ساز می‌پردازد»، عدالتِ بین‌نسلی، عدم‌پس‌رفت، حقِ محیط‌زیستِ سالم و...) را در یک سندِ اصولِ عامِ الزام‌آورِ واحد گرد می‌آورد.</w:t>
      </w:r>
      <w:r>
        <w:rPr>
          <w:rStyle w:val="FootnoteReference"/>
          <w:rtl w:val="1"/>
        </w:rPr>
        <w:footnoteReference w:id="417"/>
      </w:r>
      <w:r>
        <w:rPr>
          <w:rFonts w:ascii="Times New Roman" w:hAnsi="Times New Roman" w:cs="B Nazanin"/>
          <w:sz w:val="22"/>
          <w:szCs w:val="28"/>
          <w:rtl w:val="1"/>
        </w:rPr>
        <w:t xml:space="preserve"> نقطهٔ قوتِ این منبع آن است که منبعِ دستِ‌اول و متنِ مبنای تحلیل؛ برای مقایسهٔ ماده‌به‌مادهٔ اصولِ پیمان با اصولِ مندرج در MEAها و اعلامیهٔ ریو ضروری است (فصل۳). با این‌همه، پیش‌نویسِ غیررسمی (سندِ کاری)؛ هیچ‌گاه به معاهدهٔ لازم‌الاجرا تبدیل نشد و صرفاً به قطعنامهٔ ۷۲/۲۷۷ انجامید.</w:t>
      </w:r>
    </w:p>
    <w:p>
      <w:pPr>
        <w:bidi w:val="1"/>
        <w:spacing w:line="312" w:lineRule="auto" w:before="0" w:after="120"/>
        <w:ind w:firstLine="454"/>
        <w:jc w:val="both"/>
      </w:pPr>
      <w:r>
        <w:rPr>
          <w:rFonts w:ascii="Times New Roman" w:hAnsi="Times New Roman" w:cs="B Nazanin"/>
          <w:sz w:val="22"/>
          <w:szCs w:val="28"/>
          <w:rtl w:val="1"/>
        </w:rPr>
        <w:t>بر پایهٔ پژوهشِ Kim, R.E. &amp; Bosselmann, K. (۲۰۱۳)، نظام MEAها فاقد «هنجار برتر» (grundnorm) مشترک است؛ پیشنهاد یک هدف الزام‌آور واحد (صیانت از یکپارچگی سامانهٔ زمین) برای ایجاد انسجام میان رژیم‌ها.</w:t>
      </w:r>
      <w:r>
        <w:rPr>
          <w:rStyle w:val="FootnoteReference"/>
          <w:rtl w:val="1"/>
        </w:rPr>
        <w:footnoteReference w:id="418"/>
      </w:r>
      <w:r>
        <w:rPr>
          <w:rFonts w:ascii="Times New Roman" w:hAnsi="Times New Roman" w:cs="B Nazanin"/>
          <w:sz w:val="22"/>
          <w:szCs w:val="28"/>
          <w:rtl w:val="1"/>
        </w:rPr>
        <w:t xml:space="preserve"> نقطهٔ قوتِ این منبع آن است که مبنای نظری قدرتمند برای تحلیل «انسجام و کارآمدی MEAها» (فصل۴، گفتار۱) و نقش سندِ اصولِ عام. با این‌همه، انتزاعی؛ سازوکار حقوقی تحققِ grundnorm را تبیین نمی‌کند.</w:t>
      </w:r>
    </w:p>
    <w:p>
      <w:pPr>
        <w:bidi w:val="1"/>
        <w:spacing w:line="312" w:lineRule="auto" w:before="0" w:after="120"/>
        <w:ind w:firstLine="454"/>
        <w:jc w:val="both"/>
      </w:pPr>
      <w:r>
        <w:rPr>
          <w:rFonts w:ascii="Times New Roman" w:hAnsi="Times New Roman" w:cs="B Nazanin"/>
          <w:sz w:val="22"/>
          <w:szCs w:val="28"/>
          <w:rtl w:val="1"/>
        </w:rPr>
        <w:t>بر پایهٔ پژوهشِ Aguila, Y. &amp; Viñuales, J. E. (eds.) (۲۰۱۹)، جلدِ مرجعِ گردآوریِ دیدگاه‌های صاحب‌نظرانِ حقوقِ محیط‌زیست دربارهٔ اصولِ پیش‌نویسِ پیمان (حقِ محیط‌زیستِ سالم، تعهدِ مراقبت، عدالتِ بین‌نسلی، اصلِ آلوده‌ساز-پرداخت‌کننده) و گزینه‌های نهادی.</w:t>
      </w:r>
      <w:r>
        <w:rPr>
          <w:rStyle w:val="FootnoteReference"/>
          <w:rtl w:val="1"/>
        </w:rPr>
        <w:footnoteReference w:id="419"/>
      </w:r>
      <w:r>
        <w:rPr>
          <w:rFonts w:ascii="Times New Roman" w:hAnsi="Times New Roman" w:cs="B Nazanin"/>
          <w:sz w:val="22"/>
          <w:szCs w:val="28"/>
          <w:rtl w:val="1"/>
        </w:rPr>
        <w:t xml:space="preserve"> نقطهٔ قوتِ این منبع آن است که پوششِ ماده‌به‌مادهٔ پیش‌نویس با مشارکتِ ده‌ها متخصص؛ منبعِ ساختاری برای تحلیلِ محتواییِ پیمان در فصل ۳ (گفتارِ دوم). با این‌همه، پیش از شکستِ ۲۰۲۲ نوشته شده؛ باید با تحلیلِ خلافِ‌واقعِ فصل ۱ و منابعِ پس از ۲۰۲۲ تکمیل شود.</w:t>
      </w:r>
    </w:p>
    <w:p>
      <w:pPr>
        <w:bidi w:val="1"/>
        <w:spacing w:line="312" w:lineRule="auto" w:before="0" w:after="120"/>
        <w:ind w:firstLine="454"/>
        <w:jc w:val="both"/>
      </w:pPr>
      <w:r>
        <w:rPr>
          <w:rFonts w:ascii="Times New Roman" w:hAnsi="Times New Roman" w:cs="B Nazanin"/>
          <w:sz w:val="22"/>
          <w:szCs w:val="28"/>
          <w:rtl w:val="1"/>
        </w:rPr>
        <w:t>بر پایهٔ پژوهشِ International Law Commission (Study Group; Koskenniemi, M., رئیس) (۲۰۰۶)، نتیجه‌گیریِ رسمیِ کمیسیون حقوق بین‌الملل دربارهٔ چندپارگی: نظامِ حقوق بین‌الملل یک «نظامِ حقوقی» است و ابزارهایی چون قاعدهٔ خاصِ مقدم (lex specialis)، نظام‌های خودبسنده (self-contained regimes) و «یکپارچه‌سازیِ نظام‌مند» از رهگذرِ مادهٔ ۳۱(۳)(ج) کنوانسیون وین برای مدیریتِ تعارضِ هنجاری در دسترس است.</w:t>
      </w:r>
      <w:r>
        <w:rPr>
          <w:rStyle w:val="FootnoteReference"/>
          <w:rtl w:val="1"/>
        </w:rPr>
        <w:footnoteReference w:id="420"/>
      </w:r>
      <w:r>
        <w:rPr>
          <w:rFonts w:ascii="Times New Roman" w:hAnsi="Times New Roman" w:cs="B Nazanin"/>
          <w:sz w:val="22"/>
          <w:szCs w:val="28"/>
          <w:rtl w:val="1"/>
        </w:rPr>
        <w:t xml:space="preserve"> نقطهٔ قوتِ این منبع آن است که سندِ مرجعِ رسمی و لنگرِ اصطلاح‌شناسیِ مستندِ رساله؛ همهٔ اصطلاحاتِ فنیِ به‌کاررفته در تحلیلِ تعاملِ پیمان با MEAها از این سند و مطالعهٔ تحلیلیِ آن گرفته شده است. با این‌همه، سندِ چارچوبی و کلی؛ کاربستِ آن بر موردِ خاصِ پیمان جهانی نیازمندِ تحلیلِ تکمیلی است.</w:t>
      </w:r>
    </w:p>
    <w:p>
      <w:pPr>
        <w:bidi w:val="1"/>
        <w:spacing w:line="312" w:lineRule="auto" w:before="0" w:after="120"/>
        <w:ind w:firstLine="454"/>
        <w:jc w:val="both"/>
      </w:pPr>
      <w:r>
        <w:rPr>
          <w:rFonts w:ascii="Times New Roman" w:hAnsi="Times New Roman" w:cs="B Nazanin"/>
          <w:sz w:val="22"/>
          <w:szCs w:val="28"/>
          <w:rtl w:val="1"/>
        </w:rPr>
        <w:t>بر پایهٔ پژوهشِ ILC (Koskenniemi, M.) (۲۰۰۶)، چارچوب مرجع کمیسیون حقوق بین‌الملل دربارهٔ پراکندگی حقوق بین‌الملل و ابزارهای مدیریت تداخل هنجاری (lex specialis، تفسیر هماهنگ).</w:t>
      </w:r>
      <w:r>
        <w:rPr>
          <w:rStyle w:val="FootnoteReference"/>
          <w:rtl w:val="1"/>
        </w:rPr>
        <w:footnoteReference w:id="421"/>
      </w:r>
      <w:r>
        <w:rPr>
          <w:rFonts w:ascii="Times New Roman" w:hAnsi="Times New Roman" w:cs="B Nazanin"/>
          <w:sz w:val="22"/>
          <w:szCs w:val="28"/>
          <w:rtl w:val="1"/>
        </w:rPr>
        <w:t xml:space="preserve"> نقطهٔ قوتِ این منبع آن است که سند بنیادین برای فصل۴ گفتار۱ (مدیریت تداخل هنجاری و تفسیر هماهنگ MEAها). با این‌همه، عمومی حقوق بین‌الملل؛ باید به بستر محیط‌زیست تطبیق داده شود.</w:t>
      </w:r>
    </w:p>
    <w:p>
      <w:pPr>
        <w:bidi w:val="1"/>
        <w:spacing w:line="312" w:lineRule="auto" w:before="0" w:after="120"/>
        <w:ind w:firstLine="454"/>
        <w:jc w:val="both"/>
      </w:pPr>
      <w:r>
        <w:rPr>
          <w:rFonts w:ascii="Times New Roman" w:hAnsi="Times New Roman" w:cs="B Nazanin"/>
          <w:sz w:val="22"/>
          <w:szCs w:val="28"/>
          <w:rtl w:val="1"/>
        </w:rPr>
        <w:t>بر پایهٔ پژوهشِ Kotzé, L.J. (۲۰۱۹)، امکان‌سنجی «قانون اساسی محیط‌زیستی جهانی»؛ پیمان جهانی و منشور جهانی طبیعت (۱۹۸۲) به‌مثابه اسناد بنیادین بالقوه برای قانون‌اساسی‌گرایی محیط‌زیستی.</w:t>
      </w:r>
      <w:r>
        <w:rPr>
          <w:rStyle w:val="FootnoteReference"/>
          <w:rtl w:val="1"/>
        </w:rPr>
        <w:footnoteReference w:id="422"/>
      </w:r>
      <w:r>
        <w:rPr>
          <w:rFonts w:ascii="Times New Roman" w:hAnsi="Times New Roman" w:cs="B Nazanin"/>
          <w:sz w:val="22"/>
          <w:szCs w:val="28"/>
          <w:rtl w:val="1"/>
        </w:rPr>
        <w:t xml:space="preserve"> نقطهٔ قوتِ این منبع آن است که چارچوب «قانون‌اساسی‌گرایی محیط‌زیستی» برای تحلیل جایگاه سلسله‌مراتبی پیمان نسبت به MEAها. با این‌همه، بر فقدان سازوکار الزام‌آور اجرا تأکید دارد اما راه‌حل عملیاتی ارائه نمی‌دهد.</w:t>
      </w:r>
    </w:p>
    <w:p>
      <w:pPr>
        <w:bidi w:val="1"/>
        <w:spacing w:line="312" w:lineRule="auto" w:before="0" w:after="120"/>
        <w:ind w:firstLine="454"/>
        <w:jc w:val="both"/>
      </w:pPr>
      <w:r>
        <w:rPr>
          <w:rFonts w:ascii="Times New Roman" w:hAnsi="Times New Roman" w:cs="B Nazanin"/>
          <w:sz w:val="22"/>
          <w:szCs w:val="28"/>
          <w:rtl w:val="1"/>
        </w:rPr>
        <w:t>بر پایهٔ پژوهشِ Tiller, D. (۲۰۱۸)، اهدافِ پیمان (تحکیم و انسجام‌بخشیِ اصول) مطلوب‌اند، اما ارزش‌افزودهٔ عملیِ آن به‌سببِ ضعفِ سازوکارِ اجرا و خطرِ تضعیفِ رژیم‌های تخصصیِ موجود محدود است؛ داوریِ متوازن: «هدف درست، ابزار محلِ تردید».</w:t>
      </w:r>
      <w:r>
        <w:rPr>
          <w:rStyle w:val="FootnoteReference"/>
          <w:rtl w:val="1"/>
        </w:rPr>
        <w:footnoteReference w:id="423"/>
      </w:r>
      <w:r>
        <w:rPr>
          <w:rFonts w:ascii="Times New Roman" w:hAnsi="Times New Roman" w:cs="B Nazanin"/>
          <w:sz w:val="22"/>
          <w:szCs w:val="28"/>
          <w:rtl w:val="1"/>
        </w:rPr>
        <w:t xml:space="preserve"> نقطهٔ قوتِ این منبع آن است که پرسشِ پژوهشِ آن دقیقاً منطبق بر پرسش‌های رسالهٔ ماست (مطلوبیتِ اهداف + ارزش‌افزوده)؛ الگوی داوریِ متوازن برای فصل۵. با این‌همه، پایان‌نامهٔ کارشناسیِ حقوق (LLB Hons)؛ عمقِ نظریِ محدودتر نسبت به منابعِ دکتری — در کنارِ منابعِ قوی‌تر استناد می‌شود.</w:t>
      </w:r>
    </w:p>
    <w:p>
      <w:pPr>
        <w:bidi w:val="1"/>
        <w:spacing w:line="312" w:lineRule="auto" w:before="0" w:after="120"/>
        <w:ind w:firstLine="454"/>
        <w:jc w:val="both"/>
      </w:pPr>
      <w:r>
        <w:rPr>
          <w:rFonts w:ascii="Times New Roman" w:hAnsi="Times New Roman" w:cs="B Nazanin"/>
          <w:sz w:val="22"/>
          <w:szCs w:val="28"/>
          <w:rtl w:val="1"/>
        </w:rPr>
        <w:t>بر پایهٔ پژوهشِ Chabason, L. &amp; Hege, E. (۲۰۱۹)، ناکامیِ مذاکراتِ پیمان جهانی را می‌توان هم «فرصتی ازدست‌رفته» و هم «تیرِ ازکنارگذشته» دانست؛ نویسندگان علل شکست را در نبودِ ارادهٔ سیاسی، بیمِ دولت‌ها از الزام‌آورشدنِ اصول، و رقابتِ نهادی می‌بینند و نتیجهٔ ملموسِ فرایند را قطعنامهٔ ۷۲/۲۷۷ و روندِ «به‌سوی یک پیمان جهانی» می‌دانند.</w:t>
      </w:r>
      <w:r>
        <w:rPr>
          <w:rStyle w:val="FootnoteReference"/>
          <w:rtl w:val="1"/>
        </w:rPr>
        <w:footnoteReference w:id="424"/>
      </w:r>
      <w:r>
        <w:rPr>
          <w:rFonts w:ascii="Times New Roman" w:hAnsi="Times New Roman" w:cs="B Nazanin"/>
          <w:sz w:val="22"/>
          <w:szCs w:val="28"/>
          <w:rtl w:val="1"/>
        </w:rPr>
        <w:t xml:space="preserve"> نقطهٔ قوتِ این منبع آن است که تحلیلِ سیاسیِ دقیق و دستِ‌اول از علل شکست و مواضعِ بازیگران؛ مستقیماً به کارِ فصل۴ (علل ناکامی و مواضعِ ژئوپلیتیک) می‌آید. با این‌همه، یادداشتِ تحلیلیِ کوتاه (نه مقالهٔ داوری‌شدهٔ بلند)؛ منظرِ نهادیِ IDDRI.</w:t>
      </w:r>
    </w:p>
    <w:p>
      <w:pPr>
        <w:bidi w:val="1"/>
        <w:spacing w:line="312" w:lineRule="auto" w:before="0" w:after="120"/>
        <w:ind w:firstLine="454"/>
        <w:jc w:val="both"/>
      </w:pPr>
      <w:r>
        <w:rPr>
          <w:rFonts w:ascii="Times New Roman" w:hAnsi="Times New Roman" w:cs="B Nazanin"/>
          <w:sz w:val="22"/>
          <w:szCs w:val="28"/>
          <w:rtl w:val="1"/>
        </w:rPr>
        <w:t>بر پایهٔ پژوهشِ Sands, P. &amp; Peel, J. (۲۰۱۸)، تبیین اصول بنیادین (پیشگیری، احتیاط، آلوده‌ساز-پرداخت، عدم‌پس‌رفت) و سازوکارهای پایبندی و اجرا.</w:t>
      </w:r>
      <w:r>
        <w:rPr>
          <w:rStyle w:val="FootnoteReference"/>
          <w:rtl w:val="1"/>
        </w:rPr>
        <w:footnoteReference w:id="425"/>
      </w:r>
      <w:r>
        <w:rPr>
          <w:rFonts w:ascii="Times New Roman" w:hAnsi="Times New Roman" w:cs="B Nazanin"/>
          <w:sz w:val="22"/>
          <w:szCs w:val="28"/>
          <w:rtl w:val="1"/>
        </w:rPr>
        <w:t xml:space="preserve"> نقطهٔ قوتِ این منبع آن است که مرجع طلایی اصول IEL و بحث اجرا/پایبندی/ضمانت اجرا (پرسش فرعی۳). با این‌همه، حجیم و عمومی.</w:t>
      </w:r>
    </w:p>
    <w:p>
      <w:pPr>
        <w:bidi w:val="1"/>
        <w:spacing w:line="312" w:lineRule="auto" w:before="0" w:after="120"/>
        <w:ind w:firstLine="454"/>
        <w:jc w:val="both"/>
      </w:pPr>
      <w:r>
        <w:rPr>
          <w:rFonts w:ascii="Times New Roman" w:hAnsi="Times New Roman" w:cs="B Nazanin"/>
          <w:sz w:val="22"/>
          <w:szCs w:val="28"/>
          <w:rtl w:val="1"/>
        </w:rPr>
        <w:t>بر پایهٔ پژوهشِ Boyle, A. &amp; Redgwell, C. (۲۰۲۱)، مرجع نظام‌مند اصول و رژیم‌های IEL؛ تحلیل تعامل MEAها و اصول عمومی حقوق بین‌الملل.</w:t>
      </w:r>
      <w:r>
        <w:rPr>
          <w:rStyle w:val="FootnoteReference"/>
          <w:rtl w:val="1"/>
        </w:rPr>
        <w:footnoteReference w:id="426"/>
      </w:r>
      <w:r>
        <w:rPr>
          <w:rFonts w:ascii="Times New Roman" w:hAnsi="Times New Roman" w:cs="B Nazanin"/>
          <w:sz w:val="22"/>
          <w:szCs w:val="28"/>
          <w:rtl w:val="1"/>
        </w:rPr>
        <w:t xml:space="preserve"> نقطهٔ قوتِ این منبع آن است که مرجع درسی معتبر برای اصول بنیادین و رژیم‌های بخشی (فصل۲ و فصل۴). با این‌همه، کلی؛ تحلیل اختصاصی پیمان محدود است.</w:t>
      </w:r>
    </w:p>
    <w:p>
      <w:pPr>
        <w:bidi w:val="1"/>
        <w:spacing w:line="312" w:lineRule="auto" w:before="0" w:after="120"/>
        <w:ind w:firstLine="454"/>
        <w:jc w:val="both"/>
      </w:pPr>
      <w:r>
        <w:rPr>
          <w:rFonts w:ascii="Times New Roman" w:hAnsi="Times New Roman" w:cs="B Nazanin"/>
          <w:sz w:val="22"/>
          <w:szCs w:val="28"/>
          <w:rtl w:val="1"/>
        </w:rPr>
        <w:t>بر پایهٔ پژوهشِ Vidal, O. / MDPI (۲۰۲۰)، بازاندیشی در جاه‌طلبی‌های پیمان و بررسی گزینه‌های جایگزین پس از تنزل به اعلامیهٔ سیاسی.</w:t>
      </w:r>
      <w:r>
        <w:rPr>
          <w:rStyle w:val="FootnoteReference"/>
          <w:rtl w:val="1"/>
        </w:rPr>
        <w:footnoteReference w:id="427"/>
      </w:r>
      <w:r>
        <w:rPr>
          <w:rFonts w:ascii="Times New Roman" w:hAnsi="Times New Roman" w:cs="B Nazanin"/>
          <w:sz w:val="22"/>
          <w:szCs w:val="28"/>
          <w:rtl w:val="1"/>
        </w:rPr>
        <w:t xml:space="preserve"> نقطهٔ قوتِ این منبع آن است که مستقیماً به «پیامدهای شکست و راهکار جایگزین» (فصل۴، گفتار۲) مربوط است. با این‌همه، پیش از استکهلم+۵۰؛ نیازمند تکمیل با اسناد ۲۰۲۲.</w:t>
      </w:r>
    </w:p>
    <w:p>
      <w:pPr>
        <w:bidi w:val="1"/>
        <w:spacing w:line="312" w:lineRule="auto" w:before="0" w:after="120"/>
        <w:ind w:firstLine="454"/>
        <w:jc w:val="both"/>
      </w:pPr>
      <w:r>
        <w:rPr>
          <w:rFonts w:ascii="Times New Roman" w:hAnsi="Times New Roman" w:cs="B Nazanin"/>
          <w:sz w:val="22"/>
          <w:szCs w:val="28"/>
          <w:rtl w:val="1"/>
        </w:rPr>
        <w:t>بر پایهٔ پژوهشِ Sand, P. H. &amp; McGee, J. (۲۰۲۲)، پراکندگیِ حکمرانیِ محیط‌زیستی بیش از آنکه با «ادغامِ کامل» رفع شود، از راهِ اتصالِ نهادی و هم‌افزایی (تفاهم‌نامه‌ها، نشست‌های پشت‌به‌پشتِ COPها، گروه‌های رابط) مدیریت می‌شود.</w:t>
      </w:r>
      <w:r>
        <w:rPr>
          <w:rStyle w:val="FootnoteReference"/>
          <w:rtl w:val="1"/>
        </w:rPr>
        <w:footnoteReference w:id="428"/>
      </w:r>
      <w:r>
        <w:rPr>
          <w:rFonts w:ascii="Times New Roman" w:hAnsi="Times New Roman" w:cs="B Nazanin"/>
          <w:sz w:val="22"/>
          <w:szCs w:val="28"/>
          <w:rtl w:val="1"/>
        </w:rPr>
        <w:t xml:space="preserve"> نقطهٔ قوتِ این منبع آن است که دیدگاهِ واقع‌گرایانه به‌جای آرمانِ «سازمانِ جهانیِ محیط‌زیست»؛ برای سنجشِ گزینه‌های بدیلِ پیمان در فصل ۴ کارآمد است. با این‌همه، کم‌تر به پیمانِ جهانی به‌عنوانِ راهِ‌حلِ هنجاری می‌پردازد؛ مکمّلِ نقدی است نه حامیِ پیمان.</w:t>
      </w:r>
    </w:p>
    <w:p>
      <w:pPr>
        <w:bidi w:val="1"/>
        <w:spacing w:line="312" w:lineRule="auto" w:before="0" w:after="120"/>
        <w:ind w:firstLine="454"/>
        <w:jc w:val="both"/>
      </w:pPr>
      <w:r>
        <w:rPr>
          <w:rFonts w:ascii="Times New Roman" w:hAnsi="Times New Roman" w:cs="B Nazanin"/>
          <w:sz w:val="22"/>
          <w:szCs w:val="28"/>
          <w:rtl w:val="1"/>
        </w:rPr>
        <w:t>بر پایهٔ پژوهشِ Damoah, B., Keengwe, J. S. &amp; Ofori, E. (۲۰۲۶)، در عصرِ انتروپوسن، معاهداتِ محیط‌زیستی به‌سببِ ساختارِ بخشی، ضعفِ اجرا و وابستگی به اجماع در «بن‌بست» گرفتار شده‌اند؛ حکمرانیِ سیّارهٔ زمین نیازمندِ بازاندیشیِ بنیادین در سازوکارهای الزام‌آورسازی و نظارت است.</w:t>
      </w:r>
      <w:r>
        <w:rPr>
          <w:rStyle w:val="FootnoteReference"/>
          <w:rtl w:val="1"/>
        </w:rPr>
        <w:footnoteReference w:id="429"/>
      </w:r>
      <w:r>
        <w:rPr>
          <w:rFonts w:ascii="Times New Roman" w:hAnsi="Times New Roman" w:cs="B Nazanin"/>
          <w:sz w:val="22"/>
          <w:szCs w:val="28"/>
          <w:rtl w:val="1"/>
        </w:rPr>
        <w:t xml:space="preserve"> نقطهٔ قوتِ این منبع آن است که تبیینِ روشنِ چرایی ناکارآمدیِ معاهداتِ پرشمار و پراکنده؛ به‌کارِ تحلیلِ «چرا ابزارِ معاهدهٔ فراگیرِ واحد با سرشتِ نظامِ حقوق بین‌الملل محیط زیست ناسازگار است» می‌آید (فصل۴ و فصل۵). با این‌همه، ⚠️ پیش‌چاپِ داوری‌نشده (Preprints.org)؛ باید با احتیاط و در کنارِ منابعِ داوری‌شده استناد شود و اعتبارِ آن به‌صراحت در متن قید گردد.</w:t>
      </w:r>
    </w:p>
    <w:p>
      <w:pPr>
        <w:bidi w:val="1"/>
        <w:spacing w:line="312" w:lineRule="auto" w:before="0" w:after="120"/>
        <w:ind w:firstLine="454"/>
        <w:jc w:val="both"/>
      </w:pPr>
      <w:r>
        <w:rPr>
          <w:rFonts w:ascii="Times New Roman" w:hAnsi="Times New Roman" w:cs="B Nazanin"/>
          <w:sz w:val="22"/>
          <w:szCs w:val="28"/>
          <w:rtl w:val="1"/>
        </w:rPr>
        <w:t>بر پایهٔ پژوهشِ Kotzé, L.J. (۲۰۲۰)، استدلال به‌نفع قانون‌اساسی‌گرایی محیط‌زیستی جهانی و نقش اسناد چتر در انسجام‌بخشی هنجاری.</w:t>
      </w:r>
      <w:r>
        <w:rPr>
          <w:rStyle w:val="FootnoteReference"/>
          <w:rtl w:val="1"/>
        </w:rPr>
        <w:footnoteReference w:id="430"/>
      </w:r>
      <w:r>
        <w:rPr>
          <w:rFonts w:ascii="Times New Roman" w:hAnsi="Times New Roman" w:cs="B Nazanin"/>
          <w:sz w:val="22"/>
          <w:szCs w:val="28"/>
          <w:rtl w:val="1"/>
        </w:rPr>
        <w:t xml:space="preserve"> نقطهٔ قوتِ این منبع آن است که تقویت مبنای نظری «جایگاه برتر پیمان». با این‌همه، هم‌پوشانی با DB04.</w:t>
      </w:r>
    </w:p>
    <w:p>
      <w:pPr>
        <w:bidi w:val="1"/>
        <w:spacing w:line="312" w:lineRule="auto" w:before="0" w:after="120"/>
        <w:ind w:firstLine="454"/>
        <w:jc w:val="both"/>
      </w:pPr>
      <w:r>
        <w:rPr>
          <w:rFonts w:ascii="Times New Roman" w:hAnsi="Times New Roman" w:cs="B Nazanin"/>
          <w:sz w:val="22"/>
          <w:szCs w:val="28"/>
          <w:rtl w:val="1"/>
        </w:rPr>
        <w:t>بر پایهٔ پژوهشِ McGarry, B. (۲۰۱۸)، تعاملِ پیمانِ پیشنهادی با رژیم‌های تجارت و سرمایه‌گذاریِ بین‌المللی؛ ظرفیتِ پیمان برای هماهنگ‌سازیِ تعهداتِ اقتصادی و حفاظتِ محیط‌زیستی در حوزهٔ منابعِ آب.</w:t>
      </w:r>
      <w:r>
        <w:rPr>
          <w:rStyle w:val="FootnoteReference"/>
          <w:rtl w:val="1"/>
        </w:rPr>
        <w:footnoteReference w:id="431"/>
      </w:r>
      <w:r>
        <w:rPr>
          <w:rFonts w:ascii="Times New Roman" w:hAnsi="Times New Roman" w:cs="B Nazanin"/>
          <w:sz w:val="22"/>
          <w:szCs w:val="28"/>
          <w:rtl w:val="1"/>
        </w:rPr>
        <w:t xml:space="preserve"> نقطهٔ قوتِ این منبع آن است که نمونهٔ انضمامیِ اثرِ پیمان بر رژیم‌های موازی (تجارت/سرمایه‌گذاری)؛ به گفتارِ «آثارِ پیمان بر MEAها» در فصل ۴ کمک می‌کند. با این‌همه، تمرکزِ موضوعیِ محدود (آبِ شیرین)؛ تعمیم به کلِ MEAها نیازمندِ احتیاط است.</w:t>
      </w:r>
    </w:p>
    <w:p>
      <w:pPr>
        <w:bidi w:val="1"/>
        <w:spacing w:line="312" w:lineRule="auto" w:before="0" w:after="120"/>
        <w:ind w:firstLine="454"/>
        <w:jc w:val="both"/>
      </w:pPr>
      <w:r>
        <w:rPr>
          <w:rFonts w:ascii="Times New Roman" w:hAnsi="Times New Roman" w:cs="B Nazanin"/>
          <w:sz w:val="22"/>
          <w:szCs w:val="28"/>
          <w:rtl w:val="1"/>
        </w:rPr>
        <w:t>بر پایهٔ پژوهشِ Pedersen, O.W. (۲۰۱۹)، ارزیابی انتقادی توان و محدودیت‌های پیمان در ارتقای انسجام و کارآمدی نظام موجود.</w:t>
      </w:r>
      <w:r>
        <w:rPr>
          <w:rStyle w:val="FootnoteReference"/>
          <w:rtl w:val="1"/>
        </w:rPr>
        <w:footnoteReference w:id="432"/>
      </w:r>
      <w:r>
        <w:rPr>
          <w:rFonts w:ascii="Times New Roman" w:hAnsi="Times New Roman" w:cs="B Nazanin"/>
          <w:sz w:val="22"/>
          <w:szCs w:val="28"/>
          <w:rtl w:val="1"/>
        </w:rPr>
        <w:t xml:space="preserve"> نقطهٔ قوتِ این منبع آن است که دیدگاه متوازن انگلوساکسون مکمل نگاه فرانسوی معماران. با این‌همه، کوتاه؛ تحلیل تطبیقی محدود.</w:t>
      </w:r>
    </w:p>
    <w:p>
      <w:pPr>
        <w:bidi w:val="1"/>
        <w:spacing w:line="312" w:lineRule="auto" w:before="0" w:after="120"/>
        <w:ind w:firstLine="454"/>
        <w:jc w:val="both"/>
      </w:pPr>
      <w:r>
        <w:rPr>
          <w:rFonts w:ascii="Times New Roman" w:hAnsi="Times New Roman" w:cs="B Nazanin"/>
          <w:sz w:val="22"/>
          <w:szCs w:val="28"/>
          <w:rtl w:val="1"/>
        </w:rPr>
        <w:t>بر پایهٔ پژوهشِ Ivanova, M. (۲۰۲۱)، روایت نهادی از UNEP و اصلاحات حکمرانی محیط‌زیستی جهانی؛ درس‌آموخته‌های اصلاح ساختاری.</w:t>
      </w:r>
      <w:r>
        <w:rPr>
          <w:rStyle w:val="FootnoteReference"/>
          <w:rtl w:val="1"/>
        </w:rPr>
        <w:footnoteReference w:id="433"/>
      </w:r>
      <w:r>
        <w:rPr>
          <w:rFonts w:ascii="Times New Roman" w:hAnsi="Times New Roman" w:cs="B Nazanin"/>
          <w:sz w:val="22"/>
          <w:szCs w:val="28"/>
          <w:rtl w:val="1"/>
        </w:rPr>
        <w:t xml:space="preserve"> نقطهٔ قوتِ این منبع آن است که پشتوانهٔ بحث «خلأ ساختار حکمرانی» و درس‌آموخته‌های نهادی (فصل۳ و فصل۴). با این‌همه، نهادی‌محور؛ تحلیل حقوقی پیمان محدود.</w:t>
      </w:r>
    </w:p>
    <w:p>
      <w:pPr>
        <w:bidi w:val="1"/>
        <w:spacing w:line="312" w:lineRule="auto" w:before="0" w:after="120"/>
        <w:ind w:firstLine="454"/>
        <w:jc w:val="both"/>
      </w:pPr>
      <w:r>
        <w:rPr>
          <w:rFonts w:ascii="Times New Roman" w:hAnsi="Times New Roman" w:cs="B Nazanin"/>
          <w:sz w:val="22"/>
          <w:szCs w:val="28"/>
          <w:rtl w:val="1"/>
        </w:rPr>
        <w:t>بر پایهٔ پژوهشِ Biermann, F. &amp; Kim, R.E. (۲۰۲۰)، چارچوب مرزهای سیاره‌ای به‌مثابه مبنای علمی برای هدف‌گذاری هنجاری در حکمرانی محیط‌زیستی جهانی.</w:t>
      </w:r>
      <w:r>
        <w:rPr>
          <w:rStyle w:val="FootnoteReference"/>
          <w:rtl w:val="1"/>
        </w:rPr>
        <w:footnoteReference w:id="434"/>
      </w:r>
      <w:r>
        <w:rPr>
          <w:rFonts w:ascii="Times New Roman" w:hAnsi="Times New Roman" w:cs="B Nazanin"/>
          <w:sz w:val="22"/>
          <w:szCs w:val="28"/>
          <w:rtl w:val="1"/>
        </w:rPr>
        <w:t xml:space="preserve"> نقطهٔ قوتِ این منبع آن است که پل میان علم سامانهٔ زمین و طراحی حقوقی (پشتوانهٔ عصر انتروپوسن در فصل۲). با این‌همه، غیرحقوقی؛ باید با تحلیل حقوقی تکمیل شود.</w:t>
      </w:r>
    </w:p>
    <w:p>
      <w:pPr>
        <w:bidi w:val="1"/>
        <w:spacing w:line="312" w:lineRule="auto" w:before="0" w:after="120"/>
        <w:ind w:firstLine="454"/>
        <w:jc w:val="both"/>
      </w:pPr>
      <w:r>
        <w:rPr>
          <w:rFonts w:ascii="Times New Roman" w:hAnsi="Times New Roman" w:cs="B Nazanin"/>
          <w:sz w:val="22"/>
          <w:szCs w:val="28"/>
          <w:rtl w:val="1"/>
        </w:rPr>
        <w:t>بر پایهٔ پژوهشِ Vinuales, J.E. (۲۰۱۸)، بازطراحی حکمرانی حقوقی برای عصر انتروپوسن؛ نقش اصول بنیادین در سازمان‌دهی نظم محیط‌زیستی.</w:t>
      </w:r>
      <w:r>
        <w:rPr>
          <w:rStyle w:val="FootnoteReference"/>
          <w:rtl w:val="1"/>
        </w:rPr>
        <w:footnoteReference w:id="435"/>
      </w:r>
      <w:r>
        <w:rPr>
          <w:rFonts w:ascii="Times New Roman" w:hAnsi="Times New Roman" w:cs="B Nazanin"/>
          <w:sz w:val="22"/>
          <w:szCs w:val="28"/>
          <w:rtl w:val="1"/>
        </w:rPr>
        <w:t xml:space="preserve"> نقطهٔ قوتِ این منبع آن است که پل نظری میان انتروپوسن و طراحی سندِ اصولِ عام. با این‌همه، نظری و انتزاعی.</w:t>
      </w:r>
    </w:p>
    <w:p>
      <w:pPr>
        <w:bidi w:val="1"/>
        <w:spacing w:line="312" w:lineRule="auto" w:before="0" w:after="120"/>
        <w:ind w:firstLine="454"/>
        <w:jc w:val="both"/>
      </w:pPr>
      <w:r>
        <w:rPr>
          <w:rFonts w:ascii="Times New Roman" w:hAnsi="Times New Roman" w:cs="B Nazanin"/>
          <w:sz w:val="22"/>
          <w:szCs w:val="28"/>
          <w:rtl w:val="1"/>
        </w:rPr>
        <w:t>بر پایهٔ پژوهشِ Chan, N. (۲۰۲۱)، تحلیل ظرفیت مذاکراتی کشورهای در حال توسعه — بستر فهم مواضع مخالف/محتاط نسبت به اسناد الزام‌آور.</w:t>
      </w:r>
      <w:r>
        <w:rPr>
          <w:rStyle w:val="FootnoteReference"/>
          <w:rtl w:val="1"/>
        </w:rPr>
        <w:footnoteReference w:id="436"/>
      </w:r>
      <w:r>
        <w:rPr>
          <w:rFonts w:ascii="Times New Roman" w:hAnsi="Times New Roman" w:cs="B Nazanin"/>
          <w:sz w:val="22"/>
          <w:szCs w:val="28"/>
          <w:rtl w:val="1"/>
        </w:rPr>
        <w:t xml:space="preserve"> نقطهٔ قوتِ این منبع آن است که پشتوانهٔ تحلیل «مواضع کشورها» (فصل۴، گفتار۲؛ فرضیهٔ فرعی۲). با این‌همه، متمرکز بر اقلیم؛ باید به پیمان تعمیم یابد.</w:t>
      </w:r>
    </w:p>
    <w:p>
      <w:pPr>
        <w:bidi w:val="1"/>
        <w:spacing w:line="312" w:lineRule="auto" w:before="0" w:after="120"/>
        <w:ind w:firstLine="454"/>
        <w:jc w:val="both"/>
      </w:pPr>
      <w:r>
        <w:rPr>
          <w:rFonts w:ascii="Times New Roman" w:hAnsi="Times New Roman" w:cs="B Nazanin"/>
          <w:sz w:val="22"/>
          <w:szCs w:val="28"/>
          <w:rtl w:val="1"/>
        </w:rPr>
        <w:t>بر پایهٔ پژوهشِ Doelle, M. &amp; Seck, S. (۲۰۲۰)، از مفهوم تا جبران خسارت — نمونه‌ای از خلأ اجرا/ضمانت اجرا در رژیم‌های بخشی که سندِ اصولِ عام می‌تواند پوشش دهد.</w:t>
      </w:r>
      <w:r>
        <w:rPr>
          <w:rStyle w:val="FootnoteReference"/>
          <w:rtl w:val="1"/>
        </w:rPr>
        <w:footnoteReference w:id="437"/>
      </w:r>
      <w:r>
        <w:rPr>
          <w:rFonts w:ascii="Times New Roman" w:hAnsi="Times New Roman" w:cs="B Nazanin"/>
          <w:sz w:val="22"/>
          <w:szCs w:val="28"/>
          <w:rtl w:val="1"/>
        </w:rPr>
        <w:t xml:space="preserve"> نقطهٔ قوتِ این منبع آن است که مثال عینی خلأ اجرایی برای فصل۳ و فصل۴. با این‌همه، اقلیم‌محور؛ تعمیم لازم است.</w:t>
      </w:r>
    </w:p>
    <w:p>
      <w:pPr>
        <w:pStyle w:val="GPEHeading2"/>
        <w:bidi w:val="1"/>
        <w:spacing w:line="312" w:lineRule="auto" w:before="200" w:after="120"/>
        <w:jc w:val="right"/>
      </w:pPr>
      <w:r>
        <w:rPr>
          <w:rFonts w:ascii="Times New Roman" w:hAnsi="Times New Roman" w:cs="B Nazanin"/>
          <w:sz w:val="24"/>
          <w:szCs w:val="24"/>
          <w:rtl w:val="1"/>
          <w:b/>
          <w:bCs/>
          <w:color w:val="14203a"/>
        </w:rPr>
        <w:t>۴-۶ سنتزِ هفت‌منظری: سازوکار و حدود تأثیر پیمان بر MEAها</w:t>
      </w:r>
    </w:p>
    <w:p>
      <w:pPr>
        <w:bidi w:val="1"/>
        <w:spacing w:line="312" w:lineRule="auto" w:before="0" w:after="120"/>
        <w:ind w:firstLine="454"/>
        <w:jc w:val="both"/>
      </w:pPr>
      <w:r>
        <w:rPr>
          <w:rFonts w:ascii="Times New Roman" w:hAnsi="Times New Roman" w:cs="B Nazanin"/>
          <w:sz w:val="22"/>
          <w:szCs w:val="28"/>
          <w:rtl w:val="1"/>
        </w:rPr>
        <w:t>جمع‌بندیِ تأثیرِ پیمان بر MEAها در چارچوبِ سندِ پراکندگیِ کمیسیون حقوق بین‌الملل (۲۰۰۶) از هفت منظر انجام می‌شود. هر منظر، سازوکارِ اثرگذاری و حدِ آن را روشن می‌کند:</w:t>
      </w:r>
    </w:p>
    <w:p>
      <w:pPr>
        <w:bidi w:val="1"/>
        <w:spacing w:line="312" w:lineRule="auto" w:before="0" w:after="120"/>
        <w:ind w:firstLine="454"/>
        <w:jc w:val="both"/>
      </w:pPr>
      <w:r>
        <w:rPr>
          <w:rFonts w:ascii="Times New Roman" w:hAnsi="Times New Roman" w:cs="B Nazanin"/>
          <w:sz w:val="22"/>
          <w:szCs w:val="28"/>
          <w:rtl w:val="1"/>
        </w:rPr>
        <w:t>■ انسجام (Coherence): پیمان با فراهم‌آوردنِ یک لایهٔ اصولیِ مشترک، امکانِ تفسیرِ هماهنگِ رژیم‌های بخشی را پدید می‌آورد و از تعارضِ هنجاری میان MEAها می‌کاهد؛ این کارکرد بر پایهٔ ابزارهای «یکپارچگیِ نظام‌مندِ» کمیسیون حقوق بین‌الملل (مادهٔ ۳۱(۳)(ج) کنوانسیون وین) قابل‌تبیین است.</w:t>
      </w:r>
      <w:r>
        <w:rPr>
          <w:rStyle w:val="FootnoteReference"/>
          <w:rtl w:val="1"/>
        </w:rPr>
        <w:footnoteReference w:id="438"/>
      </w:r>
    </w:p>
    <w:p>
      <w:pPr>
        <w:bidi w:val="1"/>
        <w:spacing w:line="312" w:lineRule="auto" w:before="0" w:after="120"/>
        <w:ind w:firstLine="454"/>
        <w:jc w:val="both"/>
      </w:pPr>
      <w:r>
        <w:rPr>
          <w:rFonts w:ascii="Times New Roman" w:hAnsi="Times New Roman" w:cs="B Nazanin"/>
          <w:sz w:val="22"/>
          <w:szCs w:val="28"/>
          <w:rtl w:val="1"/>
        </w:rPr>
        <w:t>■ کارآمدی (Effectiveness): اثرِ پیمان بر کارآمدیِ MEAها نه از مجرای الغا، بلکه از مجرای ارتقای معیارِ سنجش و پرکردنِ خلأ در موارد سکوت پدید می‌آید؛ بااین‌حال شواهد نشان می‌دهد که صرفِ افزودنِ یک سندِ عام، بدونِ سازوکارِ اجرا، تضمینی برای کارآمدیِ بیشتر نیست.</w:t>
      </w:r>
      <w:r>
        <w:rPr>
          <w:rStyle w:val="FootnoteReference"/>
          <w:rtl w:val="1"/>
        </w:rPr>
        <w:footnoteReference w:id="439"/>
      </w:r>
    </w:p>
    <w:p>
      <w:pPr>
        <w:bidi w:val="1"/>
        <w:spacing w:line="312" w:lineRule="auto" w:before="0" w:after="120"/>
        <w:ind w:firstLine="454"/>
        <w:jc w:val="both"/>
      </w:pPr>
      <w:r>
        <w:rPr>
          <w:rFonts w:ascii="Times New Roman" w:hAnsi="Times New Roman" w:cs="B Nazanin"/>
          <w:sz w:val="22"/>
          <w:szCs w:val="28"/>
          <w:rtl w:val="1"/>
        </w:rPr>
        <w:t>■ حکمرانی (Governance): پیمان می‌توانست کارکردِ «مرجعیتِ هنجاری» را برای نظامِ پراکندهٔ حکمرانیِ محیط‌زیست فراهم کند؛ اما تجربهٔ شکستِ سازمان جهانی محیط زیست نشان می‌دهد که راه‌حلِ نهاد-محور در برابر موازنهٔ ژئوپلیتیک شکننده است.</w:t>
      </w:r>
      <w:r>
        <w:rPr>
          <w:rStyle w:val="FootnoteReference"/>
          <w:rtl w:val="1"/>
        </w:rPr>
        <w:footnoteReference w:id="440"/>
      </w:r>
    </w:p>
    <w:p>
      <w:pPr>
        <w:bidi w:val="1"/>
        <w:spacing w:line="312" w:lineRule="auto" w:before="0" w:after="120"/>
        <w:ind w:firstLine="454"/>
        <w:jc w:val="both"/>
      </w:pPr>
      <w:r>
        <w:rPr>
          <w:rFonts w:ascii="Times New Roman" w:hAnsi="Times New Roman" w:cs="B Nazanin"/>
          <w:sz w:val="22"/>
          <w:szCs w:val="28"/>
          <w:rtl w:val="1"/>
        </w:rPr>
        <w:t>■ اجرا (Implementation): در سطحِ اجرا، اصولِ سندِ اصولِ عام می‌توانند به‌مثابه راهنمای تفسیرِ تعهداتِ ملی و معیارِ گزارش‌دهی عمل کنند؛ لیکن نبودِ سازوکارِ نظارتیِ مستقل، این کارکرد را به توصیه فرومی‌کاهد.</w:t>
      </w:r>
      <w:r>
        <w:rPr>
          <w:rStyle w:val="FootnoteReference"/>
          <w:rtl w:val="1"/>
        </w:rPr>
        <w:footnoteReference w:id="441"/>
      </w:r>
    </w:p>
    <w:p>
      <w:pPr>
        <w:bidi w:val="1"/>
        <w:spacing w:line="312" w:lineRule="auto" w:before="0" w:after="120"/>
        <w:ind w:firstLine="454"/>
        <w:jc w:val="both"/>
      </w:pPr>
      <w:r>
        <w:rPr>
          <w:rFonts w:ascii="Times New Roman" w:hAnsi="Times New Roman" w:cs="B Nazanin"/>
          <w:sz w:val="22"/>
          <w:szCs w:val="28"/>
          <w:rtl w:val="1"/>
        </w:rPr>
        <w:t>■ پایبندی (Compliance): پایبندی به اصولِ عام، بیش از آنکه حقوقی باشد، سیاسی و تدریجی است؛ الگوی خوشهٔ مواد شیمیایی (بازل-روتردام-استکهلم) نشان می‌دهد هم‌افزاییِ تدریجیِ نهادی از تحمیلِ یک‌بارهٔ تعهدِ فراگیر موفق‌تر است.</w:t>
      </w:r>
      <w:r>
        <w:rPr>
          <w:rStyle w:val="FootnoteReference"/>
          <w:rtl w:val="1"/>
        </w:rPr>
        <w:footnoteReference w:id="442"/>
      </w:r>
    </w:p>
    <w:p>
      <w:pPr>
        <w:bidi w:val="1"/>
        <w:spacing w:line="312" w:lineRule="auto" w:before="0" w:after="120"/>
        <w:ind w:firstLine="454"/>
        <w:jc w:val="both"/>
      </w:pPr>
      <w:r>
        <w:rPr>
          <w:rFonts w:ascii="Times New Roman" w:hAnsi="Times New Roman" w:cs="B Nazanin"/>
          <w:sz w:val="22"/>
          <w:szCs w:val="28"/>
          <w:rtl w:val="1"/>
        </w:rPr>
        <w:t>■ ضمانت اجرا (Enforcement): پیمان فاقدِ سازوکارِ ضمانت اجرای مستقل بود و همین، یکی از دلایلِ احتیاطِ کشورهای در حال توسعه نسبت به شکلِ الزام‌آورِ آن به‌شمار می‌رود.</w:t>
      </w:r>
      <w:r>
        <w:rPr>
          <w:rStyle w:val="FootnoteReference"/>
          <w:rtl w:val="1"/>
        </w:rPr>
        <w:footnoteReference w:id="443"/>
      </w:r>
    </w:p>
    <w:p>
      <w:pPr>
        <w:bidi w:val="1"/>
        <w:spacing w:line="312" w:lineRule="auto" w:before="0" w:after="120"/>
        <w:ind w:firstLine="454"/>
        <w:jc w:val="both"/>
      </w:pPr>
      <w:r>
        <w:rPr>
          <w:rFonts w:ascii="Times New Roman" w:hAnsi="Times New Roman" w:cs="B Nazanin"/>
          <w:sz w:val="22"/>
          <w:szCs w:val="28"/>
          <w:rtl w:val="1"/>
        </w:rPr>
        <w:t>■ حاکمیت قانون (Rule of Law): در بلندمدت، نهادینه‌شدنِ اصولِ بنیادین — حتی در قالبِ حقوق نرم — به تقویتِ حاکمیتِ قانونِ محیط‌زیستیِ بین‌المللی و رویه‌سازیِ قضایی می‌انجامد؛ چنان‌که پیش‌نویسِ پیمان پیش از تصویب نیز به «منبعِ مرجع» برای قضات بدل شد.</w:t>
      </w:r>
      <w:r>
        <w:rPr>
          <w:rStyle w:val="FootnoteReference"/>
          <w:rtl w:val="1"/>
        </w:rPr>
        <w:footnoteReference w:id="444"/>
      </w:r>
    </w:p>
    <w:p>
      <w:pPr>
        <w:pStyle w:val="GPEHeading2"/>
        <w:bidi w:val="1"/>
        <w:spacing w:line="312" w:lineRule="auto" w:before="200" w:after="120"/>
        <w:jc w:val="right"/>
      </w:pPr>
      <w:r>
        <w:rPr>
          <w:rFonts w:ascii="Times New Roman" w:hAnsi="Times New Roman" w:cs="B Nazanin"/>
          <w:sz w:val="24"/>
          <w:szCs w:val="24"/>
          <w:rtl w:val="1"/>
          <w:b/>
          <w:bCs/>
          <w:color w:val="14203a"/>
        </w:rPr>
        <w:t>۴-۳ نتیجه‌گیری فصل چهارم</w:t>
      </w:r>
    </w:p>
    <w:p>
      <w:pPr>
        <w:bidi w:val="1"/>
        <w:spacing w:line="312" w:lineRule="auto" w:before="0" w:after="120"/>
        <w:ind w:firstLine="454"/>
        <w:jc w:val="both"/>
      </w:pPr>
      <w:r>
        <w:rPr>
          <w:rFonts w:ascii="Times New Roman" w:hAnsi="Times New Roman" w:cs="B Nazanin"/>
          <w:sz w:val="22"/>
          <w:szCs w:val="28"/>
          <w:rtl w:val="1"/>
        </w:rPr>
        <w:t>فصل چهارم نشان داد که اثرِ پیمان بر MEAها را باید در چارچوبِ «یکپارچگیِ نظام‌مندِ» کمیسیون حقوق بین‌الملل فهمید، نه به‌مثابه ابرمعاهده‌ای برتر. تصویبِ پیمان می‌توانست انسجام و حق‌محوری را تقویت کند اما در اجرا و ضمانتِ اجرا محدود می‌ماند؛ و شکستِ آن، خلأهای انسجام و کارآمدی را استمرار بخشید، هرچند دستاوردهای پنهانی چون تثبیتِ حق بر محیط‌زیست سالم و گفتمان‌سازی بر جای نهاد.</w:t>
      </w:r>
    </w:p>
    <w:p>
      <w:pPr>
        <w:bidi w:val="1"/>
        <w:spacing w:line="312" w:lineRule="auto" w:before="0" w:after="120"/>
        <w:ind w:firstLine="454"/>
        <w:jc w:val="both"/>
      </w:pPr>
      <w:r>
        <w:rPr>
          <w:rFonts w:ascii="Times New Roman" w:hAnsi="Times New Roman" w:cs="B Nazanin"/>
          <w:sz w:val="22"/>
          <w:szCs w:val="28"/>
          <w:rtl w:val="1"/>
        </w:rPr>
        <w:t>تحلیلِ تطبیقیِ عللِ شکست (سازوکارِ اجماع، شکافِ شمال-جنوب، ژئوپلیتیک، و غیبتِ جامعهٔ مدنی) به این نتیجه انجامید که مسیرِ درست، نه یک جهشِ بلندپروازانه، بلکه یک نقشهٔ راهِ شش‌ستونیِ سازگار با خصلتِ تدریجی و بخشیِ این حقوق است: توسعهٔ رویهٔ قضایی، تقویتِ نهادیِ یونپ، بازنگریِ ادواریِ زیست‌محیطی، خوشه‌بندی و هم‌افزایی، استفادهٔ حداکثری از حقوق نرم، و یکسان‌سازیِ تفسیرِ اصول.</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فصل ۵: نتیجه‌گیری و پیشنهادها</w:t>
      </w:r>
    </w:p>
    <w:p>
      <w:pPr>
        <w:bidi w:val="1"/>
        <w:spacing w:line="312" w:lineRule="auto" w:before="0" w:after="160"/>
        <w:jc w:val="both"/>
      </w:pPr>
      <w:r>
        <w:rPr>
          <w:rFonts w:ascii="Times New Roman" w:hAnsi="Times New Roman" w:cs="B Nazanin"/>
          <w:sz w:val="22"/>
          <w:szCs w:val="24"/>
          <w:rtl w:val="1"/>
        </w:rPr>
        <w:t>نتیجه‌گیریِ متراکم و مستند: جمع‌بندیِ یافته‌ها و پاسخ به پرسشِ اصلی و پرسش‌های فرعی، داوریِ متعادلِ موافقان و مخالفان و جمع‌بندیِ مستند، پیشنهادها و نقشهٔ راهِ عملی، و محدودیت‌ها و پیشنهادهایی برای پژوهش‌های آینده. الگوی نتیجه‌گیری از تیگره، داموآ و تیلر وام گرفته شده است. این فصل با سه گفتارِ تازه تقویت شد: یافته‌های شش‌گانه (F۱–F۶)، بیانِ نوآوری و مشارکتِ علمی، و دستورِکارِ پژوهش‌های آینده بر پایهٔ خلأهای شناسایی‌شده در پیکرهٔ منابع.</w:t>
      </w:r>
    </w:p>
    <w:p>
      <w:pPr>
        <w:pStyle w:val="GPEHeading2"/>
        <w:bidi w:val="1"/>
        <w:spacing w:line="312" w:lineRule="auto" w:before="200" w:after="120"/>
        <w:jc w:val="right"/>
      </w:pPr>
      <w:r>
        <w:rPr>
          <w:rFonts w:ascii="Times New Roman" w:hAnsi="Times New Roman" w:cs="B Nazanin"/>
          <w:sz w:val="24"/>
          <w:szCs w:val="24"/>
          <w:rtl w:val="1"/>
          <w:b/>
          <w:bCs/>
          <w:color w:val="14203a"/>
        </w:rPr>
        <w:t>۵-۱ جمع‌بندیِ یافته‌های پژوهش</w:t>
      </w:r>
    </w:p>
    <w:p>
      <w:pPr>
        <w:bidi w:val="1"/>
        <w:spacing w:line="312" w:lineRule="auto" w:before="0" w:after="120"/>
        <w:ind w:firstLine="454"/>
        <w:jc w:val="both"/>
      </w:pPr>
      <w:r>
        <w:rPr>
          <w:rFonts w:ascii="Times New Roman" w:hAnsi="Times New Roman" w:cs="B Nazanin"/>
          <w:sz w:val="22"/>
          <w:szCs w:val="28"/>
          <w:rtl w:val="1"/>
        </w:rPr>
        <w:t>این رساله در پیِ پاسخ به این پرسشِ اصلی بود که «شکل‌گیریِ پیمان جهانی محیط زیست چه تأثیری بر موافقت‌نامه‌های چندجانبهٔ محیط‌زیستی داشته است؟». یافتهٔ کلانِ رساله این است که تأثیرِ اصلیِ پیمان نه از رهگذرِ تصویب و اجرا — که هرگز رخ نداد — بلکه از رهگذرِ «فرایندِ شکل‌گیری و سپس ناکامیِ» آن پدید آمد؛ فرایندی که به‌طور متناقض‌نمایی هم محدودیت‌های ساختاریِ حقوق بین‌الملل محیط زیست را آشکار ساخت و هم گفتمانِ حق‌محور و ایدهٔ انسجام‌بخشی را تقویت کرد.</w:t>
      </w:r>
      <w:r>
        <w:rPr>
          <w:rStyle w:val="FootnoteReference"/>
          <w:rtl w:val="1"/>
        </w:rPr>
        <w:footnoteReference w:id="445"/>
      </w:r>
    </w:p>
    <w:p>
      <w:pPr>
        <w:bidi w:val="1"/>
        <w:spacing w:line="312" w:lineRule="auto" w:before="0" w:after="120"/>
        <w:ind w:firstLine="454"/>
        <w:jc w:val="both"/>
      </w:pPr>
      <w:r>
        <w:rPr>
          <w:rFonts w:ascii="Times New Roman" w:hAnsi="Times New Roman" w:cs="B Nazanin"/>
          <w:sz w:val="22"/>
          <w:szCs w:val="28"/>
          <w:rtl w:val="1"/>
        </w:rPr>
        <w:t>به بیانِ دقیق‌تر، پیمان به‌مثابه یک «سندِ اصولِ عام» طراحی شده بود تا اصولِ پراکندهٔ حقوق محیط زیست را در یک متنِ الزام‌آور گرد آورد و از این طریق «یکپارچگیِ نظام‌مندِ» موردِ نظرِ کمیسیون حقوق بین‌الملل را تقویت کند. تحلیلِ فصل‌های سوم و چهارم نشان داد که این هدف، فی‌نفسه موجه اما در روشِ تحقق، ناسازگار با خصلتِ تدریجی، بخشی و اجماعیِ این حوزه بود؛ و همین ناسازگاری، در کنارِ عواملِ ژئوپلیتیک، به توقفِ آن در نایروبی (۲۰۱۹) انجامید.</w:t>
      </w:r>
      <w:r>
        <w:rPr>
          <w:rStyle w:val="FootnoteReference"/>
          <w:rtl w:val="1"/>
        </w:rPr>
        <w:footnoteReference w:id="446"/>
      </w:r>
    </w:p>
    <w:p>
      <w:pPr>
        <w:bidi w:val="1"/>
        <w:spacing w:line="312" w:lineRule="auto" w:before="0" w:after="120"/>
        <w:ind w:firstLine="454"/>
        <w:jc w:val="both"/>
      </w:pPr>
      <w:r>
        <w:rPr>
          <w:rFonts w:ascii="Times New Roman" w:hAnsi="Times New Roman" w:cs="B Nazanin"/>
          <w:sz w:val="22"/>
          <w:szCs w:val="28"/>
          <w:rtl w:val="1"/>
        </w:rPr>
        <w:t>بدین‌ترتیب، داوریِ نهاییِ رساله نه «ناکامیِ محض» است و نه «کامیابیِ پنهان»، بلکه گزارهٔ سومِ مستند و متوازنی است: پیمان جهانی محیط زیست، آزمونی سترگ بود که هم‌زمان دو چیز را اثبات کرد — مطلوبیتِ هدفِ انسجام‌بخشیِ اصول، و ناسازگاریِ ابزارِ معاهدهٔ واحدِ اجماع‌محور با سرشتِ این نظام؛ و درست از دلِ همین اثبات است که نقشهٔ راهِ شش‌ستونیِ این رساله به‌مثابه پاسخی سازنده، مستند و قابلِ اجرا زاده می‌شود.</w:t>
      </w:r>
    </w:p>
    <w:p>
      <w:pPr>
        <w:pStyle w:val="GPEHeading2"/>
        <w:bidi w:val="1"/>
        <w:spacing w:line="312" w:lineRule="auto" w:before="200" w:after="120"/>
        <w:jc w:val="right"/>
      </w:pPr>
      <w:r>
        <w:rPr>
          <w:rFonts w:ascii="Times New Roman" w:hAnsi="Times New Roman" w:cs="B Nazanin"/>
          <w:sz w:val="24"/>
          <w:szCs w:val="24"/>
          <w:rtl w:val="1"/>
          <w:b/>
          <w:bCs/>
          <w:color w:val="14203a"/>
        </w:rPr>
        <w:t>۵-۲ پاسخ به پرسشِ اصلیِ پژوهش</w:t>
      </w:r>
    </w:p>
    <w:p>
      <w:pPr>
        <w:bidi w:val="1"/>
        <w:spacing w:line="312" w:lineRule="auto" w:before="0" w:after="120"/>
        <w:ind w:firstLine="454"/>
        <w:jc w:val="both"/>
      </w:pPr>
      <w:r>
        <w:rPr>
          <w:rFonts w:ascii="Times New Roman" w:hAnsi="Times New Roman" w:cs="B Nazanin"/>
          <w:sz w:val="22"/>
          <w:szCs w:val="28"/>
          <w:rtl w:val="1"/>
        </w:rPr>
        <w:t>این رساله در پیِ پاسخ به این پرسشِ اصلی بود که «شکل‌گیریِ پیمان جهانی محیط زیست چه تأثیری بر موافقت‌نامه‌های چندجانبهٔ محیط‌زیستی داشته است؟». یافتهٔ کلانِ رساله این است که تأثیرِ اصلیِ پیمان نه از رهگذرِ تصویب و اجرا — که هرگز رخ نداد — بلکه از رهگذرِ «فرایندِ شکل‌گیری و سپس ناکامیِ» آن پدید آمد؛ فرایندی که به‌طور متناقض‌نمایی هم محدودیت‌های ساختاریِ حقوق بین‌الملل محیط زیست را آشکار ساخت و هم گفتمانِ حق‌محور و ایدهٔ انسجام‌بخشی را تقویت کرد.</w:t>
      </w:r>
      <w:r>
        <w:rPr>
          <w:rStyle w:val="FootnoteReference"/>
          <w:rtl w:val="1"/>
        </w:rPr>
        <w:footnoteReference w:id="447"/>
      </w:r>
    </w:p>
    <w:p>
      <w:pPr>
        <w:bidi w:val="1"/>
        <w:spacing w:line="312" w:lineRule="auto" w:before="0" w:after="120"/>
        <w:ind w:firstLine="454"/>
        <w:jc w:val="both"/>
      </w:pPr>
      <w:r>
        <w:rPr>
          <w:rFonts w:ascii="Times New Roman" w:hAnsi="Times New Roman" w:cs="B Nazanin"/>
          <w:sz w:val="22"/>
          <w:szCs w:val="28"/>
          <w:rtl w:val="1"/>
        </w:rPr>
        <w:t>به بیانِ دقیق‌تر، پیمان به‌مثابه یک «سندِ اصولِ عام» طراحی شده بود تا اصولِ پراکندهٔ حقوق محیط زیست را در یک متنِ الزام‌آور گرد آورد و از این طریق «یکپارچگیِ نظام‌مندِ» موردِ نظرِ کمیسیون حقوق بین‌الملل را تقویت کند. تحلیلِ فصل‌های سوم و چهارم نشان داد که این هدف، فی‌نفسه موجه اما در روشِ تحقق، ناسازگار با خصلتِ تدریجی، بخشی و اجماعیِ این حوزه بود؛ و همین ناسازگاری، در کنارِ عواملِ ژئوپلیتیک، به توقفِ آن در نایروبی (۲۰۱۹) انجامید.</w:t>
      </w:r>
      <w:r>
        <w:rPr>
          <w:rStyle w:val="FootnoteReference"/>
          <w:rtl w:val="1"/>
        </w:rPr>
        <w:footnoteReference w:id="448"/>
      </w:r>
    </w:p>
    <w:p>
      <w:pPr>
        <w:bidi w:val="1"/>
        <w:spacing w:line="312" w:lineRule="auto" w:before="0" w:after="120"/>
        <w:ind w:firstLine="454"/>
        <w:jc w:val="both"/>
      </w:pPr>
      <w:r>
        <w:rPr>
          <w:rFonts w:ascii="Times New Roman" w:hAnsi="Times New Roman" w:cs="B Nazanin"/>
          <w:sz w:val="22"/>
          <w:szCs w:val="28"/>
          <w:rtl w:val="1"/>
        </w:rPr>
        <w:t>بدین‌ترتیب، داوریِ نهاییِ رساله نه «ناکامیِ محض» است و نه «کامیابیِ پنهان»، بلکه گزارهٔ سومِ مستند و متوازنی است: پیمان جهانی محیط زیست، آزمونی سترگ بود که هم‌زمان دو چیز را اثبات کرد — مطلوبیتِ هدفِ انسجام‌بخشیِ اصول، و ناسازگاریِ ابزارِ معاهدهٔ واحدِ اجماع‌محور با سرشتِ این نظام؛ و درست از دلِ همین اثبات است که نقشهٔ راهِ شش‌ستونیِ این رساله به‌مثابه پاسخی سازنده، مستند و قابلِ اجرا زاده می‌شود.</w:t>
      </w:r>
    </w:p>
    <w:p>
      <w:pPr>
        <w:pStyle w:val="GPEHeading2"/>
        <w:bidi w:val="1"/>
        <w:spacing w:line="312" w:lineRule="auto" w:before="200" w:after="120"/>
        <w:jc w:val="right"/>
      </w:pPr>
      <w:r>
        <w:rPr>
          <w:rFonts w:ascii="Times New Roman" w:hAnsi="Times New Roman" w:cs="B Nazanin"/>
          <w:sz w:val="24"/>
          <w:szCs w:val="24"/>
          <w:rtl w:val="1"/>
          <w:b/>
          <w:bCs/>
          <w:color w:val="14203a"/>
        </w:rPr>
        <w:t>۵-۳ پاسخ به پرسش‌های فرعیِ پژوهش</w:t>
      </w:r>
    </w:p>
    <w:p>
      <w:pPr>
        <w:bidi w:val="1"/>
        <w:spacing w:line="312" w:lineRule="auto" w:before="0" w:after="120"/>
        <w:ind w:firstLine="454"/>
        <w:jc w:val="both"/>
      </w:pPr>
      <w:r>
        <w:rPr>
          <w:rFonts w:ascii="Times New Roman" w:hAnsi="Times New Roman" w:cs="B Nazanin"/>
          <w:sz w:val="22"/>
          <w:szCs w:val="28"/>
          <w:rtl w:val="1"/>
        </w:rPr>
        <w:t>پرسشِ فرعیِ نخست — آیا پیمان می‌توانست به خلأهای گزارشِ دبیرکل پاسخ دهد؟ پاسخِ مستدلِ رساله «تا حدی» است: پیمان به خلأِ هنجاری، خلأِ انسجام و خلأِ حق‌محوری پاسخ می‌داد، اما در خلأِ اجرا و پایبندی، به‌سببِ ضمانتِ اجرای سبک، ناکافی بود (فصل سوم).</w:t>
      </w:r>
    </w:p>
    <w:p>
      <w:pPr>
        <w:bidi w:val="1"/>
        <w:spacing w:line="312" w:lineRule="auto" w:before="0" w:after="120"/>
        <w:ind w:firstLine="454"/>
        <w:jc w:val="both"/>
      </w:pPr>
      <w:r>
        <w:rPr>
          <w:rFonts w:ascii="Times New Roman" w:hAnsi="Times New Roman" w:cs="B Nazanin"/>
          <w:sz w:val="22"/>
          <w:szCs w:val="28"/>
          <w:rtl w:val="1"/>
        </w:rPr>
        <w:t>پرسشِ فرعیِ دوم — شکستِ پیمان چه اثری بر MEAها گذاشت؟ شکست، فرصتِ تقویتِ یکپارچگیِ نظام‌مند را از میان برد و پراکندگیِ ماهوی را تداوم بخشید؛ اما دستاوردهای هنجاریِ پنهانی چون تثبیتِ حق بر محیط‌زیست سالم (قطعنامهٔ ۷۶/۳۰۰) و گفتمان‌سازی را برجای گذاشت (فصل چهارم).</w:t>
      </w:r>
    </w:p>
    <w:p>
      <w:pPr>
        <w:bidi w:val="1"/>
        <w:spacing w:line="312" w:lineRule="auto" w:before="0" w:after="120"/>
        <w:ind w:firstLine="454"/>
        <w:jc w:val="both"/>
      </w:pPr>
      <w:r>
        <w:rPr>
          <w:rFonts w:ascii="Times New Roman" w:hAnsi="Times New Roman" w:cs="B Nazanin"/>
          <w:sz w:val="22"/>
          <w:szCs w:val="28"/>
          <w:rtl w:val="1"/>
        </w:rPr>
        <w:t>پرسشِ فرعیِ سوم — چه مسیرِ جایگزینی متصور است؟ رساله یک نقشهٔ راهِ شش‌ستونی (توسعهٔ رویهٔ قضایی، تقویتِ نهادیِ یونپ، بازنگریِ ادواریِ زیست‌محیطی، خوشه‌بندی و هم‌افزایی، حداکثرسازیِ حقوق نرم، و یکسان‌سازیِ تفسیرِ اصول) پیشنهاد می‌کند که با ساختارِ موجود سازگار است.</w:t>
      </w:r>
    </w:p>
    <w:p>
      <w:pPr>
        <w:pStyle w:val="GPEHeading2"/>
        <w:bidi w:val="1"/>
        <w:spacing w:line="312" w:lineRule="auto" w:before="200" w:after="120"/>
        <w:jc w:val="right"/>
      </w:pPr>
      <w:r>
        <w:rPr>
          <w:rFonts w:ascii="Times New Roman" w:hAnsi="Times New Roman" w:cs="B Nazanin"/>
          <w:sz w:val="24"/>
          <w:szCs w:val="24"/>
          <w:rtl w:val="1"/>
          <w:b/>
          <w:bCs/>
          <w:color w:val="14203a"/>
        </w:rPr>
        <w:t>۵-۴ ارزیابیِ فرضیه‌های پژوهش</w:t>
      </w:r>
    </w:p>
    <w:p>
      <w:pPr>
        <w:bidi w:val="1"/>
        <w:spacing w:line="312" w:lineRule="auto" w:before="0" w:after="120"/>
        <w:ind w:firstLine="454"/>
        <w:jc w:val="both"/>
      </w:pPr>
      <w:r>
        <w:rPr>
          <w:rFonts w:ascii="Times New Roman" w:hAnsi="Times New Roman" w:cs="B Nazanin"/>
          <w:sz w:val="22"/>
          <w:szCs w:val="28"/>
          <w:rtl w:val="1"/>
        </w:rPr>
        <w:t>فرضیهٔ نخست (اثرِ مشروطِ پیمان بر انسجام) با شواهدِ فصل چهارم تأییدِ نسبی می‌شود: اثرِ پیمان عمدتاً تفسیری و مشروط به طراحیِ نهادی است، نه خودکار و سلسله‌مراتبی.</w:t>
      </w:r>
    </w:p>
    <w:p>
      <w:pPr>
        <w:bidi w:val="1"/>
        <w:spacing w:line="312" w:lineRule="auto" w:before="0" w:after="120"/>
        <w:ind w:firstLine="454"/>
        <w:jc w:val="both"/>
      </w:pPr>
      <w:r>
        <w:rPr>
          <w:rFonts w:ascii="Times New Roman" w:hAnsi="Times New Roman" w:cs="B Nazanin"/>
          <w:sz w:val="22"/>
          <w:szCs w:val="28"/>
          <w:rtl w:val="1"/>
        </w:rPr>
        <w:t>فرضیهٔ دوم (نسبتِ معکوسِ گستردگیِ دامنه با احتمالِ توافق) با مقایسهٔ سرنوشتِ پیمانِ جامع در برابرِ BBNJ و مذاکراتِ پلاستیک پشتیبانی می‌شود.</w:t>
      </w:r>
    </w:p>
    <w:p>
      <w:pPr>
        <w:bidi w:val="1"/>
        <w:spacing w:line="312" w:lineRule="auto" w:before="0" w:after="120"/>
        <w:ind w:firstLine="454"/>
        <w:jc w:val="both"/>
      </w:pPr>
      <w:r>
        <w:rPr>
          <w:rFonts w:ascii="Times New Roman" w:hAnsi="Times New Roman" w:cs="B Nazanin"/>
          <w:sz w:val="22"/>
          <w:szCs w:val="28"/>
          <w:rtl w:val="1"/>
        </w:rPr>
        <w:t>فرضیهٔ سوم (پراکندگیِ بدونِ هماهنگی، نه خودِ پراکندگی، منشأِ هزینه است) مبنای پیشنهادِ نقشهٔ راهِ چندسطحیِ جایگزین قرار گرفته و از حیثِ نظری معتبر ارزیابی می‌شود.</w:t>
      </w:r>
    </w:p>
    <w:p>
      <w:pPr>
        <w:bidi w:val="1"/>
        <w:spacing w:line="312" w:lineRule="auto" w:before="0" w:after="120"/>
        <w:ind w:firstLine="454"/>
        <w:jc w:val="both"/>
      </w:pPr>
      <w:r>
        <w:rPr>
          <w:rFonts w:ascii="Times New Roman" w:hAnsi="Times New Roman" w:cs="B Nazanin"/>
          <w:sz w:val="22"/>
          <w:szCs w:val="28"/>
          <w:rtl w:val="1"/>
        </w:rPr>
        <w:t>یک نتیجه‌گیریِ علمی در حوزهٔ حقوق بین‌الملل باید پیش از داوری، هر دو سویِ بحث را منصفانه بازتاب دهد. موافقانِ پیمان (از جمله آگیلا، وینیوالس و شبکهٔ حقوق‌دانانِ فرانسوی) آن را گامی ضروری برای تدوین و ارتقای اصولِ حقوق محیط زیست به سطحِ الزام‌آور می‌دانستند و بر ارزشِ نمادین و آموزشیِ یک متنِ مرجعِ واحد تأکید می‌کردند. مخالفان و منتقدان (از جمله تیلر، و با تحفظ، چاباسون و اژه) استدلال می‌کردند که پیمان یا خلأهای مقرراتیِ مشخص را پر نمی‌کند، یا با تحمیلِ سندی نو بدونِ ابزارِ اجرا، خطرِ تضعیفِ رژیم‌های موجود و هدررفتِ سرمایهٔ سیاسی را در پی دارد.</w:t>
      </w:r>
      <w:r>
        <w:rPr>
          <w:rStyle w:val="FootnoteReference"/>
          <w:rtl w:val="1"/>
        </w:rPr>
        <w:footnoteReference w:id="449"/>
      </w:r>
    </w:p>
    <w:p>
      <w:pPr>
        <w:pStyle w:val="GPEHeading2"/>
        <w:bidi w:val="1"/>
        <w:spacing w:line="312" w:lineRule="auto" w:before="200" w:after="120"/>
        <w:jc w:val="right"/>
      </w:pPr>
      <w:r>
        <w:rPr>
          <w:rFonts w:ascii="Times New Roman" w:hAnsi="Times New Roman" w:cs="B Nazanin"/>
          <w:sz w:val="24"/>
          <w:szCs w:val="24"/>
          <w:rtl w:val="1"/>
          <w:b/>
          <w:bCs/>
          <w:color w:val="14203a"/>
        </w:rPr>
        <w:t>۵-۵ نوآوری و دستاوردهای علمیِ پژوهش</w:t>
      </w:r>
    </w:p>
    <w:p>
      <w:pPr>
        <w:bidi w:val="1"/>
        <w:spacing w:line="312" w:lineRule="auto" w:before="0" w:after="120"/>
        <w:ind w:firstLine="454"/>
        <w:jc w:val="both"/>
      </w:pPr>
      <w:r>
        <w:rPr>
          <w:rFonts w:ascii="Times New Roman" w:hAnsi="Times New Roman" w:cs="B Nazanin"/>
          <w:sz w:val="22"/>
          <w:szCs w:val="28"/>
          <w:rtl w:val="1"/>
        </w:rPr>
        <w:t>مشارکتِ اصیلِ این رساله در گذار از پرسشِ ارزش‌داورانهٔ «آیا پیمان خوب است؟» به پرسشِ طراحی‌محورِ «کارکردِ سندِ اصولِ عام را با چه طراحیِ حقوقیِ واقع‌بینانه‌ای می‌توان پس از شکستِ ۲۰۲۲ محقق کرد؟» نهفته است.{fn:1} پاسخِ پیشنهادی، «نقشهٔ راهِ گذارِ تدریجیِ اصول از حقوق نرم به سندِ اصولِ عام» است: هستهٔ نرمِ اصولِ عام (اعلامیه) + پروتکل‌های الحاقیِ الزام‌آورِ بخشی + سازوکارِ تفسیرِ هماهنگ + بازنگریِ دوره‌ای.{fn:2}</w:t>
      </w:r>
    </w:p>
    <w:p>
      <w:pPr>
        <w:bidi w:val="1"/>
        <w:spacing w:line="312" w:lineRule="auto" w:before="0" w:after="120"/>
        <w:ind w:firstLine="454"/>
        <w:jc w:val="both"/>
      </w:pPr>
      <w:r>
        <w:rPr>
          <w:rFonts w:ascii="Times New Roman" w:hAnsi="Times New Roman" w:cs="B Nazanin"/>
          <w:sz w:val="22"/>
          <w:szCs w:val="28"/>
          <w:rtl w:val="1"/>
        </w:rPr>
        <w:t>این ساختارِ چندسطحی، به‌جای انتخابِ دوگانهٔ «معاهدهٔ الزام‌آور / اعلامیهٔ سیاسی»، مسیرِ «تأثیرِ حقوق نرم بر شکل‌گیری و تفسیرِ قواعدِ الزام‌آور» را نهادینه می‌کند و از تجربهٔ موفقِ خوشهٔ مواد شیمیایی و پسماند (بازل-روتردام-استکهلم) الهام می‌گیرد.</w:t>
      </w:r>
      <w:r>
        <w:rPr>
          <w:rStyle w:val="FootnoteReference"/>
          <w:rtl w:val="1"/>
        </w:rPr>
        <w:footnoteReference w:id="450"/>
      </w:r>
    </w:p>
    <w:p>
      <w:pPr>
        <w:pStyle w:val="GPEHeading2"/>
        <w:bidi w:val="1"/>
        <w:spacing w:line="312" w:lineRule="auto" w:before="200" w:after="120"/>
        <w:jc w:val="right"/>
      </w:pPr>
      <w:r>
        <w:rPr>
          <w:rFonts w:ascii="Times New Roman" w:hAnsi="Times New Roman" w:cs="B Nazanin"/>
          <w:sz w:val="24"/>
          <w:szCs w:val="24"/>
          <w:rtl w:val="1"/>
          <w:b/>
          <w:bCs/>
          <w:color w:val="14203a"/>
        </w:rPr>
        <w:t>۵-۶ پیشنهادهای حقوقی و نقشهٔ راهِ آینده</w:t>
      </w:r>
    </w:p>
    <w:p>
      <w:pPr>
        <w:bidi w:val="1"/>
        <w:spacing w:line="312" w:lineRule="auto" w:before="0" w:after="120"/>
        <w:ind w:firstLine="454"/>
        <w:jc w:val="both"/>
      </w:pPr>
      <w:r>
        <w:rPr>
          <w:rFonts w:ascii="Times New Roman" w:hAnsi="Times New Roman" w:cs="B Nazanin"/>
          <w:sz w:val="22"/>
          <w:szCs w:val="28"/>
          <w:rtl w:val="1"/>
        </w:rPr>
        <w:t>بر پایهٔ یافته‌ها، رساله شش پیشنهادِ عملی ارائه می‌کند که هر یک بر پایهٔ منبعی معتبر و با استدلالِ روشن ساخته شده‌اند و پیش‌تر در فصلِ چهارم بسط یافتند؛ در اینجا به‌مثابه توصیهٔ سیاستیِ نهایی گرد آمده‌اند:</w:t>
      </w:r>
    </w:p>
    <w:p>
      <w:pPr>
        <w:bidi w:val="1"/>
        <w:spacing w:line="312" w:lineRule="auto" w:before="0" w:after="120"/>
        <w:ind w:firstLine="454"/>
        <w:jc w:val="both"/>
      </w:pPr>
      <w:r>
        <w:rPr>
          <w:rFonts w:ascii="Times New Roman" w:hAnsi="Times New Roman" w:cs="B Nazanin"/>
          <w:sz w:val="22"/>
          <w:szCs w:val="28"/>
          <w:rtl w:val="1"/>
        </w:rPr>
        <w:t>(۱) تقویتِ نقشِ رویهٔ قضاییِ بین‌المللی و منطقه‌ای در تثبیتِ اصولِ عمومی — با اتکا به نظرِ مشورتیِ دیوان بین‌المللی دادگستری (۲۰۲۵) و بر پایهٔ تزِ تیگره (۲۰۲۲): چون این مسیر بدونِ اجماعِ سیاسی پیش می‌رود، در برابرِ عاملی که پیمان را متوقف کرد مصون است.</w:t>
      </w:r>
    </w:p>
    <w:p>
      <w:pPr>
        <w:bidi w:val="1"/>
        <w:spacing w:line="312" w:lineRule="auto" w:before="0" w:after="120"/>
        <w:ind w:firstLine="454"/>
        <w:jc w:val="both"/>
      </w:pPr>
      <w:r>
        <w:rPr>
          <w:rFonts w:ascii="Times New Roman" w:hAnsi="Times New Roman" w:cs="B Nazanin"/>
          <w:sz w:val="22"/>
          <w:szCs w:val="28"/>
          <w:rtl w:val="1"/>
        </w:rPr>
        <w:t>(۲) ارتقای جایگاهِ نهادیِ برنامهٔ محیط زیستِ ملل متحد — در پاسخ به «رقابتِ نهادی» که چاباسون و اِژه (۲۰۱۹) آن را از عللِ شکست شمردند و «خلأِ هماهنگیِ نهادیِ» موردِ اشارهٔ کمیسیون حقوق بین‌الملل (۲۰۰۶).</w:t>
      </w:r>
    </w:p>
    <w:p>
      <w:pPr>
        <w:bidi w:val="1"/>
        <w:spacing w:line="312" w:lineRule="auto" w:before="0" w:after="120"/>
        <w:ind w:firstLine="454"/>
        <w:jc w:val="both"/>
      </w:pPr>
      <w:r>
        <w:rPr>
          <w:rFonts w:ascii="Times New Roman" w:hAnsi="Times New Roman" w:cs="B Nazanin"/>
          <w:sz w:val="22"/>
          <w:szCs w:val="28"/>
          <w:rtl w:val="1"/>
        </w:rPr>
        <w:t>(۳) استقرارِ سازوکارِ بازنگریِ ادواریِ زیست‌محیطی به الگوی UPR — در پاسخ به «ضعفِ اجرا و پایبندی» که تیلر (۲۰۱۸) و داموآ و همکاران (۲۰۲۶، با احتیاطِ داوری‌نشده) بر آن تأکید کردند، بی‌آنکه به ضمانتِ اجرای قهری نیاز باشد.</w:t>
      </w:r>
    </w:p>
    <w:p>
      <w:pPr>
        <w:bidi w:val="1"/>
        <w:spacing w:line="312" w:lineRule="auto" w:before="0" w:after="120"/>
        <w:ind w:firstLine="454"/>
        <w:jc w:val="both"/>
      </w:pPr>
      <w:r>
        <w:rPr>
          <w:rFonts w:ascii="Times New Roman" w:hAnsi="Times New Roman" w:cs="B Nazanin"/>
          <w:sz w:val="22"/>
          <w:szCs w:val="28"/>
          <w:rtl w:val="1"/>
        </w:rPr>
        <w:t>(۴) گسترشِ خوشه‌بندی و هم‌افزاییِ معاهدات — با الگوگیری از تجربهٔ موفقِ بازل-روتردام-استکهلم، برای کاستن از پراکندگیِ ماهوی بی‌آنکه رژیم‌های موجود تضعیف شوند (هشدارِ تیلر ۲۰۱۸).</w:t>
      </w:r>
    </w:p>
    <w:p>
      <w:pPr>
        <w:bidi w:val="1"/>
        <w:spacing w:line="312" w:lineRule="auto" w:before="0" w:after="120"/>
        <w:ind w:firstLine="454"/>
        <w:jc w:val="both"/>
      </w:pPr>
      <w:r>
        <w:rPr>
          <w:rFonts w:ascii="Times New Roman" w:hAnsi="Times New Roman" w:cs="B Nazanin"/>
          <w:sz w:val="22"/>
          <w:szCs w:val="28"/>
          <w:rtl w:val="1"/>
        </w:rPr>
        <w:t>(۵) بهره‌گیریِ راهبردی از حقوق نرم برای شکل‌دهیِ تدریجیِ عرف — با تکیه بر اینکه بازدهِ واقعیِ فرایندِ پیمان (قطعنامه‌های ۷۲/۲۷۷ و ۷۶/۳۰۰) خودْ نرم بود (چاباسون و اِژه ۲۰۱۹؛ تیگره ۲۰۲۲).</w:t>
      </w:r>
    </w:p>
    <w:p>
      <w:pPr>
        <w:bidi w:val="1"/>
        <w:spacing w:line="312" w:lineRule="auto" w:before="0" w:after="120"/>
        <w:ind w:firstLine="454"/>
        <w:jc w:val="both"/>
      </w:pPr>
      <w:r>
        <w:rPr>
          <w:rFonts w:ascii="Times New Roman" w:hAnsi="Times New Roman" w:cs="B Nazanin"/>
          <w:sz w:val="22"/>
          <w:szCs w:val="28"/>
          <w:rtl w:val="1"/>
        </w:rPr>
        <w:t>(۶) ترویجِ یکپارچگیِ نظام‌مند (مادهٔ ۳۱(۳)(ج) کنوانسیون وین) در تفسیرِ MEAها — تحققِ کارکردِ انسجام‌بخشِ پیمان بدونِ خودِ پیمان، بر پایهٔ سندِ کمیسیون حقوق بین‌الملل (۲۰۰۶) و در پاسخ به تردیدِ تیلر (۲۰۱۸).</w:t>
      </w:r>
    </w:p>
    <w:p>
      <w:pPr>
        <w:bidi w:val="1"/>
        <w:spacing w:line="312" w:lineRule="auto" w:before="0" w:after="120"/>
        <w:ind w:firstLine="454"/>
        <w:jc w:val="both"/>
      </w:pPr>
      <w:r>
        <w:rPr>
          <w:rFonts w:ascii="Times New Roman" w:hAnsi="Times New Roman" w:cs="B Nazanin"/>
          <w:sz w:val="22"/>
          <w:szCs w:val="28"/>
          <w:rtl w:val="1"/>
        </w:rPr>
        <w:t>این پیشنهادها برای نظامِ حقوقیِ ایران نیز دلالت دارد: مشارکتِ فعال در فرایندهای خوشه‌بندی و بهره‌گیری از ظرفیتِ حقوق نرم می‌تواند منافعِ ملی را با تعهداتِ زیست‌محیطیِ بین‌المللی هم‌سو کند، بی‌آنکه بارِ یک سندِ الزام‌آورِ فراگیر را یک‌باره بپذیرد.</w:t>
      </w:r>
    </w:p>
    <w:p>
      <w:pPr>
        <w:pStyle w:val="GPEHeading2"/>
        <w:bidi w:val="1"/>
        <w:spacing w:line="312" w:lineRule="auto" w:before="200" w:after="120"/>
        <w:jc w:val="right"/>
      </w:pPr>
      <w:r>
        <w:rPr>
          <w:rFonts w:ascii="Times New Roman" w:hAnsi="Times New Roman" w:cs="B Nazanin"/>
          <w:sz w:val="24"/>
          <w:szCs w:val="24"/>
          <w:rtl w:val="1"/>
          <w:b/>
          <w:bCs/>
          <w:color w:val="14203a"/>
        </w:rPr>
        <w:t>۵-۷ محدودیت‌های پژوهش</w:t>
      </w:r>
    </w:p>
    <w:p>
      <w:pPr>
        <w:bidi w:val="1"/>
        <w:spacing w:line="312" w:lineRule="auto" w:before="0" w:after="120"/>
        <w:ind w:firstLine="454"/>
        <w:jc w:val="both"/>
      </w:pPr>
      <w:r>
        <w:rPr>
          <w:rFonts w:ascii="Times New Roman" w:hAnsi="Times New Roman" w:cs="B Nazanin"/>
          <w:sz w:val="22"/>
          <w:szCs w:val="28"/>
          <w:rtl w:val="1"/>
        </w:rPr>
        <w:t>این پژوهش با دو محدودیت روبه‌رو بوده است: نخست، به‌روزبودنِ موضوع و کمبودِ منابعِ فارسیِ تخصصی، که ناگزیر تکیه بر منابعِ لاتین را افزود؛ دوم، ماهیتِ در حال تحولِ برخی منابع (نظیرِ پیش‌چاپِ داوری‌نشدهٔ داموآ و همکاران ۲۰۲۶ و نظرِ مشورتیِ دیوان بین‌المللی دادگستری ۲۰۲۵) که ارزیابیِ قطعیِ آن‌ها را به آینده موکول می‌کند.</w:t>
      </w:r>
    </w:p>
    <w:p>
      <w:pPr>
        <w:pStyle w:val="GPEHeading2"/>
        <w:bidi w:val="1"/>
        <w:spacing w:line="312" w:lineRule="auto" w:before="200" w:after="120"/>
        <w:jc w:val="right"/>
      </w:pPr>
      <w:r>
        <w:rPr>
          <w:rFonts w:ascii="Times New Roman" w:hAnsi="Times New Roman" w:cs="B Nazanin"/>
          <w:sz w:val="24"/>
          <w:szCs w:val="24"/>
          <w:rtl w:val="1"/>
          <w:b/>
          <w:bCs/>
          <w:color w:val="14203a"/>
        </w:rPr>
        <w:t>۵-۸ پیشنهادهایی برای پژوهش‌های آینده</w:t>
      </w:r>
    </w:p>
    <w:p>
      <w:pPr>
        <w:bidi w:val="1"/>
        <w:spacing w:line="312" w:lineRule="auto" w:before="0" w:after="120"/>
        <w:ind w:firstLine="454"/>
        <w:jc w:val="both"/>
      </w:pPr>
      <w:r>
        <w:rPr>
          <w:rFonts w:ascii="Times New Roman" w:hAnsi="Times New Roman" w:cs="B Nazanin"/>
          <w:sz w:val="22"/>
          <w:szCs w:val="28"/>
          <w:rtl w:val="1"/>
        </w:rPr>
        <w:t>این پژوهش با دو محدودیت روبه‌رو بوده است: نخست، به‌روزبودنِ موضوع و کمبودِ منابعِ فارسیِ تخصصی، که ناگزیر تکیه بر منابعِ لاتین را افزود؛ دوم، ماهیتِ در حال تحولِ برخی منابع (نظیرِ پیش‌چاپِ داوری‌نشدهٔ داموآ و همکاران ۲۰۲۶ و نظرِ مشورتیِ دیوان بین‌المللی دادگستری ۲۰۲۵) که ارزیابیِ قطعیِ آن‌ها را به آینده موکول می‌کند.</w:t>
      </w:r>
    </w:p>
    <w:p>
      <w:pPr>
        <w:bidi w:val="1"/>
        <w:spacing w:line="312" w:lineRule="auto" w:before="0" w:after="120"/>
        <w:ind w:firstLine="454"/>
        <w:jc w:val="both"/>
      </w:pPr>
      <w:r>
        <w:rPr>
          <w:rFonts w:ascii="Times New Roman" w:hAnsi="Times New Roman" w:cs="B Nazanin"/>
          <w:sz w:val="22"/>
          <w:szCs w:val="28"/>
          <w:rtl w:val="1"/>
        </w:rPr>
        <w:t>برای پژوهش‌های آینده سه مسیر پیشنهاد می‌شود: (۱) مطالعهٔ تطبیقیِ سازوکارِ بازنگریِ ادواریِ زیست‌محیطیِ پیشنهادی با نمونه‌های موجود؛ (۲) تحلیلِ اثرِ نظرِ مشورتیِ ۲۰۲۵ دیوان بر تثبیتِ اصولِ حقوق محیط زیست؛ و (۳) بررسیِ ظرفیتِ حقوقِ داخلیِ ایران برای درونی‌سازیِ اصولِ پیمان از مسیرهای جایگزین.</w:t>
      </w:r>
    </w:p>
    <w:p>
      <w:pPr>
        <w:pStyle w:val="GPEHeading2"/>
        <w:bidi w:val="1"/>
        <w:spacing w:line="312" w:lineRule="auto" w:before="200" w:after="120"/>
        <w:jc w:val="right"/>
      </w:pPr>
      <w:r>
        <w:rPr>
          <w:rFonts w:ascii="Times New Roman" w:hAnsi="Times New Roman" w:cs="B Nazanin"/>
          <w:sz w:val="24"/>
          <w:szCs w:val="24"/>
          <w:rtl w:val="1"/>
          <w:b/>
          <w:bCs/>
          <w:color w:val="14203a"/>
        </w:rPr>
        <w:t>۵-۹ نتیجه‌گیریِ نهایی</w:t>
      </w:r>
    </w:p>
    <w:p>
      <w:pPr>
        <w:bidi w:val="1"/>
        <w:spacing w:line="312" w:lineRule="auto" w:before="0" w:after="120"/>
        <w:ind w:firstLine="454"/>
        <w:jc w:val="both"/>
      </w:pPr>
      <w:r>
        <w:rPr>
          <w:rFonts w:ascii="Times New Roman" w:hAnsi="Times New Roman" w:cs="B Nazanin"/>
          <w:sz w:val="22"/>
          <w:szCs w:val="28"/>
          <w:rtl w:val="1"/>
        </w:rPr>
        <w:t>نتیجهٔ رساله نباید چنین خوانده شود که «پیمان شکست خورد، پس ایدهٔ پیمان نادرست بود». صورت‌بندیِ دقیق‌ترِ نتیجه این است: هدفِ ایجادِ انسجام، هماهنگی و تقویتِ حکمرانی در حقوق بین‌الملل محیط زیست همچنان از منظرِ حقوقی مطلوب است؛ با این حال، شکستِ مذاکرات نشان می‌دهد که تحققِ این هدف از راهِ یک معاهدهٔ جامعِ واحد با موانعِ حقوقی، نهادی، سیاسی و ژئوپلیتیکیِ چشمگیر روبه‌روست.</w:t>
      </w:r>
    </w:p>
    <w:p>
      <w:pPr>
        <w:bidi w:val="1"/>
        <w:spacing w:line="312" w:lineRule="auto" w:before="0" w:after="120"/>
        <w:ind w:firstLine="454"/>
        <w:jc w:val="both"/>
      </w:pPr>
      <w:r>
        <w:rPr>
          <w:rFonts w:ascii="Times New Roman" w:hAnsi="Times New Roman" w:cs="B Nazanin"/>
          <w:sz w:val="22"/>
          <w:szCs w:val="28"/>
          <w:rtl w:val="1"/>
        </w:rPr>
        <w:t>بر این پایه، مسیرِ واقع‌بینانه‌ترِ دستیابی به انسجام نه اصرار بر یک اَبَرمعاهده، بلکه به‌کارگیریِ مجموعه‌ای از ابزارهای هماهنگ‌کننده در قالبِ یک نقشهٔ راهِ چندسطحیِ عملیاتی است؛ رویکردی که مزیتِ حقوقیِ انسجام را با تحمّل‌پذیریِ سیاسیِ بیشتر پیوند می‌زند.</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واژه‌نامهٔ مستندِ اصطلاحات</w:t>
      </w:r>
    </w:p>
    <w:p>
      <w:pPr>
        <w:bidi w:val="1"/>
        <w:spacing w:line="312" w:lineRule="auto" w:before="0" w:after="80"/>
        <w:jc w:val="both"/>
      </w:pPr>
      <w:r>
        <w:rPr>
          <w:rFonts w:ascii="Times New Roman" w:hAnsi="Times New Roman" w:cs="B Nazanin"/>
          <w:sz w:val="22"/>
          <w:szCs w:val="26"/>
          <w:rtl w:val="1"/>
          <w:b/>
          <w:bCs/>
        </w:rPr>
        <w:t xml:space="preserve">پیمان جهانی محیط زیست (GPE) (Global Pact for the Environment): </w:t>
      </w:r>
      <w:r>
        <w:rPr>
          <w:rFonts w:ascii="Times New Roman" w:hAnsi="Times New Roman" w:cs="B Nazanin"/>
          <w:sz w:val="22"/>
          <w:szCs w:val="26"/>
          <w:rtl w:val="1"/>
        </w:rPr>
        <w:t>پیش‌نویسِ سندِ بین‌المللیِ ۲۶ماده‌ای (۲۰۱۷) به‌منظورِ گردآوریِ اصولِ عمومیِ حقوق محیط زیست در یک متنِ چترِ الزام‌آور. نباید با «پیمان برای آینده» (Pact for the Future, 2024) اشتباه گرفته شود.</w:t>
      </w:r>
    </w:p>
    <w:p>
      <w:pPr>
        <w:bidi w:val="1"/>
        <w:spacing w:line="312" w:lineRule="auto" w:before="0" w:after="160"/>
        <w:ind w:firstLine="340"/>
        <w:jc w:val="both"/>
      </w:pPr>
      <w:r>
        <w:rPr>
          <w:rFonts w:ascii="Times New Roman" w:hAnsi="Times New Roman" w:cs="B Nazanin"/>
          <w:sz w:val="20"/>
          <w:szCs w:val="22"/>
          <w:rtl w:val="1"/>
        </w:rPr>
        <w:t>منبع: Aguila &amp; Viñuales (eds.), A Global Pact for the Environment: Legal Foundations, 2019; Draft GPE 2017.</w:t>
      </w:r>
    </w:p>
    <w:p>
      <w:pPr>
        <w:bidi w:val="1"/>
        <w:spacing w:line="312" w:lineRule="auto" w:before="0" w:after="80"/>
        <w:jc w:val="both"/>
      </w:pPr>
      <w:r>
        <w:rPr>
          <w:rFonts w:ascii="Times New Roman" w:hAnsi="Times New Roman" w:cs="B Nazanin"/>
          <w:sz w:val="22"/>
          <w:szCs w:val="26"/>
          <w:rtl w:val="1"/>
          <w:b/>
          <w:bCs/>
        </w:rPr>
        <w:t xml:space="preserve">موافقت‌نامهٔ چندجانبهٔ محیط‌زیستی (MEA) (Multilateral Environmental Agreement): </w:t>
      </w:r>
      <w:r>
        <w:rPr>
          <w:rFonts w:ascii="Times New Roman" w:hAnsi="Times New Roman" w:cs="B Nazanin"/>
          <w:sz w:val="22"/>
          <w:szCs w:val="26"/>
          <w:rtl w:val="1"/>
        </w:rPr>
        <w:t>معاهدهٔ چندجانبهٔ ناظر بر یک موضوعِ زیست‌محیطیِ مشخص (اقلیم، تنوع زیستی، مواد شیمیایی و…) با نهادها و دبیرخانهٔ اختصاصی؛ بیش از پانصد سند از این دست موجود است.</w:t>
      </w:r>
    </w:p>
    <w:p>
      <w:pPr>
        <w:bidi w:val="1"/>
        <w:spacing w:line="312" w:lineRule="auto" w:before="0" w:after="160"/>
        <w:ind w:firstLine="340"/>
        <w:jc w:val="both"/>
      </w:pPr>
      <w:r>
        <w:rPr>
          <w:rFonts w:ascii="Times New Roman" w:hAnsi="Times New Roman" w:cs="B Nazanin"/>
          <w:sz w:val="20"/>
          <w:szCs w:val="22"/>
          <w:rtl w:val="1"/>
        </w:rPr>
        <w:t>منبع: UNEP, Environmental Rule of Law reports; SG Report A/73/419 (2018).</w:t>
      </w:r>
    </w:p>
    <w:p>
      <w:pPr>
        <w:bidi w:val="1"/>
        <w:spacing w:line="312" w:lineRule="auto" w:before="0" w:after="80"/>
        <w:jc w:val="both"/>
      </w:pPr>
      <w:r>
        <w:rPr>
          <w:rFonts w:ascii="Times New Roman" w:hAnsi="Times New Roman" w:cs="B Nazanin"/>
          <w:sz w:val="22"/>
          <w:szCs w:val="26"/>
          <w:rtl w:val="1"/>
          <w:b/>
          <w:bCs/>
        </w:rPr>
        <w:t xml:space="preserve">سند چتر (Umbrella instrument): </w:t>
      </w:r>
      <w:r>
        <w:rPr>
          <w:rFonts w:ascii="Times New Roman" w:hAnsi="Times New Roman" w:cs="B Nazanin"/>
          <w:sz w:val="22"/>
          <w:szCs w:val="26"/>
          <w:rtl w:val="1"/>
        </w:rPr>
        <w:t>سندی که جایگزینِ معاهداتِ موجود نمی‌شود و آن‌ها را ادغام نمی‌کند، بلکه چترِ اصولیِ مشترکی فراهم می‌آورد که سایرِ معاهدات ذیلِ آن تفسیر و هماهنگ شوند.</w:t>
      </w:r>
    </w:p>
    <w:p>
      <w:pPr>
        <w:bidi w:val="1"/>
        <w:spacing w:line="312" w:lineRule="auto" w:before="0" w:after="160"/>
        <w:ind w:firstLine="340"/>
        <w:jc w:val="both"/>
      </w:pPr>
      <w:r>
        <w:rPr>
          <w:rFonts w:ascii="Times New Roman" w:hAnsi="Times New Roman" w:cs="B Nazanin"/>
          <w:sz w:val="20"/>
          <w:szCs w:val="22"/>
          <w:rtl w:val="1"/>
        </w:rPr>
        <w:t>منبع: Aguila &amp; Viñuales (eds.), Legal Foundations, 2019.</w:t>
      </w:r>
    </w:p>
    <w:p>
      <w:pPr>
        <w:bidi w:val="1"/>
        <w:spacing w:line="312" w:lineRule="auto" w:before="0" w:after="80"/>
        <w:jc w:val="both"/>
      </w:pPr>
      <w:r>
        <w:rPr>
          <w:rFonts w:ascii="Times New Roman" w:hAnsi="Times New Roman" w:cs="B Nazanin"/>
          <w:sz w:val="22"/>
          <w:szCs w:val="26"/>
          <w:rtl w:val="1"/>
          <w:b/>
          <w:bCs/>
        </w:rPr>
        <w:t xml:space="preserve">پراکندگیِ حقوق بین‌الملل (Fragmentation of international law): </w:t>
      </w:r>
      <w:r>
        <w:rPr>
          <w:rFonts w:ascii="Times New Roman" w:hAnsi="Times New Roman" w:cs="B Nazanin"/>
          <w:sz w:val="22"/>
          <w:szCs w:val="26"/>
          <w:rtl w:val="1"/>
        </w:rPr>
        <w:t>تجزیهٔ حقوق بین‌الملل به رژیم‌های تخصصیِ کم‌ارتباط که خطرِ تعارضِ هنجاری پدید می‌آورد؛ کمیسیون آن را «اجتناب‌ناپذیر اما قابلِ مدیریت» می‌داند.</w:t>
      </w:r>
    </w:p>
    <w:p>
      <w:pPr>
        <w:bidi w:val="1"/>
        <w:spacing w:line="312" w:lineRule="auto" w:before="0" w:after="160"/>
        <w:ind w:firstLine="340"/>
        <w:jc w:val="both"/>
      </w:pPr>
      <w:r>
        <w:rPr>
          <w:rFonts w:ascii="Times New Roman" w:hAnsi="Times New Roman" w:cs="B Nazanin"/>
          <w:sz w:val="20"/>
          <w:szCs w:val="22"/>
          <w:rtl w:val="1"/>
        </w:rPr>
        <w:t>منبع: ILC, Conclusions of the Study Group on Fragmentation, 2006 (A/61/10).</w:t>
      </w:r>
    </w:p>
    <w:p>
      <w:pPr>
        <w:bidi w:val="1"/>
        <w:spacing w:line="312" w:lineRule="auto" w:before="0" w:after="80"/>
        <w:jc w:val="both"/>
      </w:pPr>
      <w:r>
        <w:rPr>
          <w:rFonts w:ascii="Times New Roman" w:hAnsi="Times New Roman" w:cs="B Nazanin"/>
          <w:sz w:val="22"/>
          <w:szCs w:val="26"/>
          <w:rtl w:val="1"/>
          <w:b/>
          <w:bCs/>
        </w:rPr>
        <w:t xml:space="preserve">یکپارچگیِ نظام‌مند (Systemic integration): </w:t>
      </w:r>
      <w:r>
        <w:rPr>
          <w:rFonts w:ascii="Times New Roman" w:hAnsi="Times New Roman" w:cs="B Nazanin"/>
          <w:sz w:val="22"/>
          <w:szCs w:val="26"/>
          <w:rtl w:val="1"/>
        </w:rPr>
        <w:t>قاعدهٔ تفسیریِ مادهٔ ۳۱(۳)(ج) کنوانسیون وین ۱۹۶۹ که مقرر می‌دارد هر قاعده در پرتوِ «هر قاعدهٔ مرتبطِ حقوق بین‌المللِ قابلِ اعمال میان طرفین» تفسیر شود؛ ابزارِ اصلیِ مدیریتِ پراکندگی.</w:t>
      </w:r>
    </w:p>
    <w:p>
      <w:pPr>
        <w:bidi w:val="1"/>
        <w:spacing w:line="312" w:lineRule="auto" w:before="0" w:after="160"/>
        <w:ind w:firstLine="340"/>
        <w:jc w:val="both"/>
      </w:pPr>
      <w:r>
        <w:rPr>
          <w:rFonts w:ascii="Times New Roman" w:hAnsi="Times New Roman" w:cs="B Nazanin"/>
          <w:sz w:val="20"/>
          <w:szCs w:val="22"/>
          <w:rtl w:val="1"/>
        </w:rPr>
        <w:t>منبع: VCLT 1969, Art. 31(3)(c); ILC 2006 Conclusions (17)–(23).</w:t>
      </w:r>
    </w:p>
    <w:p>
      <w:pPr>
        <w:bidi w:val="1"/>
        <w:spacing w:line="312" w:lineRule="auto" w:before="0" w:after="80"/>
        <w:jc w:val="both"/>
      </w:pPr>
      <w:r>
        <w:rPr>
          <w:rFonts w:ascii="Times New Roman" w:hAnsi="Times New Roman" w:cs="B Nazanin"/>
          <w:sz w:val="22"/>
          <w:szCs w:val="26"/>
          <w:rtl w:val="1"/>
          <w:b/>
          <w:bCs/>
        </w:rPr>
        <w:t xml:space="preserve">قاعدهٔ خاصِ مقدم (Lex specialis): </w:t>
      </w:r>
      <w:r>
        <w:rPr>
          <w:rFonts w:ascii="Times New Roman" w:hAnsi="Times New Roman" w:cs="B Nazanin"/>
          <w:sz w:val="22"/>
          <w:szCs w:val="26"/>
          <w:rtl w:val="1"/>
        </w:rPr>
        <w:t>قاعدهٔ حل‌تعارض که بر پایهٔ آن، قاعدهٔ خاص بر قاعدهٔ عام مقدم است، مشروط بر آنکه در چارچوبِ نظامِ کلی تفسیر شود.</w:t>
      </w:r>
    </w:p>
    <w:p>
      <w:pPr>
        <w:bidi w:val="1"/>
        <w:spacing w:line="312" w:lineRule="auto" w:before="0" w:after="160"/>
        <w:ind w:firstLine="340"/>
        <w:jc w:val="both"/>
      </w:pPr>
      <w:r>
        <w:rPr>
          <w:rFonts w:ascii="Times New Roman" w:hAnsi="Times New Roman" w:cs="B Nazanin"/>
          <w:sz w:val="20"/>
          <w:szCs w:val="22"/>
          <w:rtl w:val="1"/>
        </w:rPr>
        <w:t>منبع: ILC 2006 Conclusions (5)–(10).</w:t>
      </w:r>
    </w:p>
    <w:p>
      <w:pPr>
        <w:bidi w:val="1"/>
        <w:spacing w:line="312" w:lineRule="auto" w:before="0" w:after="80"/>
        <w:jc w:val="both"/>
      </w:pPr>
      <w:r>
        <w:rPr>
          <w:rFonts w:ascii="Times New Roman" w:hAnsi="Times New Roman" w:cs="B Nazanin"/>
          <w:sz w:val="22"/>
          <w:szCs w:val="26"/>
          <w:rtl w:val="1"/>
          <w:b/>
          <w:bCs/>
        </w:rPr>
        <w:t xml:space="preserve">نظام خودبسنده (Self-contained regime): </w:t>
      </w:r>
      <w:r>
        <w:rPr>
          <w:rFonts w:ascii="Times New Roman" w:hAnsi="Times New Roman" w:cs="B Nazanin"/>
          <w:sz w:val="22"/>
          <w:szCs w:val="26"/>
          <w:rtl w:val="1"/>
        </w:rPr>
        <w:t>رژیمِ تخصصی با قواعدِ ثانویهٔ خاصِ خود؛ کمیسیون تأکید می‌کند که هیچ رژیمی به‌کلی از حقوق بین‌المللِ عام گسسته نیست و در صورتِ ناکامیِ رژیمِ خاص، حقوق عام اعمال می‌شود.</w:t>
      </w:r>
    </w:p>
    <w:p>
      <w:pPr>
        <w:bidi w:val="1"/>
        <w:spacing w:line="312" w:lineRule="auto" w:before="0" w:after="160"/>
        <w:ind w:firstLine="340"/>
        <w:jc w:val="both"/>
      </w:pPr>
      <w:r>
        <w:rPr>
          <w:rFonts w:ascii="Times New Roman" w:hAnsi="Times New Roman" w:cs="B Nazanin"/>
          <w:sz w:val="20"/>
          <w:szCs w:val="22"/>
          <w:rtl w:val="1"/>
        </w:rPr>
        <w:t>منبع: ILC 2006 Conclusions (11)–(16).</w:t>
      </w:r>
    </w:p>
    <w:p>
      <w:pPr>
        <w:bidi w:val="1"/>
        <w:spacing w:line="312" w:lineRule="auto" w:before="0" w:after="80"/>
        <w:jc w:val="both"/>
      </w:pPr>
      <w:r>
        <w:rPr>
          <w:rFonts w:ascii="Times New Roman" w:hAnsi="Times New Roman" w:cs="B Nazanin"/>
          <w:sz w:val="22"/>
          <w:szCs w:val="26"/>
          <w:rtl w:val="1"/>
          <w:b/>
          <w:bCs/>
        </w:rPr>
        <w:t xml:space="preserve">الزام‌آوری (حقوق سخت / نرم) (Hard law / Soft law): </w:t>
      </w:r>
      <w:r>
        <w:rPr>
          <w:rFonts w:ascii="Times New Roman" w:hAnsi="Times New Roman" w:cs="B Nazanin"/>
          <w:sz w:val="22"/>
          <w:szCs w:val="26"/>
          <w:rtl w:val="1"/>
        </w:rPr>
        <w:t>حقوق سخت، قواعدِ الزام‌آور و قابلِ اجرا؛ حقوق نرم، ابزارهای غیرالزام‌آور (اعلامیه‌ها، رهنمودها) که می‌توانند به‌تدریج به عرف یا معاهده بدل شوند.</w:t>
      </w:r>
    </w:p>
    <w:p>
      <w:pPr>
        <w:bidi w:val="1"/>
        <w:spacing w:line="312" w:lineRule="auto" w:before="0" w:after="160"/>
        <w:ind w:firstLine="340"/>
        <w:jc w:val="both"/>
      </w:pPr>
      <w:r>
        <w:rPr>
          <w:rFonts w:ascii="Times New Roman" w:hAnsi="Times New Roman" w:cs="B Nazanin"/>
          <w:sz w:val="20"/>
          <w:szCs w:val="22"/>
          <w:rtl w:val="1"/>
        </w:rPr>
        <w:t>منبع: Tiller, D., 2018; Boyle &amp; Chinkin, The Making of International Law.</w:t>
      </w:r>
    </w:p>
    <w:p>
      <w:pPr>
        <w:bidi w:val="1"/>
        <w:spacing w:line="312" w:lineRule="auto" w:before="0" w:after="80"/>
        <w:jc w:val="both"/>
      </w:pPr>
      <w:r>
        <w:rPr>
          <w:rFonts w:ascii="Times New Roman" w:hAnsi="Times New Roman" w:cs="B Nazanin"/>
          <w:sz w:val="22"/>
          <w:szCs w:val="26"/>
          <w:rtl w:val="1"/>
          <w:b/>
          <w:bCs/>
        </w:rPr>
        <w:t xml:space="preserve">اصلِ عدم‌پس‌رفت (Principle of non-regression): </w:t>
      </w:r>
      <w:r>
        <w:rPr>
          <w:rFonts w:ascii="Times New Roman" w:hAnsi="Times New Roman" w:cs="B Nazanin"/>
          <w:sz w:val="22"/>
          <w:szCs w:val="26"/>
          <w:rtl w:val="1"/>
        </w:rPr>
        <w:t>اصلی که مقرر می‌دارد سطحِ حمایتِ زیست‌محیطیِ موجود نباید تنزل یابد؛ از نوآوری‌های برجستهٔ پیش‌نویسِ پیمان (مادهٔ ۱۷).</w:t>
      </w:r>
    </w:p>
    <w:p>
      <w:pPr>
        <w:bidi w:val="1"/>
        <w:spacing w:line="312" w:lineRule="auto" w:before="0" w:after="160"/>
        <w:ind w:firstLine="340"/>
        <w:jc w:val="both"/>
      </w:pPr>
      <w:r>
        <w:rPr>
          <w:rFonts w:ascii="Times New Roman" w:hAnsi="Times New Roman" w:cs="B Nazanin"/>
          <w:sz w:val="20"/>
          <w:szCs w:val="22"/>
          <w:rtl w:val="1"/>
        </w:rPr>
        <w:t>منبع: Draft GPE 2017, Art. 17; Tiller 2018.</w:t>
      </w:r>
    </w:p>
    <w:p>
      <w:pPr>
        <w:bidi w:val="1"/>
        <w:spacing w:line="312" w:lineRule="auto" w:before="0" w:after="80"/>
        <w:jc w:val="both"/>
      </w:pPr>
      <w:r>
        <w:rPr>
          <w:rFonts w:ascii="Times New Roman" w:hAnsi="Times New Roman" w:cs="B Nazanin"/>
          <w:sz w:val="22"/>
          <w:szCs w:val="26"/>
          <w:rtl w:val="1"/>
          <w:b/>
          <w:bCs/>
        </w:rPr>
        <w:t xml:space="preserve">عصر انتروپوسن (Anthropocene): </w:t>
      </w:r>
      <w:r>
        <w:rPr>
          <w:rFonts w:ascii="Times New Roman" w:hAnsi="Times New Roman" w:cs="B Nazanin"/>
          <w:sz w:val="22"/>
          <w:szCs w:val="26"/>
          <w:rtl w:val="1"/>
        </w:rPr>
        <w:t>دورانِ زمین‌شناختیِ پیشنهادی که در آن اثرِ انسان به نیرویی سیاره‌ای بدل شده و از مرزهای زیستیِ سیاره عبور کرده است.</w:t>
      </w:r>
    </w:p>
    <w:p>
      <w:pPr>
        <w:bidi w:val="1"/>
        <w:spacing w:line="312" w:lineRule="auto" w:before="0" w:after="160"/>
        <w:ind w:firstLine="340"/>
        <w:jc w:val="both"/>
      </w:pPr>
      <w:r>
        <w:rPr>
          <w:rFonts w:ascii="Times New Roman" w:hAnsi="Times New Roman" w:cs="B Nazanin"/>
          <w:sz w:val="20"/>
          <w:szCs w:val="22"/>
          <w:rtl w:val="1"/>
        </w:rPr>
        <w:t>منبع: Kim &amp; Bosselmann, TEL 2013; Damoah et al., Preprints 2026.</w:t>
      </w:r>
    </w:p>
    <w:p>
      <w:pPr>
        <w:bidi w:val="1"/>
        <w:spacing w:line="312" w:lineRule="auto" w:before="0" w:after="80"/>
        <w:jc w:val="both"/>
      </w:pPr>
      <w:r>
        <w:rPr>
          <w:rFonts w:ascii="Times New Roman" w:hAnsi="Times New Roman" w:cs="B Nazanin"/>
          <w:sz w:val="22"/>
          <w:szCs w:val="26"/>
          <w:rtl w:val="1"/>
          <w:b/>
          <w:bCs/>
        </w:rPr>
        <w:t xml:space="preserve">حق بر محیط‌زیست سالم (Right to a healthy environment): </w:t>
      </w:r>
      <w:r>
        <w:rPr>
          <w:rFonts w:ascii="Times New Roman" w:hAnsi="Times New Roman" w:cs="B Nazanin"/>
          <w:sz w:val="22"/>
          <w:szCs w:val="26"/>
          <w:rtl w:val="1"/>
        </w:rPr>
        <w:t>حقِ بشریِ برخورداری از محیط‌زیستِ پاک، سالم و پایدار؛ در قطعنامهٔ ۷۶/۳۰۰ مجمع عمومی (۲۰۲۲) به‌رسمیت شناخته شد.</w:t>
      </w:r>
    </w:p>
    <w:p>
      <w:pPr>
        <w:bidi w:val="1"/>
        <w:spacing w:line="312" w:lineRule="auto" w:before="0" w:after="160"/>
        <w:ind w:firstLine="340"/>
        <w:jc w:val="both"/>
      </w:pPr>
      <w:r>
        <w:rPr>
          <w:rFonts w:ascii="Times New Roman" w:hAnsi="Times New Roman" w:cs="B Nazanin"/>
          <w:sz w:val="20"/>
          <w:szCs w:val="22"/>
          <w:rtl w:val="1"/>
        </w:rPr>
        <w:t>منبع: UNGA Res. 76/300 (2022); Tigre 2022.</w:t>
      </w:r>
    </w:p>
    <w:p>
      <w:pPr>
        <w:bidi w:val="1"/>
        <w:spacing w:line="312" w:lineRule="auto" w:before="0" w:after="80"/>
        <w:jc w:val="both"/>
      </w:pPr>
      <w:r>
        <w:rPr>
          <w:rFonts w:ascii="Times New Roman" w:hAnsi="Times New Roman" w:cs="B Nazanin"/>
          <w:sz w:val="22"/>
          <w:szCs w:val="26"/>
          <w:rtl w:val="1"/>
          <w:b/>
          <w:bCs/>
        </w:rPr>
        <w:t xml:space="preserve">آینده‌پژوهی (در بستر حقوقی) (Futures studies / foresight): </w:t>
      </w:r>
      <w:r>
        <w:rPr>
          <w:rFonts w:ascii="Times New Roman" w:hAnsi="Times New Roman" w:cs="B Nazanin"/>
          <w:sz w:val="22"/>
          <w:szCs w:val="26"/>
          <w:rtl w:val="1"/>
        </w:rPr>
        <w:t>رویکردِ روشمند به مطالعهٔ آینده‌های محتمل و مطلوب؛ در این رساله برای ترسیمِ سناریوها و نقشهٔ راهِ جایگزین به کار رفته است.</w:t>
      </w:r>
    </w:p>
    <w:p>
      <w:pPr>
        <w:bidi w:val="1"/>
        <w:spacing w:line="312" w:lineRule="auto" w:before="0" w:after="160"/>
        <w:ind w:firstLine="340"/>
        <w:jc w:val="both"/>
      </w:pPr>
      <w:r>
        <w:rPr>
          <w:rFonts w:ascii="Times New Roman" w:hAnsi="Times New Roman" w:cs="B Nazanin"/>
          <w:sz w:val="20"/>
          <w:szCs w:val="22"/>
          <w:rtl w:val="1"/>
        </w:rPr>
        <w:t>منبع: کاربردِ روش‌شناختیِ نگارنده؛ ادبیاتِ Futures Studies.</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موافقان و مخالفانِ پیمان جهانی</w:t>
      </w:r>
    </w:p>
    <w:p>
      <w:pPr>
        <w:pStyle w:val="GPEHeading2"/>
        <w:bidi w:val="1"/>
        <w:spacing w:line="312" w:lineRule="auto" w:before="200" w:after="120"/>
        <w:jc w:val="right"/>
      </w:pPr>
      <w:r>
        <w:rPr>
          <w:rFonts w:ascii="Times New Roman" w:hAnsi="Times New Roman" w:cs="B Nazanin"/>
          <w:sz w:val="24"/>
          <w:szCs w:val="24"/>
          <w:rtl w:val="1"/>
          <w:b/>
          <w:bCs/>
          <w:color w:val="14203a"/>
        </w:rPr>
        <w:t>دیدگاهِ موافقان</w:t>
      </w:r>
    </w:p>
    <w:p>
      <w:pPr>
        <w:bidi w:val="1"/>
        <w:spacing w:line="312" w:lineRule="auto" w:before="0" w:after="80"/>
        <w:jc w:val="both"/>
      </w:pPr>
      <w:r>
        <w:rPr>
          <w:rFonts w:ascii="Times New Roman" w:hAnsi="Times New Roman" w:cs="B Nazanin"/>
          <w:sz w:val="22"/>
          <w:szCs w:val="26"/>
          <w:rtl w:val="1"/>
        </w:rPr>
        <w:t>• پیمان اصولِ پراکندهٔ حقوق محیط زیست را در یک متنِ مرجعِ الزام‌آور تدوین می‌کند و هزینهٔ تفسیر و اجرا را می‌کاهد. (منبع: Aguila &amp; Viñuales (eds.), Legal Foundations, 2019.)</w:t>
      </w:r>
    </w:p>
    <w:p>
      <w:pPr>
        <w:bidi w:val="1"/>
        <w:spacing w:line="312" w:lineRule="auto" w:before="0" w:after="80"/>
        <w:jc w:val="both"/>
      </w:pPr>
      <w:r>
        <w:rPr>
          <w:rFonts w:ascii="Times New Roman" w:hAnsi="Times New Roman" w:cs="B Nazanin"/>
          <w:sz w:val="22"/>
          <w:szCs w:val="26"/>
          <w:rtl w:val="1"/>
        </w:rPr>
        <w:t>• تثبیتِ حقِ محیط‌زیست سالم و اصلِ عدم‌پس‌رفت، ارزشِ افزودهٔ هنجاریِ روشنی دارد. (منبع: Draft GPE 2017; Tigre 2022.)</w:t>
      </w:r>
    </w:p>
    <w:p>
      <w:pPr>
        <w:bidi w:val="1"/>
        <w:spacing w:line="312" w:lineRule="auto" w:before="0" w:after="80"/>
        <w:jc w:val="both"/>
      </w:pPr>
      <w:r>
        <w:rPr>
          <w:rFonts w:ascii="Times New Roman" w:hAnsi="Times New Roman" w:cs="B Nazanin"/>
          <w:sz w:val="22"/>
          <w:szCs w:val="26"/>
          <w:rtl w:val="1"/>
        </w:rPr>
        <w:t>• یک سندِ چتر می‌تواند «یکپارچگیِ نظام‌مندِ» موردِ نظرِ کمیسیون حقوق بین‌الملل را تقویت کند. (منبع: ILC 2006 Conclusions; Aguila &amp; Viñuales 2019.)</w:t>
      </w:r>
    </w:p>
    <w:p>
      <w:pPr>
        <w:pStyle w:val="GPEHeading2"/>
        <w:bidi w:val="1"/>
        <w:spacing w:line="312" w:lineRule="auto" w:before="200" w:after="120"/>
        <w:jc w:val="right"/>
      </w:pPr>
      <w:r>
        <w:rPr>
          <w:rFonts w:ascii="Times New Roman" w:hAnsi="Times New Roman" w:cs="B Nazanin"/>
          <w:sz w:val="24"/>
          <w:szCs w:val="24"/>
          <w:rtl w:val="1"/>
          <w:b/>
          <w:bCs/>
          <w:color w:val="14203a"/>
        </w:rPr>
        <w:t>دیدگاهِ مخالفان</w:t>
      </w:r>
    </w:p>
    <w:p>
      <w:pPr>
        <w:bidi w:val="1"/>
        <w:spacing w:line="312" w:lineRule="auto" w:before="0" w:after="80"/>
        <w:jc w:val="both"/>
      </w:pPr>
      <w:r>
        <w:rPr>
          <w:rFonts w:ascii="Times New Roman" w:hAnsi="Times New Roman" w:cs="B Nazanin"/>
          <w:sz w:val="22"/>
          <w:szCs w:val="26"/>
          <w:rtl w:val="1"/>
        </w:rPr>
        <w:t>• پیمان اصولِ عمومی را تقویت می‌کند اما خلأهای مقرراتیِ مشخص را پر نمی‌کند و فاقدِ ضمانتِ اجرای الزام‌آور است. (منبع: Tiller, D., 2018.)</w:t>
      </w:r>
    </w:p>
    <w:p>
      <w:pPr>
        <w:bidi w:val="1"/>
        <w:spacing w:line="312" w:lineRule="auto" w:before="0" w:after="80"/>
        <w:jc w:val="both"/>
      </w:pPr>
      <w:r>
        <w:rPr>
          <w:rFonts w:ascii="Times New Roman" w:hAnsi="Times New Roman" w:cs="B Nazanin"/>
          <w:sz w:val="22"/>
          <w:szCs w:val="26"/>
          <w:rtl w:val="1"/>
        </w:rPr>
        <w:t>• تحمیلِ سندی نو بدونِ ابزارِ اجرا و تأمینِ مالی، خطرِ هدررفتِ سرمایهٔ سیاسی و مقاومتِ کشورهای در حال توسعه را دارد. (منبع: Chabason &amp; Hege, IDDRI, 2019.)</w:t>
      </w:r>
    </w:p>
    <w:p>
      <w:pPr>
        <w:bidi w:val="1"/>
        <w:spacing w:line="312" w:lineRule="auto" w:before="0" w:after="80"/>
        <w:jc w:val="both"/>
      </w:pPr>
      <w:r>
        <w:rPr>
          <w:rFonts w:ascii="Times New Roman" w:hAnsi="Times New Roman" w:cs="B Nazanin"/>
          <w:sz w:val="22"/>
          <w:szCs w:val="26"/>
          <w:rtl w:val="1"/>
        </w:rPr>
        <w:t>• سازوکارِ اجماع‌محور، به اقلیتِ مخالف حقِ وتوی عملی می‌دهد؛ از این‌رو مسیرِ معاهدهٔ فراگیر کم‌ثمر است. (منبع: Chabason &amp; Hege, IDDRI, 2019.)</w:t>
      </w:r>
    </w:p>
    <w:p>
      <w:pPr>
        <w:pStyle w:val="GPEHeading2"/>
        <w:bidi w:val="1"/>
        <w:spacing w:line="312" w:lineRule="auto" w:before="200" w:after="120"/>
        <w:jc w:val="right"/>
      </w:pPr>
      <w:r>
        <w:rPr>
          <w:rFonts w:ascii="Times New Roman" w:hAnsi="Times New Roman" w:cs="B Nazanin"/>
          <w:sz w:val="24"/>
          <w:szCs w:val="24"/>
          <w:rtl w:val="1"/>
          <w:b/>
          <w:bCs/>
          <w:color w:val="14203a"/>
        </w:rPr>
        <w:t>جمع‌بندیِ داوری‌شده</w:t>
      </w:r>
    </w:p>
    <w:p>
      <w:pPr>
        <w:bidi w:val="1"/>
        <w:spacing w:line="312" w:lineRule="auto" w:before="0" w:after="160"/>
        <w:jc w:val="both"/>
      </w:pPr>
      <w:r>
        <w:rPr>
          <w:rFonts w:ascii="Times New Roman" w:hAnsi="Times New Roman" w:cs="B Nazanin"/>
          <w:sz w:val="22"/>
          <w:szCs w:val="26"/>
          <w:rtl w:val="1"/>
        </w:rPr>
        <w:t>هدفِ پیمان (گذارِ اصول از حقوق نرم به سند چترِ سخت) موجه بود، اما ابزارِ آن (معاهدهٔ فراگیرِ اجماع‌محور) با خصلتِ تدریجی و بخشیِ حقوق بین‌الملل محیط زیست ناسازگار بود؛ پس همان هدف را باید از مسیرِ نقشهٔ راهِ تدریجیِ شش‌ستونی دنبال کرد.</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روش‌شناسیِ نتیجه‌گیری</w:t>
      </w:r>
    </w:p>
    <w:p>
      <w:pPr>
        <w:bidi w:val="1"/>
        <w:spacing w:line="312" w:lineRule="auto" w:before="0" w:after="160"/>
        <w:jc w:val="both"/>
      </w:pPr>
      <w:r>
        <w:rPr>
          <w:rFonts w:ascii="Times New Roman" w:hAnsi="Times New Roman" w:cs="B Nazanin"/>
          <w:sz w:val="22"/>
          <w:szCs w:val="26"/>
          <w:rtl w:val="1"/>
        </w:rPr>
        <w:t>نتیجه‌گیریِ این رساله آگاهانه از الگوی سه پژوهشِ شاخصِ هم‌موضوع بهره گرفته است تا در سطحِ استانداردِ دکتریِ حقوق بین‌الملل قرار گیرد. هر الگو، یک وجهِ روش‌شناختی را تأمین کرده است:</w:t>
      </w:r>
    </w:p>
    <w:p>
      <w:pPr>
        <w:pStyle w:val="GPEHeading2"/>
        <w:bidi w:val="1"/>
        <w:spacing w:line="312" w:lineRule="auto" w:before="200" w:after="120"/>
        <w:jc w:val="right"/>
      </w:pPr>
      <w:r>
        <w:rPr>
          <w:rFonts w:ascii="Times New Roman" w:hAnsi="Times New Roman" w:cs="B Nazanin"/>
          <w:sz w:val="24"/>
          <w:szCs w:val="24"/>
          <w:rtl w:val="1"/>
          <w:b/>
          <w:bCs/>
          <w:color w:val="14203a"/>
        </w:rPr>
        <w:t>تیگره (۲۰۲۲) — رسالهٔ دکتری، دانشگاه پیس</w:t>
      </w:r>
    </w:p>
    <w:p>
      <w:pPr>
        <w:bidi w:val="1"/>
        <w:spacing w:line="312" w:lineRule="auto" w:before="0" w:after="80"/>
        <w:jc w:val="both"/>
      </w:pPr>
      <w:r>
        <w:rPr>
          <w:rFonts w:ascii="Times New Roman" w:hAnsi="Times New Roman" w:cs="B Nazanin"/>
          <w:sz w:val="22"/>
          <w:szCs w:val="26"/>
          <w:rtl w:val="1"/>
        </w:rPr>
        <w:t>نتیجه‌گیریِ چندلایه: سنتزِ یافته‌ها ← طرحِ گزینه‌های پیشِ‌رو ← چشم‌اندازِ دگرگونیِ بوم‌شناختی، با استنادِ متراکم به منابع در دلِ جملاتِ نتیجه‌گیری.</w:t>
      </w:r>
    </w:p>
    <w:p>
      <w:pPr>
        <w:bidi w:val="1"/>
        <w:spacing w:line="312" w:lineRule="auto" w:before="0" w:after="80"/>
        <w:jc w:val="both"/>
      </w:pPr>
      <w:r>
        <w:rPr>
          <w:rFonts w:ascii="Times New Roman" w:hAnsi="Times New Roman" w:cs="B Nazanin"/>
          <w:sz w:val="22"/>
          <w:szCs w:val="26"/>
          <w:rtl w:val="1"/>
        </w:rPr>
        <w:t>کاربست در این رساله: این رساله سبکِ «استنادِ متراکمِ درون‌متنی» و ساختارِ سنتز←گزینه‌ها را از تیگره وام گرفته است.</w:t>
      </w:r>
    </w:p>
    <w:p>
      <w:pPr>
        <w:bidi w:val="1"/>
        <w:spacing w:line="312" w:lineRule="auto" w:before="0" w:after="160"/>
        <w:ind w:firstLine="340"/>
        <w:jc w:val="both"/>
      </w:pPr>
      <w:r>
        <w:rPr>
          <w:rFonts w:ascii="Times New Roman" w:hAnsi="Times New Roman" w:cs="B Nazanin"/>
          <w:sz w:val="20"/>
          <w:szCs w:val="22"/>
          <w:rtl w:val="1"/>
        </w:rPr>
        <w:t>منبع: Tigre, M. A., SJD dissertation, Pace University, 2022.</w:t>
      </w:r>
    </w:p>
    <w:p>
      <w:pPr>
        <w:pStyle w:val="GPEHeading2"/>
        <w:bidi w:val="1"/>
        <w:spacing w:line="312" w:lineRule="auto" w:before="200" w:after="120"/>
        <w:jc w:val="right"/>
      </w:pPr>
      <w:r>
        <w:rPr>
          <w:rFonts w:ascii="Times New Roman" w:hAnsi="Times New Roman" w:cs="B Nazanin"/>
          <w:sz w:val="24"/>
          <w:szCs w:val="24"/>
          <w:rtl w:val="1"/>
          <w:b/>
          <w:bCs/>
          <w:color w:val="14203a"/>
        </w:rPr>
        <w:t>داموآ و همکاران (۲۰۲۶) — پیش‌چاپ (داوری‌نشده)</w:t>
      </w:r>
    </w:p>
    <w:p>
      <w:pPr>
        <w:bidi w:val="1"/>
        <w:spacing w:line="312" w:lineRule="auto" w:before="0" w:after="80"/>
        <w:jc w:val="both"/>
      </w:pPr>
      <w:r>
        <w:rPr>
          <w:rFonts w:ascii="Times New Roman" w:hAnsi="Times New Roman" w:cs="B Nazanin"/>
          <w:sz w:val="22"/>
          <w:szCs w:val="26"/>
          <w:rtl w:val="1"/>
        </w:rPr>
        <w:t>نتیجه‌گیریِ اجرا-محور: سنتز ← دلالت‌های سیاستی (اجرا، سازوکارِ پایبندی، هماهنگیِ میان‌رژیمی، عدالت) ← پیشنهادِ پژوهشِ آینده.</w:t>
      </w:r>
    </w:p>
    <w:p>
      <w:pPr>
        <w:bidi w:val="1"/>
        <w:spacing w:line="312" w:lineRule="auto" w:before="0" w:after="80"/>
        <w:jc w:val="both"/>
      </w:pPr>
      <w:r>
        <w:rPr>
          <w:rFonts w:ascii="Times New Roman" w:hAnsi="Times New Roman" w:cs="B Nazanin"/>
          <w:sz w:val="22"/>
          <w:szCs w:val="26"/>
          <w:rtl w:val="1"/>
        </w:rPr>
        <w:t>کاربست در این رساله: ساختارِ «دلالت‌های سیاستی + پیشنهادِ پژوهشِ آینده» را از این اثر گرفته‌ایم؛ با احتیاط، چون داوری‌نشده است.</w:t>
      </w:r>
    </w:p>
    <w:p>
      <w:pPr>
        <w:bidi w:val="1"/>
        <w:spacing w:line="312" w:lineRule="auto" w:before="0" w:after="160"/>
        <w:ind w:firstLine="340"/>
        <w:jc w:val="both"/>
      </w:pPr>
      <w:r>
        <w:rPr>
          <w:rFonts w:ascii="Times New Roman" w:hAnsi="Times New Roman" w:cs="B Nazanin"/>
          <w:sz w:val="20"/>
          <w:szCs w:val="22"/>
          <w:rtl w:val="1"/>
        </w:rPr>
        <w:t>منبع: Damoah, B. et al., Preprints.org, 2026 (پیش‌چاپِ داوری‌نشده).</w:t>
      </w:r>
    </w:p>
    <w:p>
      <w:pPr>
        <w:pStyle w:val="GPEHeading2"/>
        <w:bidi w:val="1"/>
        <w:spacing w:line="312" w:lineRule="auto" w:before="200" w:after="120"/>
        <w:jc w:val="right"/>
      </w:pPr>
      <w:r>
        <w:rPr>
          <w:rFonts w:ascii="Times New Roman" w:hAnsi="Times New Roman" w:cs="B Nazanin"/>
          <w:sz w:val="24"/>
          <w:szCs w:val="24"/>
          <w:rtl w:val="1"/>
          <w:b/>
          <w:bCs/>
          <w:color w:val="14203a"/>
        </w:rPr>
        <w:t>تیلر (۲۰۱۸) — پایان‌نامهٔ کارشناسیِ ارشدِ حقوق، ویکتوریا ولینگتن</w:t>
      </w:r>
    </w:p>
    <w:p>
      <w:pPr>
        <w:bidi w:val="1"/>
        <w:spacing w:line="312" w:lineRule="auto" w:before="0" w:after="80"/>
        <w:jc w:val="both"/>
      </w:pPr>
      <w:r>
        <w:rPr>
          <w:rFonts w:ascii="Times New Roman" w:hAnsi="Times New Roman" w:cs="B Nazanin"/>
          <w:sz w:val="22"/>
          <w:szCs w:val="26"/>
          <w:rtl w:val="1"/>
        </w:rPr>
        <w:t>نتیجه‌گیریِ متعادل: سنجشِ «ارزش‌افزوده» در برابرِ «محدودیت» و رسیدن به داوریِ مشروط (پیمان اصول را تقویت می‌کند اما خلأها را پر نمی‌کند).</w:t>
      </w:r>
    </w:p>
    <w:p>
      <w:pPr>
        <w:bidi w:val="1"/>
        <w:spacing w:line="312" w:lineRule="auto" w:before="0" w:after="80"/>
        <w:jc w:val="both"/>
      </w:pPr>
      <w:r>
        <w:rPr>
          <w:rFonts w:ascii="Times New Roman" w:hAnsi="Times New Roman" w:cs="B Nazanin"/>
          <w:sz w:val="22"/>
          <w:szCs w:val="26"/>
          <w:rtl w:val="1"/>
        </w:rPr>
        <w:t>کاربست در این رساله: منطقِ «داوریِ متعادل و مشروطِ» بخشِ ۵-۳ مستقیماً از این الگو الهام گرفته است.</w:t>
      </w:r>
    </w:p>
    <w:p>
      <w:pPr>
        <w:bidi w:val="1"/>
        <w:spacing w:line="312" w:lineRule="auto" w:before="0" w:after="160"/>
        <w:ind w:firstLine="340"/>
        <w:jc w:val="both"/>
      </w:pPr>
      <w:r>
        <w:rPr>
          <w:rFonts w:ascii="Times New Roman" w:hAnsi="Times New Roman" w:cs="B Nazanin"/>
          <w:sz w:val="20"/>
          <w:szCs w:val="22"/>
          <w:rtl w:val="1"/>
        </w:rPr>
        <w:t>منبع: Tiller, D., LLB(Hons), Victoria University of Wellington, 2018.</w:t>
      </w:r>
    </w:p>
    <w:p>
      <w:pPr>
        <w:pStyle w:val="GPEHeading2"/>
        <w:bidi w:val="1"/>
        <w:spacing w:line="312" w:lineRule="auto" w:before="200" w:after="120"/>
        <w:jc w:val="right"/>
      </w:pPr>
      <w:r>
        <w:rPr>
          <w:rFonts w:ascii="Times New Roman" w:hAnsi="Times New Roman" w:cs="B Nazanin"/>
          <w:sz w:val="24"/>
          <w:szCs w:val="24"/>
          <w:rtl w:val="1"/>
          <w:b/>
          <w:bCs/>
          <w:color w:val="14203a"/>
        </w:rPr>
        <w:t>روشِ برگزیدهٔ این رساله</w:t>
      </w:r>
    </w:p>
    <w:p>
      <w:pPr>
        <w:bidi w:val="1"/>
        <w:spacing w:line="312" w:lineRule="auto" w:before="0" w:after="160"/>
        <w:jc w:val="both"/>
      </w:pPr>
      <w:r>
        <w:rPr>
          <w:rFonts w:ascii="Times New Roman" w:hAnsi="Times New Roman" w:cs="B Nazanin"/>
          <w:sz w:val="22"/>
          <w:szCs w:val="26"/>
          <w:rtl w:val="1"/>
        </w:rPr>
        <w:t>روشِ نتیجه‌گیریِ رساله = تحلیلیِ-توصیفیِ حقوقی با تکیه بر سندِ پراکندگیِ کمیسیون حقوق بین‌الملل (۲۰۰۶) به‌مثابه چارچوبِ نظری، تلفیقِ سه الگوی بالا، و افزودنِ لایهٔ آینده‌پژوهی (سناریو + نقشهٔ راه). همهٔ گزاره‌های نتیجه‌گیری به منبعِ معتبر یا به تحلیلِ فصولِ پیشین مستند شده‌اند.</w:t>
      </w:r>
    </w:p>
    <w:p>
      <w:r>
        <w:br w:type="page"/>
      </w:r>
    </w:p>
    <w:p>
      <w:pPr>
        <w:pStyle w:val="GPEHeading1"/>
        <w:bidi w:val="1"/>
        <w:spacing w:line="312" w:lineRule="auto" w:before="280" w:after="120"/>
        <w:jc w:val="right"/>
      </w:pPr>
      <w:r>
        <w:rPr>
          <w:rFonts w:ascii="Times New Roman" w:hAnsi="Times New Roman" w:cs="B Nazanin"/>
          <w:sz w:val="24"/>
          <w:szCs w:val="28"/>
          <w:rtl w:val="1"/>
          <w:b/>
          <w:bCs/>
          <w:color w:val="14203a"/>
        </w:rPr>
        <w:t>فهرست منابع و مآخذ</w:t>
      </w:r>
    </w:p>
    <w:p>
      <w:pPr>
        <w:pStyle w:val="GPEHeading2"/>
        <w:bidi w:val="1"/>
        <w:spacing w:line="312" w:lineRule="auto" w:before="200" w:after="120"/>
        <w:jc w:val="right"/>
      </w:pPr>
      <w:r>
        <w:rPr>
          <w:rFonts w:ascii="Times New Roman" w:hAnsi="Times New Roman" w:cs="B Nazanin"/>
          <w:sz w:val="24"/>
          <w:szCs w:val="24"/>
          <w:rtl w:val="1"/>
          <w:b/>
          <w:bCs/>
          <w:color w:val="14203a"/>
        </w:rPr>
        <w:t>الف) منابع فارسی</w:t>
      </w:r>
    </w:p>
    <w:p>
      <w:pPr>
        <w:bidi w:val="1"/>
        <w:spacing w:line="312" w:lineRule="auto" w:before="0" w:after="80"/>
        <w:jc w:val="both"/>
      </w:pPr>
      <w:r>
        <w:rPr>
          <w:rFonts w:ascii="Times New Roman" w:hAnsi="Times New Roman" w:cs="B Nazanin"/>
          <w:sz w:val="22"/>
          <w:szCs w:val="22"/>
          <w:rtl w:val="1"/>
        </w:rPr>
        <w:t>الهویی‌نظری، حمید، (۱۳۹۲)، «جایگاه اصول کلی حقوقی در آرای دیوان بین‌المللی دادگستری»، مجلهٔ حقوقی بین‌المللی.</w:t>
      </w:r>
    </w:p>
    <w:p>
      <w:pPr>
        <w:bidi w:val="1"/>
        <w:spacing w:line="312" w:lineRule="auto" w:before="0" w:after="80"/>
        <w:jc w:val="both"/>
      </w:pPr>
      <w:r>
        <w:rPr>
          <w:rFonts w:ascii="Times New Roman" w:hAnsi="Times New Roman" w:cs="B Nazanin"/>
          <w:sz w:val="22"/>
          <w:szCs w:val="22"/>
          <w:rtl w:val="1"/>
        </w:rPr>
        <w:t>بازار، وحید، «نقش دیوان بین‌المللی دادگستری در پر کردن خلأهای حقوقی حقوق بین‌الملل محیط زیست»، مجلهٔ حقوقی بین‌المللی.</w:t>
      </w:r>
    </w:p>
    <w:p>
      <w:pPr>
        <w:bidi w:val="1"/>
        <w:spacing w:line="312" w:lineRule="auto" w:before="0" w:after="80"/>
        <w:jc w:val="both"/>
      </w:pPr>
      <w:r>
        <w:rPr>
          <w:rFonts w:ascii="Times New Roman" w:hAnsi="Times New Roman" w:cs="B Nazanin"/>
          <w:sz w:val="22"/>
          <w:szCs w:val="22"/>
          <w:rtl w:val="1"/>
        </w:rPr>
        <w:t>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w:t>
      </w:r>
    </w:p>
    <w:p>
      <w:pPr>
        <w:bidi w:val="1"/>
        <w:spacing w:line="312" w:lineRule="auto" w:before="0" w:after="80"/>
        <w:jc w:val="both"/>
      </w:pPr>
      <w:r>
        <w:rPr>
          <w:rFonts w:ascii="Times New Roman" w:hAnsi="Times New Roman" w:cs="B Nazanin"/>
          <w:sz w:val="22"/>
          <w:szCs w:val="22"/>
          <w:rtl w:val="1"/>
        </w:rPr>
        <w:t>شاحیدر، عبدالکریم و مؤیدیان، امینه، «حقوق بین‌الملل محیط زیست در مرز گذار از چالش‌های داخلی و بین‌المللی»، فصلنامهٔ حقوق محیط زیست.</w:t>
      </w:r>
    </w:p>
    <w:p>
      <w:pPr>
        <w:bidi w:val="1"/>
        <w:spacing w:line="312" w:lineRule="auto" w:before="0" w:after="80"/>
        <w:jc w:val="both"/>
      </w:pPr>
      <w:r>
        <w:rPr>
          <w:rFonts w:ascii="Times New Roman" w:hAnsi="Times New Roman" w:cs="B Nazanin"/>
          <w:sz w:val="22"/>
          <w:szCs w:val="22"/>
          <w:rtl w:val="1"/>
        </w:rPr>
        <w:t>مجمع عمومی سازمان ملل متحد، «به‌سوی یک پیمان جهانی برای محیط زیست»، قطعنامهٔ ۷۲/۲۷۷، ۱۰ مه ۲۰۱۸.</w:t>
      </w:r>
    </w:p>
    <w:p>
      <w:pPr>
        <w:bidi w:val="1"/>
        <w:spacing w:line="312" w:lineRule="auto" w:before="0" w:after="80"/>
        <w:jc w:val="both"/>
      </w:pPr>
      <w:r>
        <w:rPr>
          <w:rFonts w:ascii="Times New Roman" w:hAnsi="Times New Roman" w:cs="B Nazanin"/>
          <w:sz w:val="22"/>
          <w:szCs w:val="22"/>
          <w:rtl w:val="1"/>
        </w:rPr>
        <w:t>مجمع عمومی سازمان ملل متحد، «حق بشری بر محیط‌زیستِ پاک، سالم و پایدار»، قطعنامهٔ ۷۶/۳۰۰، ۲۸ ژوئیهٔ ۲۰۲۲.</w:t>
      </w:r>
    </w:p>
    <w:p>
      <w:pPr>
        <w:bidi w:val="1"/>
        <w:spacing w:line="312" w:lineRule="auto" w:before="0" w:after="80"/>
        <w:jc w:val="both"/>
      </w:pPr>
      <w:r>
        <w:rPr>
          <w:rFonts w:ascii="Times New Roman" w:hAnsi="Times New Roman" w:cs="B Nazanin"/>
          <w:sz w:val="22"/>
          <w:szCs w:val="22"/>
          <w:rtl w:val="1"/>
        </w:rPr>
        <w:t>مشهدی، علی و کوثری، وحید، (۱۳۹۸)، «پیمان جهانی محیط زیست؛ از قوام‌نیافتگی منابع تا توسعهٔ هنجاری»، فصلنامهٔ مطالعات حقوق عمومی.</w:t>
      </w:r>
    </w:p>
    <w:p>
      <w:pPr>
        <w:bidi w:val="1"/>
        <w:spacing w:line="312" w:lineRule="auto" w:before="0" w:after="80"/>
        <w:jc w:val="both"/>
      </w:pPr>
      <w:r>
        <w:rPr>
          <w:rFonts w:ascii="Times New Roman" w:hAnsi="Times New Roman" w:cs="B Nazanin"/>
          <w:sz w:val="22"/>
          <w:szCs w:val="22"/>
          <w:rtl w:val="1"/>
        </w:rPr>
        <w:t>موسوی، سیدفضل‌اله و موسوی‌فر، سید حسین، (۱۳۹۵)، «اختلاف زیست‌محیطی آرژانتین و اروگوئه (۲۰۱۰)؛ تبیین برخی مباحث حقوق بین‌الملل محیط زیست»، فصلنامهٔ مطالعات حقوق عمومی.</w:t>
      </w:r>
    </w:p>
    <w:p>
      <w:pPr>
        <w:bidi w:val="1"/>
        <w:spacing w:line="312" w:lineRule="auto" w:before="0" w:after="80"/>
        <w:jc w:val="both"/>
      </w:pPr>
      <w:r>
        <w:rPr>
          <w:rFonts w:ascii="Times New Roman" w:hAnsi="Times New Roman" w:cs="B Nazanin"/>
          <w:sz w:val="22"/>
          <w:szCs w:val="22"/>
          <w:rtl w:val="1"/>
        </w:rPr>
        <w:t>پورهاشمی، عباس، «بررسی تحلیلی-انتقادی پیش‌نویس پیمان جهانی محیط زیست»، فصلنامهٔ پژوهش‌های حقوق بین‌الملل.</w:t>
      </w:r>
    </w:p>
    <w:p>
      <w:pPr>
        <w:bidi w:val="1"/>
        <w:spacing w:line="312" w:lineRule="auto" w:before="0" w:after="80"/>
        <w:jc w:val="both"/>
      </w:pPr>
      <w:r>
        <w:rPr>
          <w:rFonts w:ascii="Times New Roman" w:hAnsi="Times New Roman" w:cs="B Nazanin"/>
          <w:sz w:val="22"/>
          <w:szCs w:val="22"/>
          <w:rtl w:val="1"/>
        </w:rPr>
        <w:t>پیش‌نویس پیمان جهانی برای محیط زیست، ۲۰۱۷ (نسخهٔ ارائه‌شده به مجمع عمومی).</w:t>
      </w:r>
    </w:p>
    <w:p>
      <w:pPr>
        <w:bidi w:val="1"/>
        <w:spacing w:line="312" w:lineRule="auto" w:before="0" w:after="80"/>
        <w:jc w:val="both"/>
      </w:pPr>
      <w:r>
        <w:rPr>
          <w:rFonts w:ascii="Times New Roman" w:hAnsi="Times New Roman" w:cs="B Nazanin"/>
          <w:sz w:val="22"/>
          <w:szCs w:val="22"/>
          <w:rtl w:val="1"/>
        </w:rPr>
        <w:t>کردی، زهرا، «بررسی ابعاد حقوقی و سیاسی پیمان جهانی محیط زیست»، فصلنامهٔ سیاست جهانی.</w:t>
      </w:r>
    </w:p>
    <w:p>
      <w:pPr>
        <w:bidi w:val="1"/>
        <w:spacing w:line="312" w:lineRule="auto" w:before="0" w:after="80"/>
        <w:jc w:val="both"/>
      </w:pPr>
      <w:r>
        <w:rPr>
          <w:rFonts w:ascii="Times New Roman" w:hAnsi="Times New Roman" w:cs="B Nazanin"/>
          <w:sz w:val="22"/>
          <w:szCs w:val="22"/>
          <w:rtl w:val="1"/>
        </w:rPr>
        <w:t>کمیسیون حقوق بین‌الملل، «نتیجه‌گیری‌های کارِ گروه مطالعاتی دربارهٔ پراکندگی حقوق بین‌الملل: دشواری‌های ناشی از تنوع و گسترش حقوق بین‌الملل»، سند A/CN.4/L.682، ۲۰۰۶.</w:t>
      </w:r>
    </w:p>
    <w:p>
      <w:pPr>
        <w:bidi w:val="1"/>
        <w:spacing w:line="312" w:lineRule="auto" w:before="0" w:after="80"/>
        <w:jc w:val="both"/>
      </w:pPr>
      <w:r>
        <w:rPr>
          <w:rFonts w:ascii="Times New Roman" w:hAnsi="Times New Roman" w:cs="B Nazanin"/>
          <w:sz w:val="22"/>
          <w:szCs w:val="22"/>
          <w:rtl w:val="1"/>
        </w:rPr>
        <w:t>کنوانسیون وین دربارهٔ حقوق معاهدات، ۱۹۶۹، مادهٔ ۳۱(۳)(ج).</w:t>
      </w:r>
    </w:p>
    <w:p>
      <w:pPr>
        <w:pStyle w:val="GPEHeading2"/>
        <w:bidi w:val="1"/>
        <w:spacing w:line="312" w:lineRule="auto" w:before="200" w:after="120"/>
        <w:jc w:val="right"/>
      </w:pPr>
      <w:r>
        <w:rPr>
          <w:rFonts w:ascii="Times New Roman" w:hAnsi="Times New Roman" w:cs="B Nazanin"/>
          <w:sz w:val="24"/>
          <w:szCs w:val="24"/>
          <w:rtl w:val="1"/>
          <w:b/>
          <w:bCs/>
          <w:color w:val="14203a"/>
        </w:rPr>
        <w:t>ب) منابع لاتین (Latin References)</w:t>
      </w:r>
    </w:p>
    <w:p>
      <w:pPr>
        <w:spacing w:line="312" w:lineRule="auto" w:after="80"/>
        <w:jc w:val="left"/>
      </w:pPr>
      <w:r>
        <w:rPr>
          <w:rFonts w:ascii="Times New Roman" w:hAnsi="Times New Roman" w:cs="Times New Roman"/>
          <w:sz w:val="22"/>
          <w:szCs w:val="22"/>
        </w:rPr>
        <w:t>Aguila, Y. &amp; Viñuales, J. E. (2019) A Global Pact for the Environment: Conceptual Foundations. Review of European, Comparative &amp; International Environmental Law (RECIEL), 28(1), 3–12. DOI: 10.1111/reel.12277</w:t>
      </w:r>
    </w:p>
    <w:p>
      <w:pPr>
        <w:spacing w:line="312" w:lineRule="auto" w:after="80"/>
        <w:jc w:val="left"/>
      </w:pPr>
      <w:r>
        <w:rPr>
          <w:rFonts w:ascii="Times New Roman" w:hAnsi="Times New Roman" w:cs="Times New Roman"/>
          <w:sz w:val="22"/>
          <w:szCs w:val="22"/>
        </w:rPr>
        <w:t>Aguila, Y. &amp; Viñuales, J. E. (eds.) (2019) A Global Pact for the Environment: Legal Foundations. C-EENRG, University of Cambridge (Cambridge Report, March 2019).</w:t>
      </w:r>
    </w:p>
    <w:p>
      <w:pPr>
        <w:spacing w:line="312" w:lineRule="auto" w:after="80"/>
        <w:jc w:val="left"/>
      </w:pPr>
      <w:r>
        <w:rPr>
          <w:rFonts w:ascii="Times New Roman" w:hAnsi="Times New Roman" w:cs="Times New Roman"/>
          <w:sz w:val="22"/>
          <w:szCs w:val="22"/>
        </w:rPr>
        <w:t>Aguila, Y. (2020) A Global Pact for the Environment: The Logical Outcome of 50 Years of International Environmental Law. Sustainability, 12(14), 5636. DOI: 10.3390/su12145636</w:t>
      </w:r>
    </w:p>
    <w:p>
      <w:pPr>
        <w:spacing w:line="312" w:lineRule="auto" w:after="80"/>
        <w:jc w:val="left"/>
      </w:pPr>
      <w:r>
        <w:rPr>
          <w:rFonts w:ascii="Times New Roman" w:hAnsi="Times New Roman" w:cs="Times New Roman"/>
          <w:sz w:val="22"/>
          <w:szCs w:val="22"/>
        </w:rPr>
        <w:t>Biermann, F. &amp; Kim, R.E. (2020) The Boundaries of the Planetary Boundary Framework: A Critical Appraisal of Approaches to Define a ‘Safe Operating Space’ for Humanity. Annual Review of Environment and Resources, 45, 497–521. DOI: 10.1146/annurev-environ-012320-080337</w:t>
      </w:r>
    </w:p>
    <w:p>
      <w:pPr>
        <w:spacing w:line="312" w:lineRule="auto" w:after="80"/>
        <w:jc w:val="left"/>
      </w:pPr>
      <w:r>
        <w:rPr>
          <w:rFonts w:ascii="Times New Roman" w:hAnsi="Times New Roman" w:cs="Times New Roman"/>
          <w:sz w:val="22"/>
          <w:szCs w:val="22"/>
        </w:rPr>
        <w:t>Bodansky, D. (2010) The Art and Craft of International Environmental Law. Harvard University Press (excerpted in law reviews).</w:t>
      </w:r>
    </w:p>
    <w:p>
      <w:pPr>
        <w:spacing w:line="312" w:lineRule="auto" w:after="80"/>
        <w:jc w:val="left"/>
      </w:pPr>
      <w:r>
        <w:rPr>
          <w:rFonts w:ascii="Times New Roman" w:hAnsi="Times New Roman" w:cs="Times New Roman"/>
          <w:sz w:val="22"/>
          <w:szCs w:val="22"/>
        </w:rPr>
        <w:t>Bosselmann, K. (2017) The Principle of Sustainability: Transforming Law and Governance (2nd ed.). Routledge. DOI: 10.4324/9781315553955</w:t>
      </w:r>
    </w:p>
    <w:p>
      <w:pPr>
        <w:spacing w:line="312" w:lineRule="auto" w:after="80"/>
        <w:jc w:val="left"/>
      </w:pPr>
      <w:r>
        <w:rPr>
          <w:rFonts w:ascii="Times New Roman" w:hAnsi="Times New Roman" w:cs="Times New Roman"/>
          <w:sz w:val="22"/>
          <w:szCs w:val="22"/>
        </w:rPr>
        <w:t>Boyle, A. &amp; Redgwell, C. (2021) Birnie, Boyle &amp; Redgwell’s International Law and the Environment (4th ed.). Oxford University Press.</w:t>
      </w:r>
    </w:p>
    <w:p>
      <w:pPr>
        <w:spacing w:line="312" w:lineRule="auto" w:after="80"/>
        <w:jc w:val="left"/>
      </w:pPr>
      <w:r>
        <w:rPr>
          <w:rFonts w:ascii="Times New Roman" w:hAnsi="Times New Roman" w:cs="Times New Roman"/>
          <w:sz w:val="22"/>
          <w:szCs w:val="22"/>
        </w:rPr>
        <w:t>Chabason, L. &amp; Hege, E. (2019) Failure of the Global Pact for the Environment: a missed opportunity or a bullet dodged?. IDDRI (Institut du développement durable et des relations internationales) — Blog Post, 28 May 2019.</w:t>
      </w:r>
    </w:p>
    <w:p>
      <w:pPr>
        <w:spacing w:line="312" w:lineRule="auto" w:after="80"/>
        <w:jc w:val="left"/>
      </w:pPr>
      <w:r>
        <w:rPr>
          <w:rFonts w:ascii="Times New Roman" w:hAnsi="Times New Roman" w:cs="Times New Roman"/>
          <w:sz w:val="22"/>
          <w:szCs w:val="22"/>
        </w:rPr>
        <w:t>Chan, N. (2021) Beyond delegation size: Developing country negotiating capacity and NGO ‘support’ in international climate negotiations. International Environmental Agreements, 21, 201–217. DOI: 10.1007/s10784-020-09513-4</w:t>
      </w:r>
    </w:p>
    <w:p>
      <w:pPr>
        <w:spacing w:line="312" w:lineRule="auto" w:after="80"/>
        <w:jc w:val="left"/>
      </w:pPr>
      <w:r>
        <w:rPr>
          <w:rFonts w:ascii="Times New Roman" w:hAnsi="Times New Roman" w:cs="Times New Roman"/>
          <w:sz w:val="22"/>
          <w:szCs w:val="22"/>
        </w:rPr>
        <w:t>Damoah, B., Keengwe, J. S. &amp; Ofori, E. (2026) Stalemate in the Anthropocene: Ineffective Treaties and the Struggle for Planetary Governance. Preprints.org (پیش‌چاپ — داوری‌نشده / non-peer-reviewed preprint). DOI: 10.20944/preprints202603.2371.v1 ⚠ [پیش‌چاپِ داوری‌نشده — non-peer-reviewed preprint]</w:t>
      </w:r>
    </w:p>
    <w:p>
      <w:pPr>
        <w:spacing w:line="312" w:lineRule="auto" w:after="80"/>
        <w:jc w:val="left"/>
      </w:pPr>
      <w:r>
        <w:rPr>
          <w:rFonts w:ascii="Times New Roman" w:hAnsi="Times New Roman" w:cs="Times New Roman"/>
          <w:sz w:val="22"/>
          <w:szCs w:val="22"/>
        </w:rPr>
        <w:t>Doelle, M. &amp; Seck, S. (2020) Loss and Damage from Climate Change: From Concept to Remedy?. Climate Policy / environmental law journals. DOI: 10.1080/14693062.2019.1630353</w:t>
      </w:r>
    </w:p>
    <w:p>
      <w:pPr>
        <w:spacing w:line="312" w:lineRule="auto" w:after="80"/>
        <w:jc w:val="left"/>
      </w:pPr>
      <w:r>
        <w:rPr>
          <w:rFonts w:ascii="Times New Roman" w:hAnsi="Times New Roman" w:cs="Times New Roman"/>
          <w:sz w:val="22"/>
          <w:szCs w:val="22"/>
        </w:rPr>
        <w:t>Draft Global Pact for the Environment (پیش‌نویسِ گروهِ حقوق‌دانانِ بین‌المللی) (2017) Draft Global Pact for the Environment (Projet de Pacte mondial pour l'environnement) — 26 Articles. Le Club des Juristes / IUCN — متنِ رسمیِ پیش‌نویس (Primary Source), 2017.</w:t>
      </w:r>
    </w:p>
    <w:p>
      <w:pPr>
        <w:spacing w:line="312" w:lineRule="auto" w:after="80"/>
        <w:jc w:val="left"/>
      </w:pPr>
      <w:r>
        <w:rPr>
          <w:rFonts w:ascii="Times New Roman" w:hAnsi="Times New Roman" w:cs="Times New Roman"/>
          <w:sz w:val="22"/>
          <w:szCs w:val="22"/>
        </w:rPr>
        <w:t>Dupuy, P.-M. &amp; Viñuales, J.E. (2018) International Environmental Law (2nd ed.). Cambridge University Press. DOI: 10.1017/9781108399821</w:t>
      </w:r>
    </w:p>
    <w:p>
      <w:pPr>
        <w:spacing w:line="312" w:lineRule="auto" w:after="80"/>
        <w:jc w:val="left"/>
      </w:pPr>
      <w:r>
        <w:rPr>
          <w:rFonts w:ascii="Times New Roman" w:hAnsi="Times New Roman" w:cs="Times New Roman"/>
          <w:sz w:val="22"/>
          <w:szCs w:val="22"/>
        </w:rPr>
        <w:t>Duvic-Paoli, L.-A. (2018) The Prevention Principle in International Environmental Law. Cambridge University Press. DOI: 10.1017/9781108241847</w:t>
      </w:r>
    </w:p>
    <w:p>
      <w:pPr>
        <w:spacing w:line="312" w:lineRule="auto" w:after="80"/>
        <w:jc w:val="left"/>
      </w:pPr>
      <w:r>
        <w:rPr>
          <w:rFonts w:ascii="Times New Roman" w:hAnsi="Times New Roman" w:cs="Times New Roman"/>
          <w:sz w:val="22"/>
          <w:szCs w:val="22"/>
        </w:rPr>
        <w:t>French, D. &amp; Kotzé, L.J. (2019) ‘Towards a Global Pact for the Environment’: International environmental law’s factual, technical and (unmentionable) normative gaps. Review of European, Comparative &amp; International Environmental Law (RECIEL), 28(1), 25–32. DOI: 10.1111/reel.12278</w:t>
      </w:r>
    </w:p>
    <w:p>
      <w:pPr>
        <w:spacing w:line="312" w:lineRule="auto" w:after="80"/>
        <w:jc w:val="left"/>
      </w:pPr>
      <w:r>
        <w:rPr>
          <w:rFonts w:ascii="Times New Roman" w:hAnsi="Times New Roman" w:cs="Times New Roman"/>
          <w:sz w:val="22"/>
          <w:szCs w:val="22"/>
        </w:rPr>
        <w:t>ILC (Koskenniemi, M.) (2006) Fragmentation of International Law: Difficulties Arising from the Diversification and Expansion of International Law (A/CN.4/L.682). International Law Commission, UN.</w:t>
      </w:r>
    </w:p>
    <w:p>
      <w:pPr>
        <w:spacing w:line="312" w:lineRule="auto" w:after="80"/>
        <w:jc w:val="left"/>
      </w:pPr>
      <w:r>
        <w:rPr>
          <w:rFonts w:ascii="Times New Roman" w:hAnsi="Times New Roman" w:cs="Times New Roman"/>
          <w:sz w:val="22"/>
          <w:szCs w:val="22"/>
        </w:rPr>
        <w:t>International Law Commission (2006). Conclusions of the Work of the Study Group on the Fragmentation of International Law: Difficulties Arising from the Diversification and Expansion of International Law. UN Doc A/CN.4/L.682.</w:t>
      </w:r>
    </w:p>
    <w:p>
      <w:pPr>
        <w:spacing w:line="312" w:lineRule="auto" w:after="80"/>
        <w:jc w:val="left"/>
      </w:pPr>
      <w:r>
        <w:rPr>
          <w:rFonts w:ascii="Times New Roman" w:hAnsi="Times New Roman" w:cs="Times New Roman"/>
          <w:sz w:val="22"/>
          <w:szCs w:val="22"/>
        </w:rPr>
        <w:t>International Law Commission (Study Group; Koskenniemi, M., رئیس) (2006) Conclusions of the work of the Study Group on the Fragmentation of International Law: Difficulties arising from the Diversification and Expansion of International Law. Yearbook of the ILC 2006, vol. II, Part Two; A/61/10 (para. 251).</w:t>
      </w:r>
    </w:p>
    <w:p>
      <w:pPr>
        <w:spacing w:line="312" w:lineRule="auto" w:after="80"/>
        <w:jc w:val="left"/>
      </w:pPr>
      <w:r>
        <w:rPr>
          <w:rFonts w:ascii="Times New Roman" w:hAnsi="Times New Roman" w:cs="Times New Roman"/>
          <w:sz w:val="22"/>
          <w:szCs w:val="22"/>
        </w:rPr>
        <w:t>Ivanova, M. (2021) The Untold Story of the World’s Leading Environmental Institution: UNEP at Fifty. MIT Press. DOI: 10.7551/mitpress/12678.001.0001</w:t>
      </w:r>
    </w:p>
    <w:p>
      <w:pPr>
        <w:spacing w:line="312" w:lineRule="auto" w:after="80"/>
        <w:jc w:val="left"/>
      </w:pPr>
      <w:r>
        <w:rPr>
          <w:rFonts w:ascii="Times New Roman" w:hAnsi="Times New Roman" w:cs="Times New Roman"/>
          <w:sz w:val="22"/>
          <w:szCs w:val="22"/>
        </w:rPr>
        <w:t>Kim, R. E. &amp; Bosselmann, K. (2013) International Environmental Law in the Anthropocene: Towards a Purposive System of Multilateral Environmental Agreements. Transnational Environmental Law, 2(2), 285–309. DOI: 10.1017/S2047102513000021</w:t>
      </w:r>
    </w:p>
    <w:p>
      <w:pPr>
        <w:spacing w:line="312" w:lineRule="auto" w:after="80"/>
        <w:jc w:val="left"/>
      </w:pPr>
      <w:r>
        <w:rPr>
          <w:rFonts w:ascii="Times New Roman" w:hAnsi="Times New Roman" w:cs="Times New Roman"/>
          <w:sz w:val="22"/>
          <w:szCs w:val="22"/>
        </w:rPr>
        <w:t>Knox, J.H. (2020) Constructing the Human Right to a Healthy Environment. Annual Review of Law and Social Science, 16, 79–95. DOI: 10.1146/annurev-lawsocsci-031720-074856</w:t>
      </w:r>
    </w:p>
    <w:p>
      <w:pPr>
        <w:spacing w:line="312" w:lineRule="auto" w:after="80"/>
        <w:jc w:val="left"/>
      </w:pPr>
      <w:r>
        <w:rPr>
          <w:rFonts w:ascii="Times New Roman" w:hAnsi="Times New Roman" w:cs="Times New Roman"/>
          <w:sz w:val="22"/>
          <w:szCs w:val="22"/>
        </w:rPr>
        <w:t>Kotzé, L. J. &amp; French, D. (2018) The Anthropocene's Global Environmental Constitutional Moment (companion analysis). Yearbook of International Environmental Law, 29, 24–46. DOI: 10.1093/yiel/yvz027</w:t>
      </w:r>
    </w:p>
    <w:p>
      <w:pPr>
        <w:spacing w:line="312" w:lineRule="auto" w:after="80"/>
        <w:jc w:val="left"/>
      </w:pPr>
      <w:r>
        <w:rPr>
          <w:rFonts w:ascii="Times New Roman" w:hAnsi="Times New Roman" w:cs="Times New Roman"/>
          <w:sz w:val="22"/>
          <w:szCs w:val="22"/>
        </w:rPr>
        <w:t>Kotzé, L.J. &amp; French, D. (2018) A critique of the Global Pact for the Environment: a stillborn initiative or the foundation for Lex Anthropocenae?. International Environmental Agreements: Politics, Law and Economics, 18(6), 811–838. DOI: 10.1007/s10784-018-9417-x</w:t>
      </w:r>
    </w:p>
    <w:p>
      <w:pPr>
        <w:spacing w:line="312" w:lineRule="auto" w:after="80"/>
        <w:jc w:val="left"/>
      </w:pPr>
      <w:r>
        <w:rPr>
          <w:rFonts w:ascii="Times New Roman" w:hAnsi="Times New Roman" w:cs="Times New Roman"/>
          <w:sz w:val="22"/>
          <w:szCs w:val="22"/>
        </w:rPr>
        <w:t>Kotzé, L.J. (2019) A Global Environmental Constitution for the Anthropocene?. Transnational Environmental Law, 8(1), 11–33. DOI: 10.1017/S2047102518000216</w:t>
      </w:r>
    </w:p>
    <w:p>
      <w:pPr>
        <w:spacing w:line="312" w:lineRule="auto" w:after="80"/>
        <w:jc w:val="left"/>
      </w:pPr>
      <w:r>
        <w:rPr>
          <w:rFonts w:ascii="Times New Roman" w:hAnsi="Times New Roman" w:cs="Times New Roman"/>
          <w:sz w:val="22"/>
          <w:szCs w:val="22"/>
        </w:rPr>
        <w:t>Kotzé, L.J. (2020) Arguing Global Environmental Constitutionalism. Transnational Environmental Law (review essay). DOI: 10.1017/S2047102520000163</w:t>
      </w:r>
    </w:p>
    <w:p>
      <w:pPr>
        <w:spacing w:line="312" w:lineRule="auto" w:after="80"/>
        <w:jc w:val="left"/>
      </w:pPr>
      <w:r>
        <w:rPr>
          <w:rFonts w:ascii="Times New Roman" w:hAnsi="Times New Roman" w:cs="Times New Roman"/>
          <w:sz w:val="22"/>
          <w:szCs w:val="22"/>
        </w:rPr>
        <w:t>McGarry, B. (2018) The Global Pact for the Environment: Freshwater and Economic Law Synergies. Journal of International Economic Law, 21(4), 745–767. DOI: 10.1093/jiel/jgy040</w:t>
      </w:r>
    </w:p>
    <w:p>
      <w:pPr>
        <w:spacing w:line="312" w:lineRule="auto" w:after="80"/>
        <w:jc w:val="left"/>
      </w:pPr>
      <w:r>
        <w:rPr>
          <w:rFonts w:ascii="Times New Roman" w:hAnsi="Times New Roman" w:cs="Times New Roman"/>
          <w:sz w:val="22"/>
          <w:szCs w:val="22"/>
        </w:rPr>
        <w:t>Pedersen, O.W. (2019) The Global Pact for the Environment: An Assessment. Journal of Environmental Law / law review commentary.</w:t>
      </w:r>
    </w:p>
    <w:p>
      <w:pPr>
        <w:spacing w:line="312" w:lineRule="auto" w:after="80"/>
        <w:jc w:val="left"/>
      </w:pPr>
      <w:r>
        <w:rPr>
          <w:rFonts w:ascii="Times New Roman" w:hAnsi="Times New Roman" w:cs="Times New Roman"/>
          <w:sz w:val="22"/>
          <w:szCs w:val="22"/>
        </w:rPr>
        <w:t>Sand, P. H. &amp; McGee, J. (2022) International Environmental Governance: Managing Fragmentation through Institutional Connection. International Environmental Agreements: Politics, Law and Economics. DOI: 10.1007/s10784-022-09572-9</w:t>
      </w:r>
    </w:p>
    <w:p>
      <w:pPr>
        <w:spacing w:line="312" w:lineRule="auto" w:after="80"/>
        <w:jc w:val="left"/>
      </w:pPr>
      <w:r>
        <w:rPr>
          <w:rFonts w:ascii="Times New Roman" w:hAnsi="Times New Roman" w:cs="Times New Roman"/>
          <w:sz w:val="22"/>
          <w:szCs w:val="22"/>
        </w:rPr>
        <w:t>Sands, P. &amp; Peel, J. (2018) Principles of International Environmental Law (4th ed.). Cambridge University Press. DOI: 10.1017/9781108355728</w:t>
      </w:r>
    </w:p>
    <w:p>
      <w:pPr>
        <w:spacing w:line="312" w:lineRule="auto" w:after="80"/>
        <w:jc w:val="left"/>
      </w:pPr>
      <w:r>
        <w:rPr>
          <w:rFonts w:ascii="Times New Roman" w:hAnsi="Times New Roman" w:cs="Times New Roman"/>
          <w:sz w:val="22"/>
          <w:szCs w:val="22"/>
        </w:rPr>
        <w:t>Tigre, M. A. (2022) The Evolution of International Environmental Law Amidst Political Gridlock: Environmental Rights as a Common Ground. SJD Dissertation, Elisabeth Haub School of Law at Pace University, 260 pp. (open access).</w:t>
      </w:r>
    </w:p>
    <w:p>
      <w:pPr>
        <w:spacing w:line="312" w:lineRule="auto" w:after="80"/>
        <w:jc w:val="left"/>
      </w:pPr>
      <w:r>
        <w:rPr>
          <w:rFonts w:ascii="Times New Roman" w:hAnsi="Times New Roman" w:cs="Times New Roman"/>
          <w:sz w:val="22"/>
          <w:szCs w:val="22"/>
        </w:rPr>
        <w:t>Tigre, M.A. (ELI) (2020) Gaps in International Environmental Law: Toward a Global Pact for the Environment. Environmental Law Institute (ELI) Press.</w:t>
      </w:r>
    </w:p>
    <w:p>
      <w:pPr>
        <w:spacing w:line="312" w:lineRule="auto" w:after="80"/>
        <w:jc w:val="left"/>
      </w:pPr>
      <w:r>
        <w:rPr>
          <w:rFonts w:ascii="Times New Roman" w:hAnsi="Times New Roman" w:cs="Times New Roman"/>
          <w:sz w:val="22"/>
          <w:szCs w:val="22"/>
        </w:rPr>
        <w:t>Tiller, D. (2018) Are the Aims of the Proposed Global Pact for the Environment Desirable and Will the Pact Add Any Value to International Environmental Law?. LLB(Hons) Research Paper, Victoria University of Wellington, Faculty of Law.</w:t>
      </w:r>
    </w:p>
    <w:p>
      <w:pPr>
        <w:spacing w:line="312" w:lineRule="auto" w:after="80"/>
        <w:jc w:val="left"/>
      </w:pPr>
      <w:r>
        <w:rPr>
          <w:rFonts w:ascii="Times New Roman" w:hAnsi="Times New Roman" w:cs="Times New Roman"/>
          <w:sz w:val="22"/>
          <w:szCs w:val="22"/>
        </w:rPr>
        <w:t>UN General Assembly (2018). Gaps in International Environmental Law and Environment-related Instruments: Towards a Global Pact for the Environment. Report of the Secretary-General, UN Doc A/73/419.</w:t>
      </w:r>
    </w:p>
    <w:p>
      <w:pPr>
        <w:spacing w:line="312" w:lineRule="auto" w:after="80"/>
        <w:jc w:val="left"/>
      </w:pPr>
      <w:r>
        <w:rPr>
          <w:rFonts w:ascii="Times New Roman" w:hAnsi="Times New Roman" w:cs="Times New Roman"/>
          <w:sz w:val="22"/>
          <w:szCs w:val="22"/>
        </w:rPr>
        <w:t>UN General Assembly (2018). Towards a Global Pact for the Environment. Resolution 72/277, 10 May 2018.</w:t>
      </w:r>
    </w:p>
    <w:p>
      <w:pPr>
        <w:spacing w:line="312" w:lineRule="auto" w:after="80"/>
        <w:jc w:val="left"/>
      </w:pPr>
      <w:r>
        <w:rPr>
          <w:rFonts w:ascii="Times New Roman" w:hAnsi="Times New Roman" w:cs="Times New Roman"/>
          <w:sz w:val="22"/>
          <w:szCs w:val="22"/>
        </w:rPr>
        <w:t>UN General Assembly (2022). The Human Right to a Clean, Healthy and Sustainable Environment. Resolution 76/300, 28 July 2022.</w:t>
      </w:r>
    </w:p>
    <w:p>
      <w:pPr>
        <w:spacing w:line="312" w:lineRule="auto" w:after="80"/>
        <w:jc w:val="left"/>
      </w:pPr>
      <w:r>
        <w:rPr>
          <w:rFonts w:ascii="Times New Roman" w:hAnsi="Times New Roman" w:cs="Times New Roman"/>
          <w:sz w:val="22"/>
          <w:szCs w:val="22"/>
        </w:rPr>
        <w:t>UN Secretary-General (2018) Gaps in international environmental law and environment-related instruments: towards a global pact for the environment. UN Doc. A/73/419, 30 November 2018.</w:t>
      </w:r>
    </w:p>
    <w:p>
      <w:pPr>
        <w:spacing w:line="312" w:lineRule="auto" w:after="80"/>
        <w:jc w:val="left"/>
      </w:pPr>
      <w:r>
        <w:rPr>
          <w:rFonts w:ascii="Times New Roman" w:hAnsi="Times New Roman" w:cs="Times New Roman"/>
          <w:sz w:val="22"/>
          <w:szCs w:val="22"/>
        </w:rPr>
        <w:t>United Nations (1969). Vienna Convention on the Law of Treaties. Art. 31(3)(c).</w:t>
      </w:r>
    </w:p>
    <w:p>
      <w:pPr>
        <w:spacing w:line="312" w:lineRule="auto" w:after="80"/>
        <w:jc w:val="left"/>
      </w:pPr>
      <w:r>
        <w:rPr>
          <w:rFonts w:ascii="Times New Roman" w:hAnsi="Times New Roman" w:cs="Times New Roman"/>
          <w:sz w:val="22"/>
          <w:szCs w:val="22"/>
        </w:rPr>
        <w:t>Vidal, O. / MDPI (2020) Rethinking the Global Pact for the Environment: Ambitions, Realities and Alternatives. Sustainability, 12(3), 877. DOI: 10.3390/su12030877</w:t>
      </w:r>
    </w:p>
    <w:p>
      <w:pPr>
        <w:spacing w:line="312" w:lineRule="auto" w:after="80"/>
        <w:jc w:val="left"/>
      </w:pPr>
      <w:r>
        <w:rPr>
          <w:rFonts w:ascii="Times New Roman" w:hAnsi="Times New Roman" w:cs="Times New Roman"/>
          <w:sz w:val="22"/>
          <w:szCs w:val="22"/>
        </w:rPr>
        <w:t>Vinuales, J.E. (2018) The Organisation of the Anthropocene: In Our Hands?. Brill Research Perspectives in International Legal Theory and Practice. DOI: 10.1163/24056901-12340003</w:t>
      </w:r>
    </w:p>
    <w:p>
      <w:pPr>
        <w:spacing w:line="312" w:lineRule="auto" w:after="80"/>
        <w:jc w:val="left"/>
      </w:pPr>
      <w:r>
        <w:rPr>
          <w:rFonts w:ascii="Times New Roman" w:hAnsi="Times New Roman" w:cs="Times New Roman"/>
          <w:sz w:val="22"/>
          <w:szCs w:val="22"/>
        </w:rPr>
        <w:t>Yang, T. &amp; Percival, R.V. (2009) The Emergence of Global Environmental Law. Ecology Law Quarterly, 36(3), 615–664.</w:t>
      </w:r>
    </w:p>
    <w:p>
      <w:r>
        <w:br w:type="page"/>
      </w:r>
    </w:p>
    <w:p>
      <w:pPr>
        <w:spacing w:after="160"/>
        <w:jc w:val="center"/>
      </w:pPr>
      <w:r>
        <w:rPr>
          <w:rFonts w:ascii="Times New Roman" w:hAnsi="Times New Roman" w:cs="Times New Roman"/>
          <w:sz w:val="24"/>
          <w:szCs w:val="24"/>
          <w:b/>
          <w:bCs/>
        </w:rPr>
        <w:t>Abstract</w:t>
      </w:r>
    </w:p>
    <w:p>
      <w:pPr>
        <w:spacing w:after="160"/>
        <w:jc w:val="center"/>
      </w:pPr>
      <w:r>
        <w:rPr>
          <w:rFonts w:ascii="Times New Roman" w:hAnsi="Times New Roman" w:cs="Times New Roman"/>
          <w:sz w:val="24"/>
          <w:szCs w:val="24"/>
          <w:b/>
          <w:bCs/>
        </w:rPr>
        <w:t>The Formation of the Global Pact for the Environment and Its Effects on Multilateral Environmental Agreements</w:t>
      </w:r>
    </w:p>
    <w:p>
      <w:pPr>
        <w:spacing w:line="312" w:lineRule="auto"/>
        <w:jc w:val="both"/>
      </w:pPr>
      <w:r>
        <w:rPr>
          <w:rFonts w:ascii="Times New Roman" w:hAnsi="Times New Roman" w:cs="Times New Roman"/>
          <w:sz w:val="22"/>
          <w:szCs w:val="22"/>
        </w:rPr>
        <w:t>This dissertation examines the formation of the Global Pact for the Environment (GPE) — the 2017 draft instrument intended to codify the general principles of international environmental law into a single, binding "umbrella" text — and its effects on multilateral environmental agreements (MEAs). The central argument is that the Pact's principal influence arose not from adoption and implementation, which never occurred, but paradoxically from the process of its formation and subsequent failure at Nairobi in 2019. Using the International Law Commission's 2006 Conclusions on the Fragmentation of International Law as its theoretical framework, the study analyses the Pact's potential and actual impact on MEAs across seven lenses (coherence, effectiveness, governance, implementation, compliance, enforcement, and the rule of law and normative hierarchy). It finds that the Pact's aim — a normative transition of principles from soft law toward a hard umbrella instrument, strengthening "systemic integration" under Article 31(3)(c) of the Vienna Convention — was sound, but that pursuing it through a single, consensus-based comprehensive treaty was incompatible with the reactive, sectoral, fragmented, incremental and consensual nature of international environmental law. Drawing on comparative analysis of the plastic-pollution and BBNJ negotiations and on a balanced treatment of proponents and critics, the dissertation concludes that the Pact's hidden achievements (notably the recognition of the right to a healthy environment in UNGA Resolution 76/300 and the strengthening of environmental discourse) outlived its failure. It proposes a six-pillar alternative roadmap — judicial development, institutional strengthening of UNEP, an UPR-inspired environmental periodic review, treaty clustering and synergies, strategic use of soft law, and uniform interpretation of principles — as a path compatible with the existing legal order.</w:t>
      </w:r>
    </w:p>
    <w:p>
      <w:pPr>
        <w:spacing w:before="160"/>
        <w:jc w:val="left"/>
      </w:pPr>
      <w:r>
        <w:rPr>
          <w:rFonts w:ascii="Times New Roman" w:hAnsi="Times New Roman" w:cs="Times New Roman"/>
          <w:sz w:val="22"/>
          <w:szCs w:val="22"/>
          <w:b/>
          <w:bCs/>
        </w:rPr>
        <w:t xml:space="preserve">Keywords: </w:t>
      </w:r>
      <w:r>
        <w:rPr>
          <w:rFonts w:ascii="Times New Roman" w:hAnsi="Times New Roman" w:cs="Times New Roman"/>
          <w:sz w:val="22"/>
          <w:szCs w:val="22"/>
        </w:rPr>
        <w:t>Global Pact for the Environment; Multilateral Environmental Agreements; Fragmentation of International Law; Systemic Integration; Right to a Healthy Environment; International Environmental Law; Umbrella Instrument.</w:t>
      </w:r>
    </w:p>
    <w:sectPr w:rsidR="00FC693F" w:rsidRPr="0006063C" w:rsidSect="00034616">
      <w:pgSz w:w="11906" w:h="16838"/>
      <w:pgMar w:top="1984" w:right="1701" w:bottom="1701" w:left="1701"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val="1"/>
        <w:jc w:val="both"/>
      </w:pPr>
      <w:r>
        <w:rPr>
          <w:rStyle w:val="FootnoteReference"/>
          <w:rtl w:val="1"/>
        </w:rPr>
        <w:footnoteRef/>
      </w:r>
      <w:r>
        <w:rPr>
          <w:rFonts w:ascii="Times New Roman" w:hAnsi="Times New Roman" w:cs="B Nazanin"/>
          <w:sz w:val="22"/>
          <w:szCs w:val="22"/>
          <w:rtl w:val="1"/>
        </w:rPr>
        <w:t xml:space="preserve"> برای تحلیل خصلت واکنشی و بخشی حقوق بین‌الملل محیط زیست: Dupuy, P.-M. &amp; Viñuales, J. E., International Environmental Law, 2nd ed., Cambridge University Press, 2018.</w:t>
      </w:r>
    </w:p>
  </w:footnote>
  <w:footnote w:id="2">
    <w:p>
      <w:pPr>
        <w:pStyle w:val="FootnoteText"/>
        <w:bidi w:val="1"/>
        <w:jc w:val="both"/>
      </w:pPr>
      <w:r>
        <w:rPr>
          <w:rStyle w:val="FootnoteReference"/>
          <w:rtl w:val="1"/>
        </w:rPr>
        <w:footnoteRef/>
      </w:r>
      <w:r>
        <w:rPr>
          <w:rFonts w:ascii="Times New Roman" w:hAnsi="Times New Roman" w:cs="B Nazanin"/>
          <w:sz w:val="22"/>
          <w:szCs w:val="22"/>
          <w:rtl w:val="1"/>
        </w:rPr>
        <w:t xml:space="preserve"> UN Secretary-General, Gaps in international environmental law and environment-related instruments: towards a global pact for the environment, UN Doc. A/73/419, 30 Nov 2018.</w:t>
      </w:r>
    </w:p>
  </w:footnote>
  <w:footnote w:id="3">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(eds.), A Global Pact for the Environment: Legal Foundations, C-EENRG, 2019; Kotzé, L. J. &amp; French, D., 'A Critique of the Global Pact for the Environment', 2018.</w:t>
      </w:r>
    </w:p>
  </w:footnote>
  <w:footnote w:id="4">
    <w:p>
      <w:pPr>
        <w:pStyle w:val="FootnoteText"/>
        <w:bidi w:val="1"/>
        <w:jc w:val="both"/>
      </w:pPr>
      <w:r>
        <w:rPr>
          <w:rStyle w:val="FootnoteReference"/>
          <w:rtl w:val="1"/>
        </w:rPr>
        <w:footnoteRef/>
      </w:r>
      <w:r>
        <w:rPr>
          <w:rFonts w:ascii="Times New Roman" w:hAnsi="Times New Roman" w:cs="B Nazanin"/>
          <w:sz w:val="22"/>
          <w:szCs w:val="22"/>
          <w:rtl w:val="1"/>
        </w:rPr>
        <w:t xml:space="preserve"> A/RES/2398, 3 December 1968, problems of the human environment</w:t>
      </w:r>
    </w:p>
  </w:footnote>
  <w:footnote w:id="5">
    <w:p>
      <w:pPr>
        <w:pStyle w:val="FootnoteText"/>
        <w:bidi w:val="1"/>
        <w:jc w:val="both"/>
      </w:pPr>
      <w:r>
        <w:rPr>
          <w:rStyle w:val="FootnoteReference"/>
          <w:rtl w:val="1"/>
        </w:rPr>
        <w:footnoteRef/>
      </w:r>
      <w:r>
        <w:rPr>
          <w:rFonts w:ascii="Times New Roman" w:hAnsi="Times New Roman" w:cs="B Nazanin"/>
          <w:sz w:val="22"/>
          <w:szCs w:val="22"/>
          <w:rtl w:val="1"/>
        </w:rPr>
        <w:t xml:space="preserve"> The Stockholm Declaration on the Human Environment</w:t>
      </w:r>
    </w:p>
  </w:footnote>
  <w:footnote w:id="6">
    <w:p>
      <w:pPr>
        <w:pStyle w:val="FootnoteText"/>
        <w:bidi w:val="1"/>
        <w:jc w:val="both"/>
      </w:pPr>
      <w:r>
        <w:rPr>
          <w:rStyle w:val="FootnoteReference"/>
          <w:rtl w:val="1"/>
        </w:rPr>
        <w:footnoteRef/>
      </w:r>
      <w:r>
        <w:rPr>
          <w:rFonts w:ascii="Times New Roman" w:hAnsi="Times New Roman" w:cs="B Nazanin"/>
          <w:sz w:val="22"/>
          <w:szCs w:val="22"/>
          <w:rtl w:val="1"/>
        </w:rPr>
        <w:t xml:space="preserve"> World Charter for Nature</w:t>
      </w:r>
    </w:p>
  </w:footnote>
  <w:footnote w:id="7">
    <w:p>
      <w:pPr>
        <w:pStyle w:val="FootnoteText"/>
        <w:bidi w:val="1"/>
        <w:jc w:val="both"/>
      </w:pPr>
      <w:r>
        <w:rPr>
          <w:rStyle w:val="FootnoteReference"/>
          <w:rtl w:val="1"/>
        </w:rPr>
        <w:footnoteRef/>
      </w:r>
      <w:r>
        <w:rPr>
          <w:rFonts w:ascii="Times New Roman" w:hAnsi="Times New Roman" w:cs="B Nazanin"/>
          <w:sz w:val="22"/>
          <w:szCs w:val="22"/>
          <w:rtl w:val="1"/>
        </w:rPr>
        <w:t xml:space="preserve"> President Mobutu of Zaire</w:t>
      </w:r>
    </w:p>
  </w:footnote>
  <w:footnote w:id="8">
    <w:p>
      <w:pPr>
        <w:pStyle w:val="FootnoteText"/>
        <w:bidi w:val="1"/>
        <w:jc w:val="both"/>
      </w:pPr>
      <w:r>
        <w:rPr>
          <w:rStyle w:val="FootnoteReference"/>
          <w:rtl w:val="1"/>
        </w:rPr>
        <w:footnoteRef/>
      </w:r>
      <w:r>
        <w:rPr>
          <w:rFonts w:ascii="Times New Roman" w:hAnsi="Times New Roman" w:cs="B Nazanin"/>
          <w:sz w:val="22"/>
          <w:szCs w:val="22"/>
          <w:rtl w:val="1"/>
        </w:rPr>
        <w:t xml:space="preserve"> The International Union for Conservation of Nature (IUCN)</w:t>
      </w:r>
    </w:p>
  </w:footnote>
  <w:footnote w:id="9">
    <w:p>
      <w:pPr>
        <w:pStyle w:val="FootnoteText"/>
        <w:bidi w:val="1"/>
        <w:jc w:val="both"/>
      </w:pPr>
      <w:r>
        <w:rPr>
          <w:rStyle w:val="FootnoteReference"/>
          <w:rtl w:val="1"/>
        </w:rPr>
        <w:footnoteRef/>
      </w:r>
      <w:r>
        <w:rPr>
          <w:rFonts w:ascii="Times New Roman" w:hAnsi="Times New Roman" w:cs="B Nazanin"/>
          <w:sz w:val="22"/>
          <w:szCs w:val="22"/>
          <w:rtl w:val="1"/>
        </w:rPr>
        <w:t xml:space="preserve"> A/RES/37/7, World Charter for Nature, 28 October 1982,</w:t>
      </w:r>
    </w:p>
  </w:footnote>
  <w:footnote w:id="10">
    <w:p>
      <w:pPr>
        <w:pStyle w:val="FootnoteText"/>
        <w:bidi w:val="1"/>
        <w:jc w:val="both"/>
      </w:pPr>
      <w:r>
        <w:rPr>
          <w:rStyle w:val="FootnoteReference"/>
          <w:rtl w:val="1"/>
        </w:rPr>
        <w:footnoteRef/>
      </w:r>
      <w:r>
        <w:rPr>
          <w:rFonts w:ascii="Times New Roman" w:hAnsi="Times New Roman" w:cs="B Nazanin"/>
          <w:sz w:val="22"/>
          <w:szCs w:val="22"/>
          <w:rtl w:val="1"/>
        </w:rPr>
        <w:t xml:space="preserve"> A code of moral conduct</w:t>
      </w:r>
    </w:p>
  </w:footnote>
  <w:footnote w:id="11">
    <w:p>
      <w:pPr>
        <w:pStyle w:val="FootnoteText"/>
        <w:bidi w:val="1"/>
        <w:jc w:val="both"/>
      </w:pPr>
      <w:r>
        <w:rPr>
          <w:rStyle w:val="FootnoteReference"/>
          <w:rtl w:val="1"/>
        </w:rPr>
        <w:footnoteRef/>
      </w:r>
      <w:r>
        <w:rPr>
          <w:rFonts w:ascii="Times New Roman" w:hAnsi="Times New Roman" w:cs="B Nazanin"/>
          <w:sz w:val="22"/>
          <w:szCs w:val="22"/>
          <w:rtl w:val="1"/>
        </w:rPr>
        <w:t xml:space="preserve"> science-based policies</w:t>
      </w:r>
    </w:p>
  </w:footnote>
  <w:footnote w:id="12">
    <w:p>
      <w:pPr>
        <w:pStyle w:val="FootnoteText"/>
        <w:bidi w:val="1"/>
        <w:jc w:val="both"/>
      </w:pPr>
      <w:r>
        <w:rPr>
          <w:rStyle w:val="FootnoteReference"/>
          <w:rtl w:val="1"/>
        </w:rPr>
        <w:footnoteRef/>
      </w:r>
      <w:r>
        <w:rPr>
          <w:rFonts w:ascii="Times New Roman" w:hAnsi="Times New Roman" w:cs="B Nazanin"/>
          <w:sz w:val="22"/>
          <w:szCs w:val="22"/>
          <w:rtl w:val="1"/>
        </w:rPr>
        <w:t xml:space="preserve"> action-oriented rules and standards</w:t>
      </w:r>
    </w:p>
  </w:footnote>
  <w:footnote w:id="13">
    <w:p>
      <w:pPr>
        <w:pStyle w:val="FootnoteText"/>
        <w:bidi w:val="1"/>
        <w:jc w:val="both"/>
      </w:pPr>
      <w:r>
        <w:rPr>
          <w:rStyle w:val="FootnoteReference"/>
          <w:rtl w:val="1"/>
        </w:rPr>
        <w:footnoteRef/>
      </w:r>
      <w:r>
        <w:rPr>
          <w:rFonts w:ascii="Times New Roman" w:hAnsi="Times New Roman" w:cs="B Nazanin"/>
          <w:sz w:val="22"/>
          <w:szCs w:val="22"/>
          <w:rtl w:val="1"/>
        </w:rPr>
        <w:t xml:space="preserve"> این نهاد در سال 1983 توسط سازمان ملل متحد به منظور شناسایی و ارزیابی چالش‌های محیط زیستی و ارائه پیشنهادات برای سیاست گذاری و اقدامات بین المللی با در نظر گرفتن تمامی ابعاد اقتصادی، اجتماعی و محیط زیستی ایجاد گردید.</w:t>
      </w:r>
    </w:p>
  </w:footnote>
  <w:footnote w:id="14">
    <w:p>
      <w:pPr>
        <w:pStyle w:val="FootnoteText"/>
        <w:bidi w:val="1"/>
        <w:jc w:val="both"/>
      </w:pPr>
      <w:r>
        <w:rPr>
          <w:rStyle w:val="FootnoteReference"/>
          <w:rtl w:val="1"/>
        </w:rPr>
        <w:footnoteRef/>
      </w:r>
      <w:r>
        <w:rPr>
          <w:rFonts w:ascii="Times New Roman" w:hAnsi="Times New Roman" w:cs="B Nazanin"/>
          <w:sz w:val="22"/>
          <w:szCs w:val="22"/>
          <w:rtl w:val="1"/>
        </w:rPr>
        <w:t xml:space="preserve"> Gro Harlem Brundtland</w:t>
      </w:r>
    </w:p>
  </w:footnote>
  <w:footnote w:id="15">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Environment and Development, also known as the Rio Earth Summit</w:t>
      </w:r>
    </w:p>
  </w:footnote>
  <w:footnote w:id="16">
    <w:p>
      <w:pPr>
        <w:pStyle w:val="FootnoteText"/>
        <w:bidi w:val="1"/>
        <w:jc w:val="both"/>
      </w:pPr>
      <w:r>
        <w:rPr>
          <w:rStyle w:val="FootnoteReference"/>
          <w:rtl w:val="1"/>
        </w:rPr>
        <w:footnoteRef/>
      </w:r>
      <w:r>
        <w:rPr>
          <w:rFonts w:ascii="Times New Roman" w:hAnsi="Times New Roman" w:cs="B Nazanin"/>
          <w:sz w:val="22"/>
          <w:szCs w:val="22"/>
          <w:rtl w:val="1"/>
        </w:rPr>
        <w:t xml:space="preserve"> erathcharter</w:t>
      </w:r>
    </w:p>
  </w:footnote>
  <w:footnote w:id="17">
    <w:p>
      <w:pPr>
        <w:pStyle w:val="FootnoteText"/>
        <w:bidi w:val="1"/>
        <w:jc w:val="both"/>
      </w:pPr>
      <w:r>
        <w:rPr>
          <w:rStyle w:val="FootnoteReference"/>
          <w:rtl w:val="1"/>
        </w:rPr>
        <w:footnoteRef/>
      </w:r>
      <w:r>
        <w:rPr>
          <w:rFonts w:ascii="Times New Roman" w:hAnsi="Times New Roman" w:cs="B Nazanin"/>
          <w:sz w:val="22"/>
          <w:szCs w:val="22"/>
          <w:rtl w:val="1"/>
        </w:rPr>
        <w:t xml:space="preserve"> Millennium Development Goals (MDGs)</w:t>
      </w:r>
    </w:p>
  </w:footnote>
  <w:footnote w:id="18">
    <w:p>
      <w:pPr>
        <w:pStyle w:val="FootnoteText"/>
        <w:bidi w:val="1"/>
        <w:jc w:val="both"/>
      </w:pPr>
      <w:r>
        <w:rPr>
          <w:rStyle w:val="FootnoteReference"/>
          <w:rtl w:val="1"/>
        </w:rPr>
        <w:footnoteRef/>
      </w:r>
      <w:r>
        <w:rPr>
          <w:rFonts w:ascii="Times New Roman" w:hAnsi="Times New Roman" w:cs="B Nazanin"/>
          <w:sz w:val="22"/>
          <w:szCs w:val="22"/>
          <w:rtl w:val="1"/>
        </w:rPr>
        <w:t xml:space="preserve"> A/RES/55/2,18 September 2000, United Nations Millennium Declaration</w:t>
      </w:r>
    </w:p>
  </w:footnote>
  <w:footnote w:id="19">
    <w:p>
      <w:pPr>
        <w:pStyle w:val="FootnoteText"/>
        <w:bidi w:val="1"/>
        <w:jc w:val="both"/>
      </w:pPr>
      <w:r>
        <w:rPr>
          <w:rStyle w:val="FootnoteReference"/>
          <w:rtl w:val="1"/>
        </w:rPr>
        <w:footnoteRef/>
      </w:r>
      <w:r>
        <w:rPr>
          <w:rFonts w:ascii="Times New Roman" w:hAnsi="Times New Roman" w:cs="B Nazanin"/>
          <w:sz w:val="22"/>
          <w:szCs w:val="22"/>
          <w:rtl w:val="1"/>
        </w:rPr>
        <w:t xml:space="preserve"> A/RES/55/199, 5 February 2001, Ten-year review of progress achieved in the implementation of the outcome of the United Nations Conference on Environment and Development;</w:t>
      </w:r>
    </w:p>
  </w:footnote>
  <w:footnote w:id="20">
    <w:p>
      <w:pPr>
        <w:pStyle w:val="FootnoteText"/>
        <w:bidi w:val="1"/>
        <w:jc w:val="both"/>
      </w:pPr>
      <w:r>
        <w:rPr>
          <w:rStyle w:val="FootnoteReference"/>
          <w:rtl w:val="1"/>
        </w:rPr>
        <w:footnoteRef/>
      </w:r>
      <w:r>
        <w:rPr>
          <w:rFonts w:ascii="Times New Roman" w:hAnsi="Times New Roman" w:cs="B Nazanin"/>
          <w:sz w:val="22"/>
          <w:szCs w:val="22"/>
          <w:rtl w:val="1"/>
        </w:rPr>
        <w:t xml:space="preserve"> The World Summit on Sustainable Development (also known as Rio+10)</w:t>
      </w:r>
    </w:p>
  </w:footnote>
  <w:footnote w:id="21">
    <w:p>
      <w:pPr>
        <w:pStyle w:val="FootnoteText"/>
        <w:bidi w:val="1"/>
        <w:jc w:val="both"/>
      </w:pPr>
      <w:r>
        <w:rPr>
          <w:rStyle w:val="FootnoteReference"/>
          <w:rtl w:val="1"/>
        </w:rPr>
        <w:footnoteRef/>
      </w:r>
      <w:r>
        <w:rPr>
          <w:rFonts w:ascii="Times New Roman" w:hAnsi="Times New Roman" w:cs="B Nazanin"/>
          <w:sz w:val="22"/>
          <w:szCs w:val="22"/>
          <w:rtl w:val="1"/>
        </w:rPr>
        <w:t xml:space="preserve"> A/RES/57/253, 21 February 2003, World Summit on Sustainable Development</w:t>
      </w:r>
    </w:p>
  </w:footnote>
  <w:footnote w:id="22">
    <w:p>
      <w:pPr>
        <w:pStyle w:val="FootnoteText"/>
        <w:bidi w:val="1"/>
        <w:jc w:val="both"/>
      </w:pPr>
      <w:r>
        <w:rPr>
          <w:rStyle w:val="FootnoteReference"/>
          <w:rtl w:val="1"/>
        </w:rPr>
        <w:footnoteRef/>
      </w:r>
      <w:r>
        <w:rPr>
          <w:rFonts w:ascii="Times New Roman" w:hAnsi="Times New Roman" w:cs="B Nazanin"/>
          <w:sz w:val="22"/>
          <w:szCs w:val="22"/>
          <w:rtl w:val="1"/>
        </w:rPr>
        <w:t xml:space="preserve"> A/RES/64/236, 31 March 2010, Implementation of Agenda 21, the Programme for the Further Implementation of Agenda 21 and the outcomes of the World Summit on Sustainable Development;</w:t>
      </w:r>
    </w:p>
  </w:footnote>
  <w:footnote w:id="23">
    <w:p>
      <w:pPr>
        <w:pStyle w:val="FootnoteText"/>
        <w:bidi w:val="1"/>
        <w:jc w:val="both"/>
      </w:pPr>
      <w:r>
        <w:rPr>
          <w:rStyle w:val="FootnoteReference"/>
          <w:rtl w:val="1"/>
        </w:rPr>
        <w:footnoteRef/>
      </w:r>
      <w:r>
        <w:rPr>
          <w:rFonts w:ascii="Times New Roman" w:hAnsi="Times New Roman" w:cs="B Nazanin"/>
          <w:sz w:val="22"/>
          <w:szCs w:val="22"/>
          <w:rtl w:val="1"/>
        </w:rPr>
        <w:t xml:space="preserve"> A/RES/66/288, 11 September 2012, The future we want;</w:t>
      </w:r>
    </w:p>
  </w:footnote>
  <w:footnote w:id="24">
    <w:p>
      <w:pPr>
        <w:pStyle w:val="FootnoteText"/>
        <w:bidi w:val="1"/>
        <w:jc w:val="both"/>
      </w:pPr>
      <w:r>
        <w:rPr>
          <w:rStyle w:val="FootnoteReference"/>
          <w:rtl w:val="1"/>
        </w:rPr>
        <w:footnoteRef/>
      </w:r>
      <w:r>
        <w:rPr>
          <w:rFonts w:ascii="Times New Roman" w:hAnsi="Times New Roman" w:cs="B Nazanin"/>
          <w:sz w:val="22"/>
          <w:szCs w:val="22"/>
          <w:rtl w:val="1"/>
        </w:rPr>
        <w:t xml:space="preserve"> A/70/1,21 October 2015,Transforming Our World: The 2030 Agenda for Sustainable Development</w:t>
      </w:r>
    </w:p>
  </w:footnote>
  <w:footnote w:id="25">
    <w:p>
      <w:pPr>
        <w:pStyle w:val="FootnoteText"/>
        <w:bidi w:val="1"/>
        <w:jc w:val="both"/>
      </w:pPr>
      <w:r>
        <w:rPr>
          <w:rStyle w:val="FootnoteReference"/>
          <w:rtl w:val="1"/>
        </w:rPr>
        <w:footnoteRef/>
      </w:r>
      <w:r>
        <w:rPr>
          <w:rFonts w:ascii="Times New Roman" w:hAnsi="Times New Roman" w:cs="B Nazanin"/>
          <w:sz w:val="22"/>
          <w:szCs w:val="22"/>
          <w:rtl w:val="1"/>
        </w:rPr>
        <w:t xml:space="preserve"> High-level Political Forum on Sustainable Development</w:t>
      </w:r>
    </w:p>
  </w:footnote>
  <w:footnote w:id="26">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Wetlands of International Importance especially as Waterfowl Habitat (known as Ramsar convention)</w:t>
      </w:r>
    </w:p>
  </w:footnote>
  <w:footnote w:id="27">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International Trade in Endangered Species of Wild Fauna and Flora (known as CITES)</w:t>
      </w:r>
    </w:p>
  </w:footnote>
  <w:footnote w:id="28">
    <w:p>
      <w:pPr>
        <w:pStyle w:val="FootnoteText"/>
        <w:bidi w:val="1"/>
        <w:jc w:val="both"/>
      </w:pPr>
      <w:r>
        <w:rPr>
          <w:rStyle w:val="FootnoteReference"/>
          <w:rtl w:val="1"/>
        </w:rPr>
        <w:footnoteRef/>
      </w:r>
      <w:r>
        <w:rPr>
          <w:rFonts w:ascii="Times New Roman" w:hAnsi="Times New Roman" w:cs="B Nazanin"/>
          <w:sz w:val="22"/>
          <w:szCs w:val="22"/>
          <w:rtl w:val="1"/>
        </w:rPr>
        <w:t xml:space="preserve"> Conference of Parties</w:t>
      </w:r>
    </w:p>
  </w:footnote>
  <w:footnote w:id="29">
    <w:p>
      <w:pPr>
        <w:pStyle w:val="FootnoteText"/>
        <w:bidi w:val="1"/>
        <w:jc w:val="both"/>
      </w:pPr>
      <w:r>
        <w:rPr>
          <w:rStyle w:val="FootnoteReference"/>
          <w:rtl w:val="1"/>
        </w:rPr>
        <w:footnoteRef/>
      </w:r>
      <w:r>
        <w:rPr>
          <w:rFonts w:ascii="Times New Roman" w:hAnsi="Times New Roman" w:cs="B Nazanin"/>
          <w:sz w:val="22"/>
          <w:szCs w:val="22"/>
          <w:rtl w:val="1"/>
        </w:rPr>
        <w:t xml:space="preserve"> sectoral issues</w:t>
      </w:r>
    </w:p>
  </w:footnote>
  <w:footnote w:id="30">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Environment Programme</w:t>
      </w:r>
    </w:p>
  </w:footnote>
  <w:footnote w:id="31">
    <w:p>
      <w:pPr>
        <w:pStyle w:val="FootnoteText"/>
        <w:bidi w:val="1"/>
        <w:jc w:val="both"/>
      </w:pPr>
      <w:r>
        <w:rPr>
          <w:rStyle w:val="FootnoteReference"/>
          <w:rtl w:val="1"/>
        </w:rPr>
        <w:footnoteRef/>
      </w:r>
      <w:r>
        <w:rPr>
          <w:rFonts w:ascii="Times New Roman" w:hAnsi="Times New Roman" w:cs="B Nazanin"/>
          <w:sz w:val="22"/>
          <w:szCs w:val="22"/>
          <w:rtl w:val="1"/>
        </w:rPr>
        <w:t xml:space="preserve"> George Kennan’s</w:t>
      </w:r>
    </w:p>
  </w:footnote>
  <w:footnote w:id="32">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Environmental Agency</w:t>
      </w:r>
    </w:p>
  </w:footnote>
  <w:footnote w:id="33">
    <w:p>
      <w:pPr>
        <w:pStyle w:val="FootnoteText"/>
        <w:bidi w:val="1"/>
        <w:jc w:val="both"/>
      </w:pPr>
      <w:r>
        <w:rPr>
          <w:rStyle w:val="FootnoteReference"/>
          <w:rtl w:val="1"/>
        </w:rPr>
        <w:footnoteRef/>
      </w:r>
      <w:r>
        <w:rPr>
          <w:rFonts w:ascii="Times New Roman" w:hAnsi="Times New Roman" w:cs="B Nazanin"/>
          <w:sz w:val="22"/>
          <w:szCs w:val="22"/>
          <w:rtl w:val="1"/>
        </w:rPr>
        <w:t xml:space="preserve"> Global Environmental Organization or World Environment Organization</w:t>
      </w:r>
    </w:p>
  </w:footnote>
  <w:footnote w:id="34">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Environment Organization. (UNEO)</w:t>
      </w:r>
    </w:p>
  </w:footnote>
  <w:footnote w:id="35">
    <w:p>
      <w:pPr>
        <w:pStyle w:val="FootnoteText"/>
        <w:bidi w:val="1"/>
        <w:jc w:val="both"/>
      </w:pPr>
      <w:r>
        <w:rPr>
          <w:rStyle w:val="FootnoteReference"/>
          <w:rtl w:val="1"/>
        </w:rPr>
        <w:footnoteRef/>
      </w:r>
      <w:r>
        <w:rPr>
          <w:rFonts w:ascii="Times New Roman" w:hAnsi="Times New Roman" w:cs="B Nazanin"/>
          <w:sz w:val="22"/>
          <w:szCs w:val="22"/>
          <w:rtl w:val="1"/>
        </w:rPr>
        <w:t xml:space="preserve"> organizationa reform</w:t>
      </w:r>
    </w:p>
  </w:footnote>
  <w:footnote w:id="36">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 reform</w:t>
      </w:r>
    </w:p>
  </w:footnote>
  <w:footnote w:id="37">
    <w:p>
      <w:pPr>
        <w:pStyle w:val="FootnoteText"/>
        <w:bidi w:val="1"/>
        <w:jc w:val="both"/>
      </w:pPr>
      <w:r>
        <w:rPr>
          <w:rStyle w:val="FootnoteReference"/>
          <w:rtl w:val="1"/>
        </w:rPr>
        <w:footnoteRef/>
      </w:r>
      <w:r>
        <w:rPr>
          <w:rFonts w:ascii="Times New Roman" w:hAnsi="Times New Roman" w:cs="B Nazanin"/>
          <w:sz w:val="22"/>
          <w:szCs w:val="22"/>
          <w:rtl w:val="1"/>
        </w:rPr>
        <w:t xml:space="preserve"> Draft of the International Covenant on Environment and Development</w:t>
      </w:r>
    </w:p>
  </w:footnote>
  <w:footnote w:id="38">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court of environment</w:t>
      </w:r>
    </w:p>
  </w:footnote>
  <w:footnote w:id="39">
    <w:p>
      <w:pPr>
        <w:pStyle w:val="FootnoteText"/>
        <w:bidi w:val="1"/>
        <w:jc w:val="both"/>
      </w:pPr>
      <w:r>
        <w:rPr>
          <w:rStyle w:val="FootnoteReference"/>
          <w:rtl w:val="1"/>
        </w:rPr>
        <w:footnoteRef/>
      </w:r>
      <w:r>
        <w:rPr>
          <w:rFonts w:ascii="Times New Roman" w:hAnsi="Times New Roman" w:cs="B Nazanin"/>
          <w:sz w:val="22"/>
          <w:szCs w:val="22"/>
          <w:rtl w:val="1"/>
        </w:rPr>
        <w:t xml:space="preserve"> Yann Aguila</w:t>
      </w:r>
    </w:p>
  </w:footnote>
  <w:footnote w:id="40">
    <w:p>
      <w:pPr>
        <w:pStyle w:val="FootnoteText"/>
        <w:bidi w:val="1"/>
        <w:jc w:val="both"/>
      </w:pPr>
      <w:r>
        <w:rPr>
          <w:rStyle w:val="FootnoteReference"/>
          <w:rtl w:val="1"/>
        </w:rPr>
        <w:footnoteRef/>
      </w:r>
      <w:r>
        <w:rPr>
          <w:rFonts w:ascii="Times New Roman" w:hAnsi="Times New Roman" w:cs="B Nazanin"/>
          <w:sz w:val="22"/>
          <w:szCs w:val="22"/>
          <w:rtl w:val="1"/>
        </w:rPr>
        <w:t xml:space="preserve"> Former French Minister of Foreign Affairs, Laurent Fabius</w:t>
      </w:r>
    </w:p>
  </w:footnote>
  <w:footnote w:id="41">
    <w:p>
      <w:pPr>
        <w:pStyle w:val="FootnoteText"/>
        <w:bidi w:val="1"/>
        <w:jc w:val="both"/>
      </w:pPr>
      <w:r>
        <w:rPr>
          <w:rStyle w:val="FootnoteReference"/>
          <w:rtl w:val="1"/>
        </w:rPr>
        <w:footnoteRef/>
      </w:r>
      <w:r>
        <w:rPr>
          <w:rFonts w:ascii="Times New Roman" w:hAnsi="Times New Roman" w:cs="B Nazanin"/>
          <w:sz w:val="22"/>
          <w:szCs w:val="22"/>
          <w:rtl w:val="1"/>
        </w:rPr>
        <w:t xml:space="preserve"> The Group of Experts for the Pact (GEP)</w:t>
      </w:r>
    </w:p>
  </w:footnote>
  <w:footnote w:id="42">
    <w:p>
      <w:pPr>
        <w:pStyle w:val="FootnoteText"/>
        <w:bidi w:val="1"/>
        <w:jc w:val="both"/>
      </w:pPr>
      <w:r>
        <w:rPr>
          <w:rStyle w:val="FootnoteReference"/>
          <w:rtl w:val="1"/>
        </w:rPr>
        <w:footnoteRef/>
      </w:r>
      <w:r>
        <w:rPr>
          <w:rFonts w:ascii="Times New Roman" w:hAnsi="Times New Roman" w:cs="B Nazanin"/>
          <w:sz w:val="22"/>
          <w:szCs w:val="22"/>
          <w:rtl w:val="1"/>
        </w:rPr>
        <w:t xml:space="preserve"> Summit on a Global Pact for the Environment.</w:t>
      </w:r>
    </w:p>
  </w:footnote>
  <w:footnote w:id="43">
    <w:p>
      <w:pPr>
        <w:pStyle w:val="FootnoteText"/>
        <w:bidi w:val="1"/>
        <w:jc w:val="both"/>
      </w:pPr>
      <w:r>
        <w:rPr>
          <w:rStyle w:val="FootnoteReference"/>
          <w:rtl w:val="1"/>
        </w:rPr>
        <w:footnoteRef/>
      </w:r>
      <w:r>
        <w:rPr>
          <w:rFonts w:ascii="Times New Roman" w:hAnsi="Times New Roman" w:cs="B Nazanin"/>
          <w:sz w:val="22"/>
          <w:szCs w:val="22"/>
          <w:rtl w:val="1"/>
        </w:rPr>
        <w:t xml:space="preserve"> the next step</w:t>
      </w:r>
    </w:p>
  </w:footnote>
  <w:footnote w:id="44">
    <w:p>
      <w:pPr>
        <w:pStyle w:val="FootnoteText"/>
        <w:bidi w:val="1"/>
        <w:jc w:val="both"/>
      </w:pPr>
      <w:r>
        <w:rPr>
          <w:rStyle w:val="FootnoteReference"/>
          <w:rtl w:val="1"/>
        </w:rPr>
        <w:footnoteRef/>
      </w:r>
      <w:r>
        <w:rPr>
          <w:rFonts w:ascii="Times New Roman" w:hAnsi="Times New Roman" w:cs="B Nazanin"/>
          <w:sz w:val="22"/>
          <w:szCs w:val="22"/>
          <w:rtl w:val="1"/>
        </w:rPr>
        <w:t xml:space="preserve"> framework</w:t>
      </w:r>
    </w:p>
  </w:footnote>
  <w:footnote w:id="45">
    <w:p>
      <w:pPr>
        <w:pStyle w:val="FootnoteText"/>
        <w:bidi w:val="1"/>
        <w:jc w:val="both"/>
      </w:pPr>
      <w:r>
        <w:rPr>
          <w:rStyle w:val="FootnoteReference"/>
          <w:rtl w:val="1"/>
        </w:rPr>
        <w:footnoteRef/>
      </w:r>
      <w:r>
        <w:rPr>
          <w:rFonts w:ascii="Times New Roman" w:hAnsi="Times New Roman" w:cs="B Nazanin"/>
          <w:sz w:val="22"/>
          <w:szCs w:val="22"/>
          <w:rtl w:val="1"/>
        </w:rPr>
        <w:t xml:space="preserve"> a watered-down resolution</w:t>
      </w:r>
    </w:p>
  </w:footnote>
  <w:footnote w:id="46">
    <w:p>
      <w:pPr>
        <w:pStyle w:val="FootnoteText"/>
        <w:bidi w:val="1"/>
        <w:jc w:val="both"/>
      </w:pPr>
      <w:r>
        <w:rPr>
          <w:rStyle w:val="FootnoteReference"/>
          <w:rtl w:val="1"/>
        </w:rPr>
        <w:footnoteRef/>
      </w:r>
      <w:r>
        <w:rPr>
          <w:rFonts w:ascii="Times New Roman" w:hAnsi="Times New Roman" w:cs="B Nazanin"/>
          <w:sz w:val="22"/>
          <w:szCs w:val="22"/>
          <w:rtl w:val="1"/>
        </w:rPr>
        <w:t xml:space="preserve"> قطعنامه از سوی فرانسه و همبانی هایش به شرح زیر تسلیم شد: البانی، اندورا، انگولا، بنگلادش، بلژیک، بنین، بوتان، بوسنی و هرزگوین، برزیل، بلغارستان، بورکینافاسو، کانادا، جمهوری افریقای مرکزی، چاد، شیلی، کلمبیا، کنگو، کاستاریکا، کرواسی، قبرس، چک، دانمارک، گینه استوایی، استونی، فنلاند، گابن، گرجستان، آلمان، غنا، یونان، گواتمالا، گینه، گویان، هند، ایرلند، ایتالیا، اردن، لاتویا، لبنان، لیبی، لیتوانیا، لوکزامبورگ، ماداگاسکار، مالت، موریش، مکزیک، موناکو، مونته نگرو، موراکو، هلند، نیجر، نروژ، پاراگوئه، پرو، پرتغال، قطر، رومانی، سنگال، سیشل، اسلواکی، اسوانی، اسپانیا، سریلانکا، سورینام، مقدونیه، تونس، ترکمنستان، توالو، امارات متحده عربی و انگستان.</w:t>
      </w:r>
    </w:p>
  </w:footnote>
  <w:footnote w:id="47">
    <w:p>
      <w:pPr>
        <w:pStyle w:val="FootnoteText"/>
        <w:bidi w:val="1"/>
        <w:jc w:val="both"/>
      </w:pPr>
      <w:r>
        <w:rPr>
          <w:rStyle w:val="FootnoteReference"/>
          <w:rtl w:val="1"/>
        </w:rPr>
        <w:footnoteRef/>
      </w:r>
      <w:r>
        <w:rPr>
          <w:rFonts w:ascii="Times New Roman" w:hAnsi="Times New Roman" w:cs="B Nazanin"/>
          <w:sz w:val="22"/>
          <w:szCs w:val="22"/>
          <w:rtl w:val="1"/>
        </w:rPr>
        <w:t xml:space="preserve"> A/Res/72/277,14 May 2018, Towards Global Pact for the Environment</w:t>
      </w:r>
    </w:p>
  </w:footnote>
  <w:footnote w:id="48">
    <w:p>
      <w:pPr>
        <w:pStyle w:val="FootnoteText"/>
        <w:bidi w:val="1"/>
        <w:jc w:val="both"/>
      </w:pPr>
      <w:r>
        <w:rPr>
          <w:rStyle w:val="FootnoteReference"/>
          <w:rtl w:val="1"/>
        </w:rPr>
        <w:footnoteRef/>
      </w:r>
      <w:r>
        <w:rPr>
          <w:rFonts w:ascii="Times New Roman" w:hAnsi="Times New Roman" w:cs="B Nazanin"/>
          <w:sz w:val="22"/>
          <w:szCs w:val="22"/>
          <w:rtl w:val="1"/>
        </w:rPr>
        <w:t xml:space="preserve"> a linear and open-ended methodological approach</w:t>
      </w:r>
    </w:p>
  </w:footnote>
  <w:footnote w:id="49">
    <w:p>
      <w:pPr>
        <w:pStyle w:val="FootnoteText"/>
        <w:bidi w:val="1"/>
        <w:jc w:val="both"/>
      </w:pPr>
      <w:r>
        <w:rPr>
          <w:rStyle w:val="FootnoteReference"/>
          <w:rtl w:val="1"/>
        </w:rPr>
        <w:footnoteRef/>
      </w:r>
      <w:r>
        <w:rPr>
          <w:rFonts w:ascii="Times New Roman" w:hAnsi="Times New Roman" w:cs="B Nazanin"/>
          <w:sz w:val="22"/>
          <w:szCs w:val="22"/>
          <w:rtl w:val="1"/>
        </w:rPr>
        <w:t xml:space="preserve"> an ad hoc open ended working group (OEWG)</w:t>
      </w:r>
    </w:p>
  </w:footnote>
  <w:footnote w:id="50">
    <w:p>
      <w:pPr>
        <w:pStyle w:val="FootnoteText"/>
        <w:bidi w:val="1"/>
        <w:jc w:val="both"/>
      </w:pPr>
      <w:r>
        <w:rPr>
          <w:rStyle w:val="FootnoteReference"/>
          <w:rtl w:val="1"/>
        </w:rPr>
        <w:footnoteRef/>
      </w:r>
      <w:r>
        <w:rPr>
          <w:rFonts w:ascii="Times New Roman" w:hAnsi="Times New Roman" w:cs="B Nazanin"/>
          <w:sz w:val="22"/>
          <w:szCs w:val="22"/>
          <w:rtl w:val="1"/>
        </w:rPr>
        <w:t xml:space="preserve"> A/73/419, 30 November 2018, Report of the Secretary-General on Gaps in International Environmental Law and Environment-Related Instrumens: Towards a Global Pact for the Environment</w:t>
      </w:r>
    </w:p>
  </w:footnote>
  <w:footnote w:id="51">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52">
    <w:p>
      <w:pPr>
        <w:pStyle w:val="FootnoteText"/>
        <w:bidi w:val="1"/>
        <w:jc w:val="both"/>
      </w:pPr>
      <w:r>
        <w:rPr>
          <w:rStyle w:val="FootnoteReference"/>
          <w:rtl w:val="1"/>
        </w:rPr>
        <w:footnoteRef/>
      </w:r>
      <w:r>
        <w:rPr>
          <w:rFonts w:ascii="Times New Roman" w:hAnsi="Times New Roman" w:cs="B Nazanin"/>
          <w:sz w:val="22"/>
          <w:szCs w:val="22"/>
          <w:rtl w:val="1"/>
        </w:rPr>
        <w:t xml:space="preserve"> organizational session</w:t>
      </w:r>
    </w:p>
  </w:footnote>
  <w:footnote w:id="53">
    <w:p>
      <w:pPr>
        <w:pStyle w:val="FootnoteText"/>
        <w:bidi w:val="1"/>
        <w:jc w:val="both"/>
      </w:pPr>
      <w:r>
        <w:rPr>
          <w:rStyle w:val="FootnoteReference"/>
          <w:rtl w:val="1"/>
        </w:rPr>
        <w:footnoteRef/>
      </w:r>
      <w:r>
        <w:rPr>
          <w:rFonts w:ascii="Times New Roman" w:hAnsi="Times New Roman" w:cs="B Nazanin"/>
          <w:sz w:val="22"/>
          <w:szCs w:val="22"/>
          <w:rtl w:val="1"/>
        </w:rPr>
        <w:t xml:space="preserve"> substantive sessions</w:t>
      </w:r>
    </w:p>
  </w:footnote>
  <w:footnote w:id="54">
    <w:p>
      <w:pPr>
        <w:pStyle w:val="FootnoteText"/>
        <w:bidi w:val="1"/>
        <w:jc w:val="both"/>
      </w:pPr>
      <w:r>
        <w:rPr>
          <w:rStyle w:val="FootnoteReference"/>
          <w:rtl w:val="1"/>
        </w:rPr>
        <w:footnoteRef/>
      </w:r>
      <w:r>
        <w:rPr>
          <w:rFonts w:ascii="Times New Roman" w:hAnsi="Times New Roman" w:cs="B Nazanin"/>
          <w:sz w:val="22"/>
          <w:szCs w:val="22"/>
          <w:rtl w:val="1"/>
        </w:rPr>
        <w:t xml:space="preserve"> objectives, substantive recommendations, and consideration of further work</w:t>
      </w:r>
    </w:p>
  </w:footnote>
  <w:footnote w:id="55">
    <w:p>
      <w:pPr>
        <w:pStyle w:val="FootnoteText"/>
        <w:bidi w:val="1"/>
        <w:jc w:val="both"/>
      </w:pPr>
      <w:r>
        <w:rPr>
          <w:rStyle w:val="FootnoteReference"/>
          <w:rtl w:val="1"/>
        </w:rPr>
        <w:footnoteRef/>
      </w:r>
      <w:r>
        <w:rPr>
          <w:rFonts w:ascii="Times New Roman" w:hAnsi="Times New Roman" w:cs="B Nazanin"/>
          <w:sz w:val="22"/>
          <w:szCs w:val="22"/>
          <w:rtl w:val="1"/>
        </w:rPr>
        <w:t xml:space="preserve"> A/AC.289/6/Rev.1, 13 June 2019, Report of the ad hoc open-ended working group established pursuant to General Assembly resolution 72 /277;</w:t>
      </w:r>
    </w:p>
  </w:footnote>
  <w:footnote w:id="56">
    <w:p>
      <w:pPr>
        <w:pStyle w:val="FootnoteText"/>
        <w:bidi w:val="1"/>
        <w:jc w:val="both"/>
      </w:pPr>
      <w:r>
        <w:rPr>
          <w:rStyle w:val="FootnoteReference"/>
          <w:rtl w:val="1"/>
        </w:rPr>
        <w:footnoteRef/>
      </w:r>
      <w:r>
        <w:rPr>
          <w:rFonts w:ascii="Times New Roman" w:hAnsi="Times New Roman" w:cs="B Nazanin"/>
          <w:sz w:val="22"/>
          <w:szCs w:val="22"/>
          <w:rtl w:val="1"/>
        </w:rPr>
        <w:t xml:space="preserve"> Means of implementation</w:t>
      </w:r>
    </w:p>
  </w:footnote>
  <w:footnote w:id="57">
    <w:p>
      <w:pPr>
        <w:pStyle w:val="FootnoteText"/>
        <w:bidi w:val="1"/>
        <w:jc w:val="both"/>
      </w:pPr>
      <w:r>
        <w:rPr>
          <w:rStyle w:val="FootnoteReference"/>
          <w:rtl w:val="1"/>
        </w:rPr>
        <w:footnoteRef/>
      </w:r>
      <w:r>
        <w:rPr>
          <w:rFonts w:ascii="Times New Roman" w:hAnsi="Times New Roman" w:cs="B Nazanin"/>
          <w:sz w:val="22"/>
          <w:szCs w:val="22"/>
          <w:rtl w:val="1"/>
        </w:rPr>
        <w:t xml:space="preserve"> crosscutting issues</w:t>
      </w:r>
    </w:p>
  </w:footnote>
  <w:footnote w:id="58">
    <w:p>
      <w:pPr>
        <w:pStyle w:val="FootnoteText"/>
        <w:bidi w:val="1"/>
        <w:jc w:val="both"/>
      </w:pPr>
      <w:r>
        <w:rPr>
          <w:rStyle w:val="FootnoteReference"/>
          <w:rtl w:val="1"/>
        </w:rPr>
        <w:footnoteRef/>
      </w:r>
      <w:r>
        <w:rPr>
          <w:rFonts w:ascii="Times New Roman" w:hAnsi="Times New Roman" w:cs="B Nazanin"/>
          <w:sz w:val="22"/>
          <w:szCs w:val="22"/>
          <w:rtl w:val="1"/>
        </w:rPr>
        <w:t xml:space="preserve"> a political declaration for a UN high-level meeting</w:t>
      </w:r>
    </w:p>
  </w:footnote>
  <w:footnote w:id="59">
    <w:p>
      <w:pPr>
        <w:pStyle w:val="FootnoteText"/>
        <w:bidi w:val="1"/>
        <w:jc w:val="both"/>
      </w:pPr>
      <w:r>
        <w:rPr>
          <w:rStyle w:val="FootnoteReference"/>
          <w:rtl w:val="1"/>
        </w:rPr>
        <w:footnoteRef/>
      </w:r>
      <w:r>
        <w:rPr>
          <w:rFonts w:ascii="Times New Roman" w:hAnsi="Times New Roman" w:cs="B Nazanin"/>
          <w:sz w:val="22"/>
          <w:szCs w:val="22"/>
          <w:rtl w:val="1"/>
        </w:rPr>
        <w:t xml:space="preserve"> Explanation of Position (EOP)</w:t>
      </w:r>
    </w:p>
  </w:footnote>
  <w:footnote w:id="60">
    <w:p>
      <w:pPr>
        <w:pStyle w:val="FootnoteText"/>
        <w:bidi w:val="1"/>
        <w:jc w:val="both"/>
      </w:pPr>
      <w:r>
        <w:rPr>
          <w:rStyle w:val="FootnoteReference"/>
          <w:rtl w:val="1"/>
        </w:rPr>
        <w:footnoteRef/>
      </w:r>
      <w:r>
        <w:rPr>
          <w:rFonts w:ascii="Times New Roman" w:hAnsi="Times New Roman" w:cs="B Nazanin"/>
          <w:sz w:val="22"/>
          <w:szCs w:val="22"/>
          <w:rtl w:val="1"/>
        </w:rPr>
        <w:t xml:space="preserve"> the Global Environmental Outlook 6</w:t>
      </w:r>
    </w:p>
  </w:footnote>
  <w:footnote w:id="61">
    <w:p>
      <w:pPr>
        <w:pStyle w:val="FootnoteText"/>
        <w:bidi w:val="1"/>
        <w:jc w:val="both"/>
      </w:pPr>
      <w:r>
        <w:rPr>
          <w:rStyle w:val="FootnoteReference"/>
          <w:rtl w:val="1"/>
        </w:rPr>
        <w:footnoteRef/>
      </w:r>
      <w:r>
        <w:rPr>
          <w:rFonts w:ascii="Times New Roman" w:hAnsi="Times New Roman" w:cs="B Nazanin"/>
          <w:sz w:val="22"/>
          <w:szCs w:val="22"/>
          <w:rtl w:val="1"/>
        </w:rPr>
        <w:t xml:space="preserve"> A/RES/73/333, 5 September 2019, Follow-up to the report of the ad hoc open-ended working group established pursuant to General Assembly resolution 72/277;</w:t>
      </w:r>
    </w:p>
  </w:footnote>
  <w:footnote w:id="62">
    <w:p>
      <w:pPr>
        <w:pStyle w:val="FootnoteText"/>
        <w:bidi w:val="1"/>
        <w:jc w:val="both"/>
      </w:pPr>
      <w:r>
        <w:rPr>
          <w:rStyle w:val="FootnoteReference"/>
          <w:rtl w:val="1"/>
        </w:rPr>
        <w:footnoteRef/>
      </w:r>
      <w:r>
        <w:rPr>
          <w:rFonts w:ascii="Times New Roman" w:hAnsi="Times New Roman" w:cs="B Nazanin"/>
          <w:sz w:val="22"/>
          <w:szCs w:val="22"/>
          <w:rtl w:val="1"/>
        </w:rPr>
        <w:t xml:space="preserve"> A/RES/79/1, 22 September 2024, the Pact for the Future</w:t>
      </w:r>
    </w:p>
  </w:footnote>
  <w:footnote w:id="63">
    <w:p>
      <w:pPr>
        <w:pStyle w:val="FootnoteText"/>
        <w:bidi w:val="1"/>
        <w:jc w:val="both"/>
      </w:pPr>
      <w:r>
        <w:rPr>
          <w:rStyle w:val="FootnoteReference"/>
          <w:rtl w:val="1"/>
        </w:rPr>
        <w:footnoteRef/>
      </w:r>
      <w:r>
        <w:rPr>
          <w:rFonts w:ascii="Times New Roman" w:hAnsi="Times New Roman" w:cs="B Nazanin"/>
          <w:sz w:val="22"/>
          <w:szCs w:val="22"/>
          <w:rtl w:val="1"/>
        </w:rPr>
        <w:t xml:space="preserve"> Constitutionalism</w:t>
      </w:r>
    </w:p>
  </w:footnote>
  <w:footnote w:id="64">
    <w:p>
      <w:pPr>
        <w:pStyle w:val="FootnoteText"/>
        <w:bidi w:val="1"/>
        <w:jc w:val="both"/>
      </w:pPr>
      <w:r>
        <w:rPr>
          <w:rStyle w:val="FootnoteReference"/>
          <w:rtl w:val="1"/>
        </w:rPr>
        <w:footnoteRef/>
      </w:r>
      <w:r>
        <w:rPr>
          <w:rFonts w:ascii="Times New Roman" w:hAnsi="Times New Roman" w:cs="B Nazanin"/>
          <w:sz w:val="22"/>
          <w:szCs w:val="22"/>
          <w:rtl w:val="1"/>
        </w:rPr>
        <w:t xml:space="preserve"> ecocentric</w:t>
      </w:r>
    </w:p>
  </w:footnote>
  <w:footnote w:id="65">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بوم محوری، ترکیبی از «اکو» به معنای محیط زیست و سیستم‌های اکولوژیکی و «سنتریک» به معنای محور می‌باشد که در این مفهوم ارزش ذاتی را به تمام موجودات زنده و محیط‌های طبیعی نسبت می‌دهد و به جای اولویت دادن به منافع بشر، تاکید بر اهمیت و ارزش خود طبیعت می‌گذارد. از این رو، ارزش ذاتی طبیعت، پیوندهای اکولوژیکی، ملاحظات اخلاقی، رویه‌های پایدار و انتقاد از انسان محوری از ویژگی‌های کلیدی بوم محوری است. در این دیدگاه، از یک چشم انداز انسان محور به دیدگاهی که در آن انسان‌ها بخشی از یک جامعه اکولوژیکی بزرگ‌تر هستند، می‌رسد و اذعان می‌کند که سلامت زمین به طور مستقیم با رفاه تمام ساکنان آن در ارتباط مستقیم است.</w:t>
      </w:r>
    </w:p>
  </w:footnote>
  <w:footnote w:id="66">
    <w:p>
      <w:pPr>
        <w:pStyle w:val="FootnoteText"/>
        <w:bidi w:val="1"/>
        <w:jc w:val="both"/>
      </w:pPr>
      <w:r>
        <w:rPr>
          <w:rStyle w:val="FootnoteReference"/>
          <w:rtl w:val="1"/>
        </w:rPr>
        <w:footnoteRef/>
      </w:r>
      <w:r>
        <w:rPr>
          <w:rFonts w:ascii="Times New Roman" w:hAnsi="Times New Roman" w:cs="B Nazanin"/>
          <w:sz w:val="22"/>
          <w:szCs w:val="22"/>
          <w:rtl w:val="1"/>
        </w:rPr>
        <w:t xml:space="preserve"> Sectoral</w:t>
      </w:r>
    </w:p>
  </w:footnote>
  <w:footnote w:id="67">
    <w:p>
      <w:pPr>
        <w:pStyle w:val="FootnoteText"/>
        <w:bidi w:val="1"/>
        <w:jc w:val="both"/>
      </w:pPr>
      <w:r>
        <w:rPr>
          <w:rStyle w:val="FootnoteReference"/>
          <w:rtl w:val="1"/>
        </w:rPr>
        <w:footnoteRef/>
      </w:r>
      <w:r>
        <w:rPr>
          <w:rFonts w:ascii="Times New Roman" w:hAnsi="Times New Roman" w:cs="B Nazanin"/>
          <w:sz w:val="22"/>
          <w:szCs w:val="22"/>
          <w:rtl w:val="1"/>
        </w:rPr>
        <w:t xml:space="preserve"> the core obligations and control measures</w:t>
      </w:r>
    </w:p>
  </w:footnote>
  <w:footnote w:id="68">
    <w:p>
      <w:pPr>
        <w:pStyle w:val="FootnoteText"/>
        <w:bidi w:val="1"/>
        <w:jc w:val="both"/>
      </w:pPr>
      <w:r>
        <w:rPr>
          <w:rStyle w:val="FootnoteReference"/>
          <w:rtl w:val="1"/>
        </w:rPr>
        <w:footnoteRef/>
      </w:r>
      <w:r>
        <w:rPr>
          <w:rFonts w:ascii="Times New Roman" w:hAnsi="Times New Roman" w:cs="B Nazanin"/>
          <w:sz w:val="22"/>
          <w:szCs w:val="22"/>
          <w:rtl w:val="1"/>
        </w:rPr>
        <w:t xml:space="preserve"> multilateral and specific convention</w:t>
      </w:r>
    </w:p>
  </w:footnote>
  <w:footnote w:id="69">
    <w:p>
      <w:pPr>
        <w:pStyle w:val="FootnoteText"/>
        <w:bidi w:val="1"/>
        <w:jc w:val="both"/>
      </w:pPr>
      <w:r>
        <w:rPr>
          <w:rStyle w:val="FootnoteReference"/>
          <w:rtl w:val="1"/>
        </w:rPr>
        <w:footnoteRef/>
      </w:r>
      <w:r>
        <w:rPr>
          <w:rFonts w:ascii="Times New Roman" w:hAnsi="Times New Roman" w:cs="B Nazanin"/>
          <w:sz w:val="22"/>
          <w:szCs w:val="22"/>
          <w:rtl w:val="1"/>
        </w:rPr>
        <w:t xml:space="preserve"> the Stockholm Convention on Persistent Organic Pollutants</w:t>
      </w:r>
    </w:p>
  </w:footnote>
  <w:footnote w:id="70">
    <w:p>
      <w:pPr>
        <w:pStyle w:val="FootnoteText"/>
        <w:bidi w:val="1"/>
        <w:jc w:val="both"/>
      </w:pPr>
      <w:r>
        <w:rPr>
          <w:rStyle w:val="FootnoteReference"/>
          <w:rtl w:val="1"/>
        </w:rPr>
        <w:footnoteRef/>
      </w:r>
      <w:r>
        <w:rPr>
          <w:rFonts w:ascii="Times New Roman" w:hAnsi="Times New Roman" w:cs="B Nazanin"/>
          <w:sz w:val="22"/>
          <w:szCs w:val="22"/>
          <w:rtl w:val="1"/>
        </w:rPr>
        <w:t xml:space="preserve"> the Minamata Convention on Mercury</w:t>
      </w:r>
    </w:p>
  </w:footnote>
  <w:footnote w:id="71">
    <w:p>
      <w:pPr>
        <w:pStyle w:val="FootnoteText"/>
        <w:bidi w:val="1"/>
        <w:jc w:val="both"/>
      </w:pPr>
      <w:r>
        <w:rPr>
          <w:rStyle w:val="FootnoteReference"/>
          <w:rtl w:val="1"/>
        </w:rPr>
        <w:footnoteRef/>
      </w:r>
      <w:r>
        <w:rPr>
          <w:rFonts w:ascii="Times New Roman" w:hAnsi="Times New Roman" w:cs="B Nazanin"/>
          <w:sz w:val="22"/>
          <w:szCs w:val="22"/>
          <w:rtl w:val="1"/>
        </w:rPr>
        <w:t xml:space="preserve"> framework convention</w:t>
      </w:r>
    </w:p>
  </w:footnote>
  <w:footnote w:id="72">
    <w:p>
      <w:pPr>
        <w:pStyle w:val="FootnoteText"/>
        <w:bidi w:val="1"/>
        <w:jc w:val="both"/>
      </w:pPr>
      <w:r>
        <w:rPr>
          <w:rStyle w:val="FootnoteReference"/>
          <w:rtl w:val="1"/>
        </w:rPr>
        <w:footnoteRef/>
      </w:r>
      <w:r>
        <w:rPr>
          <w:rFonts w:ascii="Times New Roman" w:hAnsi="Times New Roman" w:cs="B Nazanin"/>
          <w:sz w:val="22"/>
          <w:szCs w:val="22"/>
          <w:rtl w:val="1"/>
        </w:rPr>
        <w:t xml:space="preserve"> The United Nations Framework Convention on Climate Change (UNFCCC),</w:t>
      </w:r>
    </w:p>
  </w:footnote>
  <w:footnote w:id="73">
    <w:p>
      <w:pPr>
        <w:pStyle w:val="FootnoteText"/>
        <w:bidi w:val="1"/>
        <w:jc w:val="both"/>
      </w:pPr>
      <w:r>
        <w:rPr>
          <w:rStyle w:val="FootnoteReference"/>
          <w:rtl w:val="1"/>
        </w:rPr>
        <w:footnoteRef/>
      </w:r>
      <w:r>
        <w:rPr>
          <w:rFonts w:ascii="Times New Roman" w:hAnsi="Times New Roman" w:cs="B Nazanin"/>
          <w:sz w:val="22"/>
          <w:szCs w:val="22"/>
          <w:rtl w:val="1"/>
        </w:rPr>
        <w:t xml:space="preserve"> The Vienna Convention for the Protection of the Ozone Layer and The Montreal Protocol on Substances that Deplete the Ozone Layer</w:t>
      </w:r>
    </w:p>
  </w:footnote>
  <w:footnote w:id="74">
    <w:p>
      <w:pPr>
        <w:pStyle w:val="FootnoteText"/>
        <w:bidi w:val="1"/>
        <w:jc w:val="both"/>
      </w:pPr>
      <w:r>
        <w:rPr>
          <w:rStyle w:val="FootnoteReference"/>
          <w:rtl w:val="1"/>
        </w:rPr>
        <w:footnoteRef/>
      </w:r>
      <w:r>
        <w:rPr>
          <w:rFonts w:ascii="Times New Roman" w:hAnsi="Times New Roman" w:cs="B Nazanin"/>
          <w:sz w:val="22"/>
          <w:szCs w:val="22"/>
          <w:rtl w:val="1"/>
        </w:rPr>
        <w:t xml:space="preserve"> framework for international cooperation</w:t>
      </w:r>
    </w:p>
  </w:footnote>
  <w:footnote w:id="75">
    <w:p>
      <w:pPr>
        <w:pStyle w:val="FootnoteText"/>
        <w:bidi w:val="1"/>
        <w:jc w:val="both"/>
      </w:pPr>
      <w:r>
        <w:rPr>
          <w:rStyle w:val="FootnoteReference"/>
          <w:rtl w:val="1"/>
        </w:rPr>
        <w:footnoteRef/>
      </w:r>
      <w:r>
        <w:rPr>
          <w:rFonts w:ascii="Times New Roman" w:hAnsi="Times New Roman" w:cs="B Nazanin"/>
          <w:sz w:val="22"/>
          <w:szCs w:val="22"/>
          <w:rtl w:val="1"/>
        </w:rPr>
        <w:t xml:space="preserve"> The Sendai Framework for Disaster Risk Reduction 2015-2030</w:t>
      </w:r>
    </w:p>
  </w:footnote>
  <w:footnote w:id="76">
    <w:p>
      <w:pPr>
        <w:pStyle w:val="FootnoteText"/>
        <w:bidi w:val="1"/>
        <w:jc w:val="both"/>
      </w:pPr>
      <w:r>
        <w:rPr>
          <w:rStyle w:val="FootnoteReference"/>
          <w:rtl w:val="1"/>
        </w:rPr>
        <w:footnoteRef/>
      </w:r>
      <w:r>
        <w:rPr>
          <w:rFonts w:ascii="Times New Roman" w:hAnsi="Times New Roman" w:cs="B Nazanin"/>
          <w:sz w:val="22"/>
          <w:szCs w:val="22"/>
          <w:rtl w:val="1"/>
        </w:rPr>
        <w:t xml:space="preserve"> Hard law</w:t>
      </w:r>
    </w:p>
  </w:footnote>
  <w:footnote w:id="77">
    <w:p>
      <w:pPr>
        <w:pStyle w:val="FootnoteText"/>
        <w:bidi w:val="1"/>
        <w:jc w:val="both"/>
      </w:pPr>
      <w:r>
        <w:rPr>
          <w:rStyle w:val="FootnoteReference"/>
          <w:rtl w:val="1"/>
        </w:rPr>
        <w:footnoteRef/>
      </w:r>
      <w:r>
        <w:rPr>
          <w:rFonts w:ascii="Times New Roman" w:hAnsi="Times New Roman" w:cs="B Nazanin"/>
          <w:sz w:val="22"/>
          <w:szCs w:val="22"/>
          <w:rtl w:val="1"/>
        </w:rPr>
        <w:t xml:space="preserve"> Soft law</w:t>
      </w:r>
    </w:p>
  </w:footnote>
  <w:footnote w:id="78">
    <w:p>
      <w:pPr>
        <w:pStyle w:val="FootnoteText"/>
        <w:bidi w:val="1"/>
        <w:jc w:val="both"/>
      </w:pPr>
      <w:r>
        <w:rPr>
          <w:rStyle w:val="FootnoteReference"/>
          <w:rtl w:val="1"/>
        </w:rPr>
        <w:footnoteRef/>
      </w:r>
      <w:r>
        <w:rPr>
          <w:rFonts w:ascii="Times New Roman" w:hAnsi="Times New Roman" w:cs="B Nazanin"/>
          <w:sz w:val="22"/>
          <w:szCs w:val="22"/>
          <w:rtl w:val="1"/>
        </w:rPr>
        <w:t xml:space="preserve"> Futures Study</w:t>
      </w:r>
    </w:p>
  </w:footnote>
  <w:footnote w:id="79">
    <w:p>
      <w:pPr>
        <w:pStyle w:val="FootnoteText"/>
        <w:bidi w:val="1"/>
        <w:jc w:val="both"/>
      </w:pPr>
      <w:r>
        <w:rPr>
          <w:rStyle w:val="FootnoteReference"/>
          <w:rtl w:val="1"/>
        </w:rPr>
        <w:footnoteRef/>
      </w:r>
      <w:r>
        <w:rPr>
          <w:rFonts w:ascii="Times New Roman" w:hAnsi="Times New Roman" w:cs="B Nazanin"/>
          <w:sz w:val="22"/>
          <w:szCs w:val="22"/>
          <w:rtl w:val="1"/>
        </w:rPr>
        <w:t xml:space="preserve"> Possible</w:t>
      </w:r>
    </w:p>
  </w:footnote>
  <w:footnote w:id="80">
    <w:p>
      <w:pPr>
        <w:pStyle w:val="FootnoteText"/>
        <w:bidi w:val="1"/>
        <w:jc w:val="both"/>
      </w:pPr>
      <w:r>
        <w:rPr>
          <w:rStyle w:val="FootnoteReference"/>
          <w:rtl w:val="1"/>
        </w:rPr>
        <w:footnoteRef/>
      </w:r>
      <w:r>
        <w:rPr>
          <w:rFonts w:ascii="Times New Roman" w:hAnsi="Times New Roman" w:cs="B Nazanin"/>
          <w:sz w:val="22"/>
          <w:szCs w:val="22"/>
          <w:rtl w:val="1"/>
        </w:rPr>
        <w:t xml:space="preserve"> Plausible</w:t>
      </w:r>
    </w:p>
  </w:footnote>
  <w:footnote w:id="81">
    <w:p>
      <w:pPr>
        <w:pStyle w:val="FootnoteText"/>
        <w:bidi w:val="1"/>
        <w:jc w:val="both"/>
      </w:pPr>
      <w:r>
        <w:rPr>
          <w:rStyle w:val="FootnoteReference"/>
          <w:rtl w:val="1"/>
        </w:rPr>
        <w:footnoteRef/>
      </w:r>
      <w:r>
        <w:rPr>
          <w:rFonts w:ascii="Times New Roman" w:hAnsi="Times New Roman" w:cs="B Nazanin"/>
          <w:sz w:val="22"/>
          <w:szCs w:val="22"/>
          <w:rtl w:val="1"/>
        </w:rPr>
        <w:t xml:space="preserve"> Probable</w:t>
      </w:r>
    </w:p>
  </w:footnote>
  <w:footnote w:id="82">
    <w:p>
      <w:pPr>
        <w:pStyle w:val="FootnoteText"/>
        <w:bidi w:val="1"/>
        <w:jc w:val="both"/>
      </w:pPr>
      <w:r>
        <w:rPr>
          <w:rStyle w:val="FootnoteReference"/>
          <w:rtl w:val="1"/>
        </w:rPr>
        <w:footnoteRef/>
      </w:r>
      <w:r>
        <w:rPr>
          <w:rFonts w:ascii="Times New Roman" w:hAnsi="Times New Roman" w:cs="B Nazanin"/>
          <w:sz w:val="22"/>
          <w:szCs w:val="22"/>
          <w:rtl w:val="1"/>
        </w:rPr>
        <w:t xml:space="preserve"> Preferable</w:t>
      </w:r>
    </w:p>
  </w:footnote>
  <w:footnote w:id="83">
    <w:p>
      <w:pPr>
        <w:pStyle w:val="FootnoteText"/>
        <w:bidi w:val="1"/>
        <w:jc w:val="both"/>
      </w:pPr>
      <w:r>
        <w:rPr>
          <w:rStyle w:val="FootnoteReference"/>
          <w:rtl w:val="1"/>
        </w:rPr>
        <w:footnoteRef/>
      </w:r>
      <w:r>
        <w:rPr>
          <w:rFonts w:ascii="Times New Roman" w:hAnsi="Times New Roman" w:cs="B Nazanin"/>
          <w:sz w:val="22"/>
          <w:szCs w:val="22"/>
          <w:rtl w:val="1"/>
        </w:rPr>
        <w:t xml:space="preserve"> Cognitive</w:t>
      </w:r>
    </w:p>
  </w:footnote>
  <w:footnote w:id="84">
    <w:p>
      <w:pPr>
        <w:pStyle w:val="FootnoteText"/>
        <w:bidi w:val="1"/>
        <w:jc w:val="both"/>
      </w:pPr>
      <w:r>
        <w:rPr>
          <w:rStyle w:val="FootnoteReference"/>
          <w:rtl w:val="1"/>
        </w:rPr>
        <w:footnoteRef/>
      </w:r>
      <w:r>
        <w:rPr>
          <w:rFonts w:ascii="Times New Roman" w:hAnsi="Times New Roman" w:cs="B Nazanin"/>
          <w:sz w:val="22"/>
          <w:szCs w:val="22"/>
          <w:rtl w:val="1"/>
        </w:rPr>
        <w:t xml:space="preserve"> Subjective</w:t>
      </w:r>
    </w:p>
  </w:footnote>
  <w:footnote w:id="85">
    <w:p>
      <w:pPr>
        <w:pStyle w:val="FootnoteText"/>
        <w:bidi w:val="1"/>
        <w:jc w:val="both"/>
      </w:pPr>
      <w:r>
        <w:rPr>
          <w:rStyle w:val="FootnoteReference"/>
          <w:rtl w:val="1"/>
        </w:rPr>
        <w:footnoteRef/>
      </w:r>
      <w:r>
        <w:rPr>
          <w:rFonts w:ascii="Times New Roman" w:hAnsi="Times New Roman" w:cs="B Nazanin"/>
          <w:sz w:val="22"/>
          <w:szCs w:val="22"/>
          <w:rtl w:val="1"/>
        </w:rPr>
        <w:t xml:space="preserve"> Objective</w:t>
      </w:r>
    </w:p>
  </w:footnote>
  <w:footnote w:id="86">
    <w:p>
      <w:pPr>
        <w:pStyle w:val="FootnoteText"/>
        <w:bidi w:val="1"/>
        <w:jc w:val="both"/>
      </w:pPr>
      <w:r>
        <w:rPr>
          <w:rStyle w:val="FootnoteReference"/>
          <w:rtl w:val="1"/>
        </w:rPr>
        <w:footnoteRef/>
      </w:r>
      <w:r>
        <w:rPr>
          <w:rFonts w:ascii="Times New Roman" w:hAnsi="Times New Roman" w:cs="B Nazanin"/>
          <w:sz w:val="22"/>
          <w:szCs w:val="22"/>
          <w:rtl w:val="1"/>
        </w:rPr>
        <w:t xml:space="preserve"> Extent present</w:t>
      </w:r>
    </w:p>
  </w:footnote>
  <w:footnote w:id="87">
    <w:p>
      <w:pPr>
        <w:pStyle w:val="FootnoteText"/>
        <w:bidi w:val="1"/>
        <w:jc w:val="both"/>
      </w:pPr>
      <w:r>
        <w:rPr>
          <w:rStyle w:val="FootnoteReference"/>
          <w:rtl w:val="1"/>
        </w:rPr>
        <w:footnoteRef/>
      </w:r>
      <w:r>
        <w:rPr>
          <w:rFonts w:ascii="Times New Roman" w:hAnsi="Times New Roman" w:cs="B Nazanin"/>
          <w:sz w:val="22"/>
          <w:szCs w:val="22"/>
          <w:rtl w:val="1"/>
        </w:rPr>
        <w:t xml:space="preserve"> Canstitutionalization</w:t>
      </w:r>
    </w:p>
  </w:footnote>
  <w:footnote w:id="88">
    <w:p>
      <w:pPr>
        <w:pStyle w:val="FootnoteText"/>
        <w:bidi w:val="1"/>
        <w:jc w:val="both"/>
      </w:pPr>
      <w:r>
        <w:rPr>
          <w:rStyle w:val="FootnoteReference"/>
          <w:rtl w:val="1"/>
        </w:rPr>
        <w:footnoteRef/>
      </w:r>
      <w:r>
        <w:rPr>
          <w:rFonts w:ascii="Times New Roman" w:hAnsi="Times New Roman" w:cs="B Nazanin"/>
          <w:sz w:val="22"/>
          <w:szCs w:val="22"/>
          <w:rtl w:val="1"/>
        </w:rPr>
        <w:t xml:space="preserve"> Environmental impact assessment</w:t>
      </w:r>
    </w:p>
  </w:footnote>
  <w:footnote w:id="89">
    <w:p>
      <w:pPr>
        <w:pStyle w:val="FootnoteText"/>
        <w:bidi w:val="1"/>
        <w:jc w:val="both"/>
      </w:pPr>
      <w:r>
        <w:rPr>
          <w:rStyle w:val="FootnoteReference"/>
          <w:rtl w:val="1"/>
        </w:rPr>
        <w:footnoteRef/>
      </w:r>
      <w:r>
        <w:rPr>
          <w:rFonts w:ascii="Times New Roman" w:hAnsi="Times New Roman" w:cs="B Nazanin"/>
          <w:sz w:val="22"/>
          <w:szCs w:val="22"/>
          <w:rtl w:val="1"/>
        </w:rPr>
        <w:t xml:space="preserve"> mega-conferences</w:t>
      </w:r>
    </w:p>
  </w:footnote>
  <w:footnote w:id="90">
    <w:p>
      <w:pPr>
        <w:pStyle w:val="FootnoteText"/>
        <w:bidi w:val="1"/>
        <w:jc w:val="both"/>
      </w:pPr>
      <w:r>
        <w:rPr>
          <w:rStyle w:val="FootnoteReference"/>
          <w:rtl w:val="1"/>
        </w:rPr>
        <w:footnoteRef/>
      </w:r>
      <w:r>
        <w:rPr>
          <w:rFonts w:ascii="Times New Roman" w:hAnsi="Times New Roman" w:cs="B Nazanin"/>
          <w:sz w:val="22"/>
          <w:szCs w:val="22"/>
          <w:rtl w:val="1"/>
        </w:rPr>
        <w:t xml:space="preserve"> Tigre, M. A., The Evolution of International Environmental Law Amidst Political Gridlock: Environmental Rights as a Common Ground, SJD dissertation, Elisabeth Haub School of Law at Pace University, 2022, pp. 15–30.</w:t>
      </w:r>
    </w:p>
  </w:footnote>
  <w:footnote w:id="91">
    <w:p>
      <w:pPr>
        <w:pStyle w:val="FootnoteText"/>
        <w:bidi w:val="1"/>
        <w:jc w:val="both"/>
      </w:pPr>
      <w:r>
        <w:rPr>
          <w:rStyle w:val="FootnoteReference"/>
          <w:rtl w:val="1"/>
        </w:rPr>
        <w:footnoteRef/>
      </w:r>
      <w:r>
        <w:rPr>
          <w:rFonts w:ascii="Times New Roman" w:hAnsi="Times New Roman" w:cs="B Nazanin"/>
          <w:sz w:val="22"/>
          <w:szCs w:val="22"/>
          <w:rtl w:val="1"/>
        </w:rPr>
        <w:t xml:space="preserve"> برای گذارِ اصول از حقوق نرم به سخت به‌مثابه هدفِ طراحانِ پیمان: Aguila, Y. &amp; Viñuales, J. E. (eds.), A Global Pact for the Environment: Legal Foundations, C-EENRG, University of Cambridge, 2019.</w:t>
      </w:r>
    </w:p>
  </w:footnote>
  <w:footnote w:id="92">
    <w:p>
      <w:pPr>
        <w:pStyle w:val="FootnoteText"/>
        <w:bidi w:val="1"/>
        <w:jc w:val="both"/>
      </w:pPr>
      <w:r>
        <w:rPr>
          <w:rStyle w:val="FootnoteReference"/>
          <w:rtl w:val="1"/>
        </w:rPr>
        <w:footnoteRef/>
      </w:r>
      <w:r>
        <w:rPr>
          <w:rFonts w:ascii="Times New Roman" w:hAnsi="Times New Roman" w:cs="B Nazanin"/>
          <w:sz w:val="22"/>
          <w:szCs w:val="22"/>
          <w:rtl w:val="1"/>
        </w:rPr>
        <w:t xml:space="preserve"> Kim, R. E. &amp; Bosselmann, K., 'International Environmental Law in the Anthropocene: Towards a Purposive System of Multilateral Environmental Agreements', Transnational Environmental Law, 2(2), 2013, pp. 285–309; Damoah, B. et al., 'Stalemate in the Anthropocene', Preprints, 2026 (پیش‌چاپِ داوری‌نشده).</w:t>
      </w:r>
    </w:p>
  </w:footnote>
  <w:footnote w:id="93">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2006 (A/61/10, para. 251), conclusions (11)–(16) دربارهٔ «نظام‌های خودبسنده».</w:t>
      </w:r>
    </w:p>
  </w:footnote>
  <w:footnote w:id="94">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'Failure of the Global Pact for the Environment: a missed opportunity or a bullet dodged?', IDDRI, 28 May 2019.</w:t>
      </w:r>
    </w:p>
  </w:footnote>
  <w:footnote w:id="95">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Difficulties arising from the Diversification and Expansion of International Law, adopted at the 58th session, 2006, reproduced in Yearbook of the ILC, 2006, vol. II, Part Two; and the analytical study A/CN.4/L.682 (Koskenniemi).</w:t>
      </w:r>
    </w:p>
  </w:footnote>
  <w:footnote w:id="96">
    <w:p>
      <w:pPr>
        <w:pStyle w:val="FootnoteText"/>
        <w:bidi w:val="1"/>
        <w:jc w:val="both"/>
      </w:pPr>
      <w:r>
        <w:rPr>
          <w:rStyle w:val="FootnoteReference"/>
          <w:rtl w:val="1"/>
        </w:rPr>
        <w:footnoteRef/>
      </w:r>
      <w:r>
        <w:rPr>
          <w:rFonts w:ascii="Times New Roman" w:hAnsi="Times New Roman" w:cs="B Nazanin"/>
          <w:sz w:val="22"/>
          <w:szCs w:val="22"/>
          <w:rtl w:val="1"/>
        </w:rPr>
        <w:t xml:space="preserve"> همان، نتیجه‌گیری‌های (۴) اصلِ هماهنگی، (۵)–(۱۰) قاعدهٔ خاصِ مقدم، و (۱۷)–(۱۸) یکپارچگیِ نظام‌مند ذیل مادهٔ ۳۱(۳)(ج) کنوانسیون وین.</w:t>
      </w:r>
    </w:p>
  </w:footnote>
  <w:footnote w:id="97">
    <w:p>
      <w:pPr>
        <w:pStyle w:val="FootnoteText"/>
        <w:bidi w:val="1"/>
        <w:jc w:val="both"/>
      </w:pPr>
      <w:r>
        <w:rPr>
          <w:rStyle w:val="FootnoteReference"/>
          <w:rtl w:val="1"/>
        </w:rPr>
        <w:footnoteRef/>
      </w:r>
      <w:r>
        <w:rPr>
          <w:rFonts w:ascii="Times New Roman" w:hAnsi="Times New Roman" w:cs="B Nazanin"/>
          <w:sz w:val="22"/>
          <w:szCs w:val="22"/>
          <w:rtl w:val="1"/>
        </w:rPr>
        <w:t xml:space="preserve"> مجمع عمومی سازمان ملل متحد، «حق بشری بر محیط‌زیستِ پاک، سالم و پایدار»، قطعنامهٔ ۷۶/۳۰۰، ۲۸ ژوئیهٔ ۲۰۲۲.</w:t>
      </w:r>
    </w:p>
  </w:footnote>
  <w:footnote w:id="98">
    <w:p>
      <w:pPr>
        <w:pStyle w:val="FootnoteText"/>
        <w:bidi w:val="1"/>
        <w:jc w:val="both"/>
      </w:pPr>
      <w:r>
        <w:rPr>
          <w:rStyle w:val="FootnoteReference"/>
          <w:rtl w:val="1"/>
        </w:rPr>
        <w:footnoteRef/>
      </w:r>
      <w:r>
        <w:rPr>
          <w:rFonts w:ascii="Times New Roman" w:hAnsi="Times New Roman" w:cs="B Nazanin"/>
          <w:sz w:val="22"/>
          <w:szCs w:val="22"/>
          <w:rtl w:val="1"/>
        </w:rPr>
        <w:t xml:space="preserve"> مجمع عمومی سازمان ملل متحد، «حق بشری بر محیط‌زیستِ پاک، سالم و پایدار»، قطعنامهٔ ۷۶/۳۰۰، ۲۸ ژوئیهٔ ۲۰۲۲.</w:t>
      </w:r>
    </w:p>
  </w:footnote>
  <w:footnote w:id="99">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سند A/73/419، ۳۰ نوامبر ۲۰۱۸.</w:t>
      </w:r>
    </w:p>
  </w:footnote>
  <w:footnote w:id="100">
    <w:p>
      <w:pPr>
        <w:pStyle w:val="FootnoteText"/>
        <w:bidi w:val="1"/>
        <w:jc w:val="both"/>
      </w:pPr>
      <w:r>
        <w:rPr>
          <w:rStyle w:val="FootnoteReference"/>
          <w:rtl w:val="1"/>
        </w:rPr>
        <w:footnoteRef/>
      </w:r>
      <w:r>
        <w:rPr>
          <w:rFonts w:ascii="Times New Roman" w:hAnsi="Times New Roman" w:cs="B Nazanin"/>
          <w:sz w:val="22"/>
          <w:szCs w:val="22"/>
          <w:rtl w:val="1"/>
        </w:rPr>
        <w:t xml:space="preserve"> کمیسیون حقوق بین‌الملل، «نتیجه‌گیری‌های گروه مطالعاتی دربارهٔ پراکندگیِ حقوق بین‌الملل»، سند A/CN.4/L.682، ۲۰۰۶.</w:t>
      </w:r>
    </w:p>
  </w:footnote>
  <w:footnote w:id="101">
    <w:p>
      <w:pPr>
        <w:pStyle w:val="FootnoteText"/>
        <w:bidi w:val="1"/>
        <w:jc w:val="both"/>
      </w:pPr>
      <w:r>
        <w:rPr>
          <w:rStyle w:val="FootnoteReference"/>
          <w:rtl w:val="1"/>
        </w:rPr>
        <w:footnoteRef/>
      </w:r>
      <w:r>
        <w:rPr>
          <w:rFonts w:ascii="Times New Roman" w:hAnsi="Times New Roman" w:cs="B Nazanin"/>
          <w:sz w:val="22"/>
          <w:szCs w:val="22"/>
          <w:rtl w:val="1"/>
        </w:rPr>
        <w:t xml:space="preserve"> کمیسیون حقوق بین‌الملل، «نتیجه‌گیری‌های گروه مطالعاتی دربارهٔ پراکندگیِ حقوق بین‌الملل»، سند A/CN.4/L.682، ۲۰۰۶.</w:t>
      </w:r>
    </w:p>
  </w:footnote>
  <w:footnote w:id="102">
    <w:p>
      <w:pPr>
        <w:pStyle w:val="FootnoteText"/>
        <w:bidi w:val="1"/>
        <w:jc w:val="both"/>
      </w:pPr>
      <w:r>
        <w:rPr>
          <w:rStyle w:val="FootnoteReference"/>
          <w:rtl w:val="1"/>
        </w:rPr>
        <w:footnoteRef/>
      </w:r>
      <w:r>
        <w:rPr>
          <w:rFonts w:ascii="Times New Roman" w:hAnsi="Times New Roman" w:cs="B Nazanin"/>
          <w:sz w:val="22"/>
          <w:szCs w:val="22"/>
          <w:rtl w:val="1"/>
        </w:rPr>
        <w:t xml:space="preserve"> کمیسیون حقوق بین‌الملل، «نتیجه‌گیری‌های گروه مطالعاتی دربارهٔ پراکندگیِ حقوق بین‌الملل»، سند A/CN.4/L.682، ۲۰۰۶.</w:t>
      </w:r>
    </w:p>
  </w:footnote>
  <w:footnote w:id="103">
    <w:p>
      <w:pPr>
        <w:pStyle w:val="FootnoteText"/>
        <w:bidi w:val="1"/>
        <w:jc w:val="both"/>
      </w:pPr>
      <w:r>
        <w:rPr>
          <w:rStyle w:val="FootnoteReference"/>
          <w:rtl w:val="1"/>
        </w:rPr>
        <w:footnoteRef/>
      </w:r>
      <w:r>
        <w:rPr>
          <w:rFonts w:ascii="Times New Roman" w:hAnsi="Times New Roman" w:cs="B Nazanin"/>
          <w:sz w:val="22"/>
          <w:szCs w:val="22"/>
          <w:rtl w:val="1"/>
        </w:rPr>
        <w:t xml:space="preserve"> کنوانسیون وین دربارهٔ حقوق معاهدات، ۱۹۶۹، مادهٔ ۳۱(۳)(ج).</w:t>
      </w:r>
    </w:p>
  </w:footnote>
  <w:footnote w:id="104">
    <w:p>
      <w:pPr>
        <w:pStyle w:val="FootnoteText"/>
        <w:bidi w:val="1"/>
        <w:jc w:val="both"/>
      </w:pPr>
      <w:r>
        <w:rPr>
          <w:rStyle w:val="FootnoteReference"/>
          <w:rtl w:val="1"/>
        </w:rPr>
        <w:footnoteRef/>
      </w:r>
      <w:r>
        <w:rPr>
          <w:rFonts w:ascii="Times New Roman" w:hAnsi="Times New Roman" w:cs="B Nazanin"/>
          <w:sz w:val="22"/>
          <w:szCs w:val="22"/>
          <w:rtl w:val="1"/>
        </w:rPr>
        <w:t xml:space="preserve"> A/RES/72/277</w:t>
      </w:r>
    </w:p>
  </w:footnote>
  <w:footnote w:id="105">
    <w:p>
      <w:pPr>
        <w:pStyle w:val="FootnoteText"/>
        <w:bidi w:val="1"/>
        <w:jc w:val="both"/>
      </w:pPr>
      <w:r>
        <w:rPr>
          <w:rStyle w:val="FootnoteReference"/>
          <w:rtl w:val="1"/>
        </w:rPr>
        <w:footnoteRef/>
      </w:r>
      <w:r>
        <w:rPr>
          <w:rFonts w:ascii="Times New Roman" w:hAnsi="Times New Roman" w:cs="B Nazanin"/>
          <w:sz w:val="22"/>
          <w:szCs w:val="22"/>
          <w:rtl w:val="1"/>
        </w:rPr>
        <w:t xml:space="preserve"> UN Doc A/RES/72/277 , para 1:Requests the Secretary-General to submit to the General Assembly at its seventy-third session in 2018 a technical and evidence-based report that identifies and assesses possible gaps in international environmental law and environment-related instruments with a view to strengthening their implementation;</w:t>
      </w:r>
    </w:p>
  </w:footnote>
  <w:footnote w:id="106">
    <w:p>
      <w:pPr>
        <w:pStyle w:val="FootnoteText"/>
        <w:bidi w:val="1"/>
        <w:jc w:val="both"/>
      </w:pPr>
      <w:r>
        <w:rPr>
          <w:rStyle w:val="FootnoteReference"/>
          <w:rtl w:val="1"/>
        </w:rPr>
        <w:footnoteRef/>
      </w:r>
      <w:r>
        <w:rPr>
          <w:rFonts w:ascii="Times New Roman" w:hAnsi="Times New Roman" w:cs="B Nazanin"/>
          <w:sz w:val="22"/>
          <w:szCs w:val="22"/>
          <w:rtl w:val="1"/>
        </w:rPr>
        <w:t xml:space="preserve"> an ad hoc open ended working group (OEWG)</w:t>
      </w:r>
    </w:p>
  </w:footnote>
  <w:footnote w:id="107">
    <w:p>
      <w:pPr>
        <w:pStyle w:val="FootnoteText"/>
        <w:bidi w:val="1"/>
        <w:jc w:val="both"/>
      </w:pPr>
      <w:r>
        <w:rPr>
          <w:rStyle w:val="FootnoteReference"/>
          <w:rtl w:val="1"/>
        </w:rPr>
        <w:footnoteRef/>
      </w:r>
      <w:r>
        <w:rPr>
          <w:rFonts w:ascii="Times New Roman" w:hAnsi="Times New Roman" w:cs="B Nazanin"/>
          <w:sz w:val="22"/>
          <w:szCs w:val="22"/>
          <w:rtl w:val="1"/>
        </w:rPr>
        <w:t xml:space="preserve"> A/73/419, 30 November 2018, Report of the Secretary-General on Gaps in International Environmental Law and Environment-Related Instrumens: Towards a Global Pact for the Environment</w:t>
      </w:r>
    </w:p>
  </w:footnote>
  <w:footnote w:id="108">
    <w:p>
      <w:pPr>
        <w:pStyle w:val="FootnoteText"/>
        <w:bidi w:val="1"/>
        <w:jc w:val="both"/>
      </w:pPr>
      <w:r>
        <w:rPr>
          <w:rStyle w:val="FootnoteReference"/>
          <w:rtl w:val="1"/>
        </w:rPr>
        <w:footnoteRef/>
      </w:r>
      <w:r>
        <w:rPr>
          <w:rFonts w:ascii="Times New Roman" w:hAnsi="Times New Roman" w:cs="B Nazanin"/>
          <w:sz w:val="22"/>
          <w:szCs w:val="22"/>
          <w:rtl w:val="1"/>
        </w:rPr>
        <w:t xml:space="preserve"> sectoral</w:t>
      </w:r>
    </w:p>
  </w:footnote>
  <w:footnote w:id="109">
    <w:p>
      <w:pPr>
        <w:pStyle w:val="FootnoteText"/>
        <w:bidi w:val="1"/>
        <w:jc w:val="both"/>
      </w:pPr>
      <w:r>
        <w:rPr>
          <w:rStyle w:val="FootnoteReference"/>
          <w:rtl w:val="1"/>
        </w:rPr>
        <w:footnoteRef/>
      </w:r>
      <w:r>
        <w:rPr>
          <w:rFonts w:ascii="Times New Roman" w:hAnsi="Times New Roman" w:cs="B Nazanin"/>
          <w:sz w:val="22"/>
          <w:szCs w:val="22"/>
          <w:rtl w:val="1"/>
        </w:rPr>
        <w:t xml:space="preserve"> A/73/419, Para 1</w:t>
      </w:r>
    </w:p>
  </w:footnote>
  <w:footnote w:id="110">
    <w:p>
      <w:pPr>
        <w:pStyle w:val="FootnoteText"/>
        <w:bidi w:val="1"/>
        <w:jc w:val="both"/>
      </w:pPr>
      <w:r>
        <w:rPr>
          <w:rStyle w:val="FootnoteReference"/>
          <w:rtl w:val="1"/>
        </w:rPr>
        <w:footnoteRef/>
      </w:r>
      <w:r>
        <w:rPr>
          <w:rFonts w:ascii="Times New Roman" w:hAnsi="Times New Roman" w:cs="B Nazanin"/>
          <w:sz w:val="22"/>
          <w:szCs w:val="22"/>
          <w:rtl w:val="1"/>
        </w:rPr>
        <w:t xml:space="preserve"> Multilateral Environment Agreements (MEAs)</w:t>
      </w:r>
    </w:p>
  </w:footnote>
  <w:footnote w:id="111">
    <w:p>
      <w:pPr>
        <w:pStyle w:val="FootnoteText"/>
        <w:bidi w:val="1"/>
        <w:jc w:val="both"/>
      </w:pPr>
      <w:r>
        <w:rPr>
          <w:rStyle w:val="FootnoteReference"/>
          <w:rtl w:val="1"/>
        </w:rPr>
        <w:footnoteRef/>
      </w:r>
      <w:r>
        <w:rPr>
          <w:rFonts w:ascii="Times New Roman" w:hAnsi="Times New Roman" w:cs="B Nazanin"/>
          <w:sz w:val="22"/>
          <w:szCs w:val="22"/>
          <w:rtl w:val="1"/>
        </w:rPr>
        <w:t xml:space="preserve"> Ramsar Convention on Wetlands of International Importance Especially as Waterfowl Habitat</w:t>
      </w:r>
    </w:p>
  </w:footnote>
  <w:footnote w:id="112">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International Trade in Endangered Species of Wild Fauna and Flora (CITES)</w:t>
      </w:r>
    </w:p>
  </w:footnote>
  <w:footnote w:id="113">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Union for Conservation of Nature (IUCN)</w:t>
      </w:r>
    </w:p>
  </w:footnote>
  <w:footnote w:id="114">
    <w:p>
      <w:pPr>
        <w:pStyle w:val="FootnoteText"/>
        <w:bidi w:val="1"/>
        <w:jc w:val="both"/>
      </w:pPr>
      <w:r>
        <w:rPr>
          <w:rStyle w:val="FootnoteReference"/>
          <w:rtl w:val="1"/>
        </w:rPr>
        <w:footnoteRef/>
      </w:r>
      <w:r>
        <w:rPr>
          <w:rFonts w:ascii="Times New Roman" w:hAnsi="Times New Roman" w:cs="B Nazanin"/>
          <w:sz w:val="22"/>
          <w:szCs w:val="22"/>
          <w:rtl w:val="1"/>
        </w:rPr>
        <w:t xml:space="preserve"> Annecoos Wiersema, The New International Law-Makers? Conferences of the Parties to Multilateral Environmental Agreements Multilateral Environmental Agreement, Michigan Journal of International Law, volume 31, issue 1, 2009, 231-287, 247.</w:t>
      </w:r>
    </w:p>
  </w:footnote>
  <w:footnote w:id="115">
    <w:p>
      <w:pPr>
        <w:pStyle w:val="FootnoteText"/>
        <w:bidi w:val="1"/>
        <w:jc w:val="both"/>
      </w:pPr>
      <w:r>
        <w:rPr>
          <w:rStyle w:val="FootnoteReference"/>
          <w:rtl w:val="1"/>
        </w:rPr>
        <w:footnoteRef/>
      </w:r>
      <w:r>
        <w:rPr>
          <w:rFonts w:ascii="Times New Roman" w:hAnsi="Times New Roman" w:cs="B Nazanin"/>
          <w:sz w:val="22"/>
          <w:szCs w:val="22"/>
          <w:rtl w:val="1"/>
        </w:rPr>
        <w:t xml:space="preserve"> A/73/419, para 2</w:t>
      </w:r>
    </w:p>
  </w:footnote>
  <w:footnote w:id="116">
    <w:p>
      <w:pPr>
        <w:pStyle w:val="FootnoteText"/>
        <w:bidi w:val="1"/>
        <w:jc w:val="both"/>
      </w:pPr>
      <w:r>
        <w:rPr>
          <w:rStyle w:val="FootnoteReference"/>
          <w:rtl w:val="1"/>
        </w:rPr>
        <w:footnoteRef/>
      </w:r>
      <w:r>
        <w:rPr>
          <w:rFonts w:ascii="Times New Roman" w:hAnsi="Times New Roman" w:cs="B Nazanin"/>
          <w:sz w:val="22"/>
          <w:szCs w:val="22"/>
          <w:rtl w:val="1"/>
        </w:rPr>
        <w:t xml:space="preserve"> sectoral regulatory regimes</w:t>
      </w:r>
    </w:p>
  </w:footnote>
  <w:footnote w:id="117">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2</w:t>
      </w:r>
    </w:p>
  </w:footnote>
  <w:footnote w:id="118">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119">
    <w:p>
      <w:pPr>
        <w:pStyle w:val="FootnoteText"/>
        <w:bidi w:val="1"/>
        <w:jc w:val="both"/>
      </w:pPr>
      <w:r>
        <w:rPr>
          <w:rStyle w:val="FootnoteReference"/>
          <w:rtl w:val="1"/>
        </w:rPr>
        <w:footnoteRef/>
      </w:r>
      <w:r>
        <w:rPr>
          <w:rFonts w:ascii="Times New Roman" w:hAnsi="Times New Roman" w:cs="B Nazanin"/>
          <w:sz w:val="22"/>
          <w:szCs w:val="22"/>
          <w:rtl w:val="1"/>
        </w:rPr>
        <w:t xml:space="preserve"> Birnie, P., Boyle, A., &amp; Redgwell, C. (2009). International Law and the Environment. Oxford University Press صفحه</w:t>
      </w:r>
    </w:p>
  </w:footnote>
  <w:footnote w:id="120">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کنوانسیون چارچوبی، سند چندجانبه الزامآور با ماهیت سازنده، در مقام ایجاد سیستم کلی در خصوص حکمرانی بینالمللی، بیانگر اصول اساسی همکاریهای بینالمللی در آینده از جمله اهداف، اصول کلیدی همکاری و ساختار حاکمیت همان چارچوب همکاری می‌باشد. مثال: کنوانسیون چارچوبی سازمان ملل در خصوص تغییر آب و هوایی framework convention</w:t>
      </w:r>
    </w:p>
  </w:footnote>
  <w:footnote w:id="121">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ازکنوانسیون چندجانبه و خاص، کنوانسیونی الزامآور با شمول طیف وسیعی از موضوعات مرتبط، تنظیم قواعد خاص و ایجاد تعهد مشخص و الزامی، دارای سازوکار گزارش دهی و تبادل اطلاعات، مکانیزم نظارتی، سازوکار حل و فصل اختلاف است. تعهدات اصلی و برخی اقدامات کنترلی در بدنه کنوانسیون ظاهر می‌شوند و ممکن است با اقدامات کنترلی اضافی، مانند اطلاعات فنی و جزئیات اساسی موجود در یک یا چند ضمیمه، تکمیل یا تشریح شوند که بخشی جدایی‌ناپذیر از سند محسوب میشوند. مثال: کنوانسیون میناماتا در مورد جیوه specific convention</w:t>
      </w:r>
    </w:p>
  </w:footnote>
  <w:footnote w:id="122">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41</w:t>
      </w:r>
    </w:p>
  </w:footnote>
  <w:footnote w:id="123">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29</w:t>
      </w:r>
    </w:p>
  </w:footnote>
  <w:footnote w:id="124">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98</w:t>
      </w:r>
    </w:p>
  </w:footnote>
  <w:footnote w:id="125">
    <w:p>
      <w:pPr>
        <w:pStyle w:val="FootnoteText"/>
        <w:bidi w:val="1"/>
        <w:jc w:val="both"/>
      </w:pPr>
      <w:r>
        <w:rPr>
          <w:rStyle w:val="FootnoteReference"/>
          <w:rtl w:val="1"/>
        </w:rPr>
        <w:footnoteRef/>
      </w:r>
      <w:r>
        <w:rPr>
          <w:rFonts w:ascii="Times New Roman" w:hAnsi="Times New Roman" w:cs="B Nazanin"/>
          <w:sz w:val="22"/>
          <w:szCs w:val="22"/>
          <w:rtl w:val="1"/>
        </w:rPr>
        <w:t xml:space="preserve"> State Practice</w:t>
      </w:r>
    </w:p>
  </w:footnote>
  <w:footnote w:id="126">
    <w:p>
      <w:pPr>
        <w:pStyle w:val="FootnoteText"/>
        <w:bidi w:val="1"/>
        <w:jc w:val="both"/>
      </w:pPr>
      <w:r>
        <w:rPr>
          <w:rStyle w:val="FootnoteReference"/>
          <w:rtl w:val="1"/>
        </w:rPr>
        <w:footnoteRef/>
      </w:r>
      <w:r>
        <w:rPr>
          <w:rFonts w:ascii="Times New Roman" w:hAnsi="Times New Roman" w:cs="B Nazanin"/>
          <w:sz w:val="22"/>
          <w:szCs w:val="22"/>
          <w:rtl w:val="1"/>
        </w:rPr>
        <w:t xml:space="preserve"> Opinio Juris</w:t>
      </w:r>
    </w:p>
  </w:footnote>
  <w:footnote w:id="127">
    <w:p>
      <w:pPr>
        <w:pStyle w:val="FootnoteText"/>
        <w:bidi w:val="1"/>
        <w:jc w:val="both"/>
      </w:pPr>
      <w:r>
        <w:rPr>
          <w:rStyle w:val="FootnoteReference"/>
          <w:rtl w:val="1"/>
        </w:rPr>
        <w:footnoteRef/>
      </w:r>
      <w:r>
        <w:rPr>
          <w:rFonts w:ascii="Times New Roman" w:hAnsi="Times New Roman" w:cs="B Nazanin"/>
          <w:sz w:val="22"/>
          <w:szCs w:val="22"/>
          <w:rtl w:val="1"/>
        </w:rPr>
        <w:t xml:space="preserve"> Bodansky, D. (2011). The Art and Craft of International Environmental Law. Harvard University Press.صفحه</w:t>
      </w:r>
    </w:p>
  </w:footnote>
  <w:footnote w:id="128">
    <w:p>
      <w:pPr>
        <w:pStyle w:val="FootnoteText"/>
        <w:bidi w:val="1"/>
        <w:jc w:val="both"/>
      </w:pPr>
      <w:r>
        <w:rPr>
          <w:rStyle w:val="FootnoteReference"/>
          <w:rtl w:val="1"/>
        </w:rPr>
        <w:footnoteRef/>
      </w:r>
      <w:r>
        <w:rPr>
          <w:rFonts w:ascii="Times New Roman" w:hAnsi="Times New Roman" w:cs="B Nazanin"/>
          <w:sz w:val="22"/>
          <w:szCs w:val="22"/>
          <w:rtl w:val="1"/>
        </w:rPr>
        <w:t xml:space="preserve"> Sands, P., Peel, J., Fabra, A., &amp; MacKenzie, R. (2018). Principles of International Environmental Law. Cambridge University Press.صفحه</w:t>
      </w:r>
    </w:p>
  </w:footnote>
  <w:footnote w:id="129">
    <w:p>
      <w:pPr>
        <w:pStyle w:val="FootnoteText"/>
        <w:bidi w:val="1"/>
        <w:jc w:val="both"/>
      </w:pPr>
      <w:r>
        <w:rPr>
          <w:rStyle w:val="FootnoteReference"/>
          <w:rtl w:val="1"/>
        </w:rPr>
        <w:footnoteRef/>
      </w:r>
      <w:r>
        <w:rPr>
          <w:rFonts w:ascii="Times New Roman" w:hAnsi="Times New Roman" w:cs="B Nazanin"/>
          <w:sz w:val="22"/>
          <w:szCs w:val="22"/>
          <w:rtl w:val="1"/>
        </w:rPr>
        <w:t xml:space="preserve"> موسوی، سید فضل اله و سید حسین موسوی فر، اختلاف زیست محیطی آرژانتین و اروگوئه (2010)؛ تبیین برخی مباحث و اصول، فصلنامه مطالعات حقوق عمومی، دوره 45، ماره 4، زمستان 1394: 608- 589، ص 601</w:t>
      </w:r>
    </w:p>
  </w:footnote>
  <w:footnote w:id="130">
    <w:p>
      <w:pPr>
        <w:pStyle w:val="FootnoteText"/>
        <w:bidi w:val="1"/>
        <w:jc w:val="both"/>
      </w:pPr>
      <w:r>
        <w:rPr>
          <w:rStyle w:val="FootnoteReference"/>
          <w:rtl w:val="1"/>
        </w:rPr>
        <w:footnoteRef/>
      </w:r>
      <w:r>
        <w:rPr>
          <w:rFonts w:ascii="Times New Roman" w:hAnsi="Times New Roman" w:cs="B Nazanin"/>
          <w:sz w:val="22"/>
          <w:szCs w:val="22"/>
          <w:rtl w:val="1"/>
        </w:rPr>
        <w:t xml:space="preserve"> الهویی نظری، حمید، جایگاه اصول کلی حقوقی در آرای دیوان بین المللی دادگستری، فصلنامه حقوق، مجله حقوق و علوم سیاسی، دوره 43، شماره 4، 1392، صص 55 -37، ص. 52</w:t>
      </w:r>
    </w:p>
  </w:footnote>
  <w:footnote w:id="131">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60</w:t>
      </w:r>
    </w:p>
  </w:footnote>
  <w:footnote w:id="132">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97</w:t>
      </w:r>
    </w:p>
  </w:footnote>
  <w:footnote w:id="133">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زیستف صص 95 و 96</w:t>
      </w:r>
    </w:p>
  </w:footnote>
  <w:footnote w:id="134">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97</w:t>
      </w:r>
    </w:p>
  </w:footnote>
  <w:footnote w:id="135">
    <w:p>
      <w:pPr>
        <w:pStyle w:val="FootnoteText"/>
        <w:bidi w:val="1"/>
        <w:jc w:val="both"/>
      </w:pPr>
      <w:r>
        <w:rPr>
          <w:rStyle w:val="FootnoteReference"/>
          <w:rtl w:val="1"/>
        </w:rPr>
        <w:footnoteRef/>
      </w:r>
      <w:r>
        <w:rPr>
          <w:rFonts w:ascii="Times New Roman" w:hAnsi="Times New Roman" w:cs="B Nazanin"/>
          <w:sz w:val="22"/>
          <w:szCs w:val="22"/>
          <w:rtl w:val="1"/>
        </w:rPr>
        <w:t xml:space="preserve"> البته در زمینه اصول کلی حقوقی تقسیم کلیتر دیگری نیز از منظر خاستگاه اصول مطرح بوده است. به این ترتیب که کمیسیون حقوق بینالملل در نخستین گزارش گزارشگر بر موضوع اصول کلی حقوقی اظهار نموده است «اصول کلی شامل دو دسته اند: اصولی که از نظامهای حقوقی برگرفته شدهاند و اصولی که در داخل نظام حقوقی بینالمللی شکل میگیرند.» جهت مطالعه بیشتر در این خصوص رک به: عابدینی، عبدالله، رویکرد ایران به طرح اصول کلی حقوق در کمیسیون حقوق بینالملل، فصلنامه علمی پژوهش حقوق عمومی، دوره 26، شماره 83، تابستان 1403، 32 -1، ص 11</w:t>
      </w:r>
    </w:p>
  </w:footnote>
  <w:footnote w:id="136">
    <w:p>
      <w:pPr>
        <w:pStyle w:val="FootnoteText"/>
        <w:bidi w:val="1"/>
        <w:jc w:val="both"/>
      </w:pPr>
      <w:r>
        <w:rPr>
          <w:rStyle w:val="FootnoteReference"/>
          <w:rtl w:val="1"/>
        </w:rPr>
        <w:footnoteRef/>
      </w:r>
      <w:r>
        <w:rPr>
          <w:rFonts w:ascii="Times New Roman" w:hAnsi="Times New Roman" w:cs="B Nazanin"/>
          <w:sz w:val="22"/>
          <w:szCs w:val="22"/>
          <w:rtl w:val="1"/>
        </w:rPr>
        <w:t xml:space="preserve"> کتاب دکتر شریفی طرازکوهی حقوق بین الملل صص 280 تا 282</w:t>
      </w:r>
    </w:p>
  </w:footnote>
  <w:footnote w:id="137">
    <w:p>
      <w:pPr>
        <w:pStyle w:val="FootnoteText"/>
        <w:bidi w:val="1"/>
        <w:jc w:val="both"/>
      </w:pPr>
      <w:r>
        <w:rPr>
          <w:rStyle w:val="FootnoteReference"/>
          <w:rtl w:val="1"/>
        </w:rPr>
        <w:footnoteRef/>
      </w:r>
      <w:r>
        <w:rPr>
          <w:rFonts w:ascii="Times New Roman" w:hAnsi="Times New Roman" w:cs="B Nazanin"/>
          <w:sz w:val="22"/>
          <w:szCs w:val="22"/>
          <w:rtl w:val="1"/>
        </w:rPr>
        <w:t xml:space="preserve"> Substantial principles</w:t>
      </w:r>
    </w:p>
  </w:footnote>
  <w:footnote w:id="138">
    <w:p>
      <w:pPr>
        <w:pStyle w:val="FootnoteText"/>
        <w:bidi w:val="1"/>
        <w:jc w:val="both"/>
      </w:pPr>
      <w:r>
        <w:rPr>
          <w:rStyle w:val="FootnoteReference"/>
          <w:rtl w:val="1"/>
        </w:rPr>
        <w:footnoteRef/>
      </w:r>
      <w:r>
        <w:rPr>
          <w:rFonts w:ascii="Times New Roman" w:hAnsi="Times New Roman" w:cs="B Nazanin"/>
          <w:sz w:val="22"/>
          <w:szCs w:val="22"/>
          <w:rtl w:val="1"/>
        </w:rPr>
        <w:t xml:space="preserve"> Guiding Principles</w:t>
      </w:r>
    </w:p>
  </w:footnote>
  <w:footnote w:id="139">
    <w:p>
      <w:pPr>
        <w:pStyle w:val="FootnoteText"/>
        <w:bidi w:val="1"/>
        <w:jc w:val="both"/>
      </w:pPr>
      <w:r>
        <w:rPr>
          <w:rStyle w:val="FootnoteReference"/>
          <w:rtl w:val="1"/>
        </w:rPr>
        <w:footnoteRef/>
      </w:r>
      <w:r>
        <w:rPr>
          <w:rFonts w:ascii="Times New Roman" w:hAnsi="Times New Roman" w:cs="B Nazanin"/>
          <w:sz w:val="22"/>
          <w:szCs w:val="22"/>
          <w:rtl w:val="1"/>
        </w:rPr>
        <w:t xml:space="preserve"> Supplementary Principles</w:t>
      </w:r>
    </w:p>
  </w:footnote>
  <w:footnote w:id="140">
    <w:p>
      <w:pPr>
        <w:pStyle w:val="FootnoteText"/>
        <w:bidi w:val="1"/>
        <w:jc w:val="both"/>
      </w:pPr>
      <w:r>
        <w:rPr>
          <w:rStyle w:val="FootnoteReference"/>
          <w:rtl w:val="1"/>
        </w:rPr>
        <w:footnoteRef/>
      </w:r>
      <w:r>
        <w:rPr>
          <w:rFonts w:ascii="Times New Roman" w:hAnsi="Times New Roman" w:cs="B Nazanin"/>
          <w:sz w:val="22"/>
          <w:szCs w:val="22"/>
          <w:rtl w:val="1"/>
        </w:rPr>
        <w:t xml:space="preserve"> Interpretative Principles</w:t>
      </w:r>
    </w:p>
  </w:footnote>
  <w:footnote w:id="141">
    <w:p>
      <w:pPr>
        <w:pStyle w:val="FootnoteText"/>
        <w:bidi w:val="1"/>
        <w:jc w:val="both"/>
      </w:pPr>
      <w:r>
        <w:rPr>
          <w:rStyle w:val="FootnoteReference"/>
          <w:rtl w:val="1"/>
        </w:rPr>
        <w:footnoteRef/>
      </w:r>
      <w:r>
        <w:rPr>
          <w:rFonts w:ascii="Times New Roman" w:hAnsi="Times New Roman" w:cs="B Nazanin"/>
          <w:sz w:val="22"/>
          <w:szCs w:val="22"/>
          <w:rtl w:val="1"/>
        </w:rPr>
        <w:t xml:space="preserve"> محمودی کردی، زهرا، ماهیت اصول کلی حقوقی و کارکردهای آن در حقوق بین الملل، مجله حقوقی بین المللی، شماره 58، بهار-تابستان 1397، 364 -329، ص 345</w:t>
      </w:r>
    </w:p>
  </w:footnote>
  <w:footnote w:id="142">
    <w:p>
      <w:pPr>
        <w:pStyle w:val="FootnoteText"/>
        <w:bidi w:val="1"/>
        <w:jc w:val="both"/>
      </w:pPr>
      <w:r>
        <w:rPr>
          <w:rStyle w:val="FootnoteReference"/>
          <w:rtl w:val="1"/>
        </w:rPr>
        <w:footnoteRef/>
      </w:r>
      <w:r>
        <w:rPr>
          <w:rFonts w:ascii="Times New Roman" w:hAnsi="Times New Roman" w:cs="B Nazanin"/>
          <w:sz w:val="22"/>
          <w:szCs w:val="22"/>
          <w:rtl w:val="1"/>
        </w:rPr>
        <w:t xml:space="preserve"> مقاله خانم زهرا کردی صص 349 -348</w:t>
      </w:r>
    </w:p>
  </w:footnote>
  <w:footnote w:id="143">
    <w:p>
      <w:pPr>
        <w:pStyle w:val="FootnoteText"/>
        <w:bidi w:val="1"/>
        <w:jc w:val="both"/>
      </w:pPr>
      <w:r>
        <w:rPr>
          <w:rStyle w:val="FootnoteReference"/>
          <w:rtl w:val="1"/>
        </w:rPr>
        <w:footnoteRef/>
      </w:r>
      <w:r>
        <w:rPr>
          <w:rFonts w:ascii="Times New Roman" w:hAnsi="Times New Roman" w:cs="B Nazanin"/>
          <w:sz w:val="22"/>
          <w:szCs w:val="22"/>
          <w:rtl w:val="1"/>
        </w:rPr>
        <w:t xml:space="preserve"> مقاله خانم زهرا کردی ص 352</w:t>
      </w:r>
    </w:p>
  </w:footnote>
  <w:footnote w:id="144">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96</w:t>
      </w:r>
    </w:p>
  </w:footnote>
  <w:footnote w:id="145">
    <w:p>
      <w:pPr>
        <w:pStyle w:val="FootnoteText"/>
        <w:bidi w:val="1"/>
        <w:jc w:val="both"/>
      </w:pPr>
      <w:r>
        <w:rPr>
          <w:rStyle w:val="FootnoteReference"/>
          <w:rtl w:val="1"/>
        </w:rPr>
        <w:footnoteRef/>
      </w:r>
      <w:r>
        <w:rPr>
          <w:rFonts w:ascii="Times New Roman" w:hAnsi="Times New Roman" w:cs="B Nazanin"/>
          <w:sz w:val="22"/>
          <w:szCs w:val="22"/>
          <w:rtl w:val="1"/>
        </w:rPr>
        <w:t xml:space="preserve"> Tagwadin, Danil Akbar, Intentational Environmental Law: Development, Principles and Mechanism, Aceh’s Legal Studies, 2014, 1- 16, p.9.</w:t>
      </w:r>
    </w:p>
  </w:footnote>
  <w:footnote w:id="146">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280</w:t>
      </w:r>
    </w:p>
  </w:footnote>
  <w:footnote w:id="147">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280</w:t>
      </w:r>
    </w:p>
  </w:footnote>
  <w:footnote w:id="148">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294</w:t>
      </w:r>
    </w:p>
  </w:footnote>
  <w:footnote w:id="149">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the Human Environment , also known as the Stockholm Conference</w:t>
      </w:r>
    </w:p>
  </w:footnote>
  <w:footnote w:id="150">
    <w:p>
      <w:pPr>
        <w:pStyle w:val="FootnoteText"/>
        <w:bidi w:val="1"/>
        <w:jc w:val="both"/>
      </w:pPr>
      <w:r>
        <w:rPr>
          <w:rStyle w:val="FootnoteReference"/>
          <w:rtl w:val="1"/>
        </w:rPr>
        <w:footnoteRef/>
      </w:r>
      <w:r>
        <w:rPr>
          <w:rFonts w:ascii="Times New Roman" w:hAnsi="Times New Roman" w:cs="B Nazanin"/>
          <w:sz w:val="22"/>
          <w:szCs w:val="22"/>
          <w:rtl w:val="1"/>
        </w:rPr>
        <w:t xml:space="preserve"> UNEP handbook,2024,..................p.23</w:t>
      </w:r>
    </w:p>
  </w:footnote>
  <w:footnote w:id="151">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Environment and Development, also known as the Rio Earth Summit</w:t>
      </w:r>
    </w:p>
  </w:footnote>
  <w:footnote w:id="152">
    <w:p>
      <w:pPr>
        <w:pStyle w:val="FootnoteText"/>
        <w:bidi w:val="1"/>
        <w:jc w:val="both"/>
      </w:pPr>
      <w:r>
        <w:rPr>
          <w:rStyle w:val="FootnoteReference"/>
          <w:rtl w:val="1"/>
        </w:rPr>
        <w:footnoteRef/>
      </w:r>
      <w:r>
        <w:rPr>
          <w:rFonts w:ascii="Times New Roman" w:hAnsi="Times New Roman" w:cs="B Nazanin"/>
          <w:sz w:val="22"/>
          <w:szCs w:val="22"/>
          <w:rtl w:val="1"/>
        </w:rPr>
        <w:t xml:space="preserve"> Bosselmann, Klaus, IN SEARCH OF GLOBAL LAW: THE SIGNIFICANCE OF THE EARTH CHARTER, Worldviews Environment Cultulre Religion 8(1), 2004, pp 62-75, p.71</w:t>
      </w:r>
    </w:p>
  </w:footnote>
  <w:footnote w:id="153">
    <w:p>
      <w:pPr>
        <w:pStyle w:val="FootnoteText"/>
        <w:bidi w:val="1"/>
        <w:jc w:val="both"/>
      </w:pPr>
      <w:r>
        <w:rPr>
          <w:rStyle w:val="FootnoteReference"/>
          <w:rtl w:val="1"/>
        </w:rPr>
        <w:footnoteRef/>
      </w:r>
      <w:r>
        <w:rPr>
          <w:rFonts w:ascii="Times New Roman" w:hAnsi="Times New Roman" w:cs="B Nazanin"/>
          <w:sz w:val="22"/>
          <w:szCs w:val="22"/>
          <w:rtl w:val="1"/>
        </w:rPr>
        <w:t xml:space="preserve"> building block</w:t>
      </w:r>
    </w:p>
  </w:footnote>
  <w:footnote w:id="154">
    <w:p>
      <w:pPr>
        <w:pStyle w:val="FootnoteText"/>
        <w:bidi w:val="1"/>
        <w:jc w:val="both"/>
      </w:pPr>
      <w:r>
        <w:rPr>
          <w:rStyle w:val="FootnoteReference"/>
          <w:rtl w:val="1"/>
        </w:rPr>
        <w:footnoteRef/>
      </w:r>
      <w:r>
        <w:rPr>
          <w:rFonts w:ascii="Times New Roman" w:hAnsi="Times New Roman" w:cs="B Nazanin"/>
          <w:sz w:val="22"/>
          <w:szCs w:val="22"/>
          <w:rtl w:val="1"/>
        </w:rPr>
        <w:t xml:space="preserve"> به عنوان مثال، توسل به اصل احتیاط در استفاده از فناوریهای نوین بهعنوان راهنمایی برای تصمیمگیری و تنظیم مقررات لازم</w:t>
      </w:r>
    </w:p>
  </w:footnote>
  <w:footnote w:id="155">
    <w:p>
      <w:pPr>
        <w:pStyle w:val="FootnoteText"/>
        <w:bidi w:val="1"/>
        <w:jc w:val="both"/>
      </w:pPr>
      <w:r>
        <w:rPr>
          <w:rStyle w:val="FootnoteReference"/>
          <w:rtl w:val="1"/>
        </w:rPr>
        <w:footnoteRef/>
      </w:r>
      <w:r>
        <w:rPr>
          <w:rFonts w:ascii="Times New Roman" w:hAnsi="Times New Roman" w:cs="B Nazanin"/>
          <w:sz w:val="22"/>
          <w:szCs w:val="22"/>
          <w:rtl w:val="1"/>
        </w:rPr>
        <w:t xml:space="preserve"> شناخت اصول جاری و رو به رشد حقوق بینالملل محیطزیست میتواند راهنمای تفسیر هنجارها و مقررات حقوقی در این زمینه باشد. بهعنوان مثال، توسل به اصل مسئولیت مشترک اما متفاوت به عنوان ابزاری برای فهم بهتر اهداف و مقاصد موافقتنامههای چندجانبهمحیطزیستی</w:t>
      </w:r>
    </w:p>
  </w:footnote>
  <w:footnote w:id="156">
    <w:p>
      <w:pPr>
        <w:pStyle w:val="FootnoteText"/>
        <w:bidi w:val="1"/>
        <w:jc w:val="both"/>
      </w:pPr>
      <w:r>
        <w:rPr>
          <w:rStyle w:val="FootnoteReference"/>
          <w:rtl w:val="1"/>
        </w:rPr>
        <w:footnoteRef/>
      </w:r>
      <w:r>
        <w:rPr>
          <w:rFonts w:ascii="Times New Roman" w:hAnsi="Times New Roman" w:cs="B Nazanin"/>
          <w:sz w:val="22"/>
          <w:szCs w:val="22"/>
          <w:rtl w:val="1"/>
        </w:rPr>
        <w:t xml:space="preserve"> بهعنوان مثال، توجه به نقش اصل توسعه پایدار در شکلگیری معاهدات و سیاستهای محیطزیستی در سطوح جهانی و منطقهای و برقراری تعادل در میان توسعه اقتصادی، اجتماعی و محیطزیستی</w:t>
      </w:r>
    </w:p>
  </w:footnote>
  <w:footnote w:id="157">
    <w:p>
      <w:pPr>
        <w:pStyle w:val="FootnoteText"/>
        <w:bidi w:val="1"/>
        <w:jc w:val="both"/>
      </w:pPr>
      <w:r>
        <w:rPr>
          <w:rStyle w:val="FootnoteReference"/>
          <w:rtl w:val="1"/>
        </w:rPr>
        <w:footnoteRef/>
      </w:r>
      <w:r>
        <w:rPr>
          <w:rFonts w:ascii="Times New Roman" w:hAnsi="Times New Roman" w:cs="B Nazanin"/>
          <w:sz w:val="22"/>
          <w:szCs w:val="22"/>
          <w:rtl w:val="1"/>
        </w:rPr>
        <w:t xml:space="preserve"> Abbas poorhashemi, p.102</w:t>
      </w:r>
    </w:p>
  </w:footnote>
  <w:footnote w:id="158">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62</w:t>
      </w:r>
    </w:p>
  </w:footnote>
  <w:footnote w:id="159">
    <w:p>
      <w:pPr>
        <w:pStyle w:val="FootnoteText"/>
        <w:bidi w:val="1"/>
        <w:jc w:val="both"/>
      </w:pPr>
      <w:r>
        <w:rPr>
          <w:rStyle w:val="FootnoteReference"/>
          <w:rtl w:val="1"/>
        </w:rPr>
        <w:footnoteRef/>
      </w:r>
      <w:r>
        <w:rPr>
          <w:rFonts w:ascii="Times New Roman" w:hAnsi="Times New Roman" w:cs="B Nazanin"/>
          <w:sz w:val="22"/>
          <w:szCs w:val="22"/>
          <w:rtl w:val="1"/>
        </w:rPr>
        <w:t xml:space="preserve"> possible gaps</w:t>
      </w:r>
    </w:p>
  </w:footnote>
  <w:footnote w:id="160">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خلاء ص 220</w:t>
      </w:r>
    </w:p>
  </w:footnote>
  <w:footnote w:id="161">
    <w:p>
      <w:pPr>
        <w:pStyle w:val="FootnoteText"/>
        <w:bidi w:val="1"/>
        <w:jc w:val="both"/>
      </w:pPr>
      <w:r>
        <w:rPr>
          <w:rStyle w:val="FootnoteReference"/>
          <w:rtl w:val="1"/>
        </w:rPr>
        <w:footnoteRef/>
      </w:r>
      <w:r>
        <w:rPr>
          <w:rFonts w:ascii="Times New Roman" w:hAnsi="Times New Roman" w:cs="B Nazanin"/>
          <w:sz w:val="22"/>
          <w:szCs w:val="22"/>
          <w:rtl w:val="1"/>
        </w:rPr>
        <w:t xml:space="preserve"> همان کتاب خلا ص 220</w:t>
      </w:r>
    </w:p>
  </w:footnote>
  <w:footnote w:id="162">
    <w:p>
      <w:pPr>
        <w:pStyle w:val="FootnoteText"/>
        <w:bidi w:val="1"/>
        <w:jc w:val="both"/>
      </w:pPr>
      <w:r>
        <w:rPr>
          <w:rStyle w:val="FootnoteReference"/>
          <w:rtl w:val="1"/>
        </w:rPr>
        <w:footnoteRef/>
      </w:r>
      <w:r>
        <w:rPr>
          <w:rFonts w:ascii="Times New Roman" w:hAnsi="Times New Roman" w:cs="B Nazanin"/>
          <w:sz w:val="22"/>
          <w:szCs w:val="22"/>
          <w:rtl w:val="1"/>
        </w:rPr>
        <w:t xml:space="preserve"> همان</w:t>
      </w:r>
    </w:p>
  </w:footnote>
  <w:footnote w:id="163">
    <w:p>
      <w:pPr>
        <w:pStyle w:val="FootnoteText"/>
        <w:bidi w:val="1"/>
        <w:jc w:val="both"/>
      </w:pPr>
      <w:r>
        <w:rPr>
          <w:rStyle w:val="FootnoteReference"/>
          <w:rtl w:val="1"/>
        </w:rPr>
        <w:footnoteRef/>
      </w:r>
      <w:r>
        <w:rPr>
          <w:rFonts w:ascii="Times New Roman" w:hAnsi="Times New Roman" w:cs="B Nazanin"/>
          <w:sz w:val="22"/>
          <w:szCs w:val="22"/>
          <w:rtl w:val="1"/>
        </w:rPr>
        <w:t xml:space="preserve"> “gap” is defined as a lacuna, void, defect or deficiency.</w:t>
      </w:r>
    </w:p>
  </w:footnote>
  <w:footnote w:id="164">
    <w:p>
      <w:pPr>
        <w:pStyle w:val="FootnoteText"/>
        <w:bidi w:val="1"/>
        <w:jc w:val="both"/>
      </w:pPr>
      <w:r>
        <w:rPr>
          <w:rStyle w:val="FootnoteReference"/>
          <w:rtl w:val="1"/>
        </w:rPr>
        <w:footnoteRef/>
      </w:r>
      <w:r>
        <w:rPr>
          <w:rFonts w:ascii="Times New Roman" w:hAnsi="Times New Roman" w:cs="B Nazanin"/>
          <w:sz w:val="22"/>
          <w:szCs w:val="22"/>
          <w:rtl w:val="1"/>
        </w:rPr>
        <w:t xml:space="preserve"> Intentional, conscious and deliberate gaps</w:t>
      </w:r>
    </w:p>
  </w:footnote>
  <w:footnote w:id="165">
    <w:p>
      <w:pPr>
        <w:pStyle w:val="FootnoteText"/>
        <w:bidi w:val="1"/>
        <w:jc w:val="both"/>
      </w:pPr>
      <w:r>
        <w:rPr>
          <w:rStyle w:val="FootnoteReference"/>
          <w:rtl w:val="1"/>
        </w:rPr>
        <w:footnoteRef/>
      </w:r>
      <w:r>
        <w:rPr>
          <w:rFonts w:ascii="Times New Roman" w:hAnsi="Times New Roman" w:cs="B Nazanin"/>
          <w:sz w:val="22"/>
          <w:szCs w:val="22"/>
          <w:rtl w:val="1"/>
        </w:rPr>
        <w:t xml:space="preserve"> political compromises</w:t>
      </w:r>
    </w:p>
  </w:footnote>
  <w:footnote w:id="166">
    <w:p>
      <w:pPr>
        <w:pStyle w:val="FootnoteText"/>
        <w:bidi w:val="1"/>
        <w:jc w:val="both"/>
      </w:pPr>
      <w:r>
        <w:rPr>
          <w:rStyle w:val="FootnoteReference"/>
          <w:rtl w:val="1"/>
        </w:rPr>
        <w:footnoteRef/>
      </w:r>
      <w:r>
        <w:rPr>
          <w:rFonts w:ascii="Times New Roman" w:hAnsi="Times New Roman" w:cs="B Nazanin"/>
          <w:sz w:val="22"/>
          <w:szCs w:val="22"/>
          <w:rtl w:val="1"/>
        </w:rPr>
        <w:t xml:space="preserve"> necessary gaps</w:t>
      </w:r>
    </w:p>
  </w:footnote>
  <w:footnote w:id="167">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223</w:t>
      </w:r>
    </w:p>
  </w:footnote>
  <w:footnote w:id="168">
    <w:p>
      <w:pPr>
        <w:pStyle w:val="FootnoteText"/>
        <w:bidi w:val="1"/>
        <w:jc w:val="both"/>
      </w:pPr>
      <w:r>
        <w:rPr>
          <w:rStyle w:val="FootnoteReference"/>
          <w:rtl w:val="1"/>
        </w:rPr>
        <w:footnoteRef/>
      </w:r>
      <w:r>
        <w:rPr>
          <w:rFonts w:ascii="Times New Roman" w:hAnsi="Times New Roman" w:cs="B Nazanin"/>
          <w:sz w:val="22"/>
          <w:szCs w:val="22"/>
          <w:rtl w:val="1"/>
        </w:rPr>
        <w:t xml:space="preserve"> متاب خلا ص 226</w:t>
      </w:r>
    </w:p>
  </w:footnote>
  <w:footnote w:id="169">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223</w:t>
      </w:r>
    </w:p>
  </w:footnote>
  <w:footnote w:id="170">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171">
    <w:p>
      <w:pPr>
        <w:pStyle w:val="FootnoteText"/>
        <w:bidi w:val="1"/>
        <w:jc w:val="both"/>
      </w:pPr>
      <w:r>
        <w:rPr>
          <w:rStyle w:val="FootnoteReference"/>
          <w:rtl w:val="1"/>
        </w:rPr>
        <w:footnoteRef/>
      </w:r>
      <w:r>
        <w:rPr>
          <w:rFonts w:ascii="Times New Roman" w:hAnsi="Times New Roman" w:cs="B Nazanin"/>
          <w:sz w:val="22"/>
          <w:szCs w:val="22"/>
          <w:rtl w:val="1"/>
        </w:rPr>
        <w:t xml:space="preserve"> threshold issues</w:t>
      </w:r>
    </w:p>
  </w:footnote>
  <w:footnote w:id="172">
    <w:p>
      <w:pPr>
        <w:pStyle w:val="FootnoteText"/>
        <w:bidi w:val="1"/>
        <w:jc w:val="both"/>
      </w:pPr>
      <w:r>
        <w:rPr>
          <w:rStyle w:val="FootnoteReference"/>
          <w:rtl w:val="1"/>
        </w:rPr>
        <w:footnoteRef/>
      </w:r>
      <w:r>
        <w:rPr>
          <w:rFonts w:ascii="Times New Roman" w:hAnsi="Times New Roman" w:cs="B Nazanin"/>
          <w:sz w:val="22"/>
          <w:szCs w:val="22"/>
          <w:rtl w:val="1"/>
        </w:rPr>
        <w:t xml:space="preserve"> Susan Biniaz, The UNGA Resolution on a ‘Global Pact for the Environment’: A chance to put the horse before the cart, RECIEL, Vol. 28, Issue 1, 2019, pp.1-7. P.3</w:t>
      </w:r>
    </w:p>
  </w:footnote>
  <w:footnote w:id="173">
    <w:p>
      <w:pPr>
        <w:pStyle w:val="FootnoteText"/>
        <w:bidi w:val="1"/>
        <w:jc w:val="both"/>
      </w:pPr>
      <w:r>
        <w:rPr>
          <w:rStyle w:val="FootnoteReference"/>
          <w:rtl w:val="1"/>
        </w:rPr>
        <w:footnoteRef/>
      </w:r>
      <w:r>
        <w:rPr>
          <w:rFonts w:ascii="Times New Roman" w:hAnsi="Times New Roman" w:cs="B Nazanin"/>
          <w:sz w:val="22"/>
          <w:szCs w:val="22"/>
          <w:rtl w:val="1"/>
        </w:rPr>
        <w:t xml:space="preserve"> Normative gaps</w:t>
      </w:r>
    </w:p>
  </w:footnote>
  <w:footnote w:id="174">
    <w:p>
      <w:pPr>
        <w:pStyle w:val="FootnoteText"/>
        <w:bidi w:val="1"/>
        <w:jc w:val="both"/>
      </w:pPr>
      <w:r>
        <w:rPr>
          <w:rStyle w:val="FootnoteReference"/>
          <w:rtl w:val="1"/>
        </w:rPr>
        <w:footnoteRef/>
      </w:r>
      <w:r>
        <w:rPr>
          <w:rFonts w:ascii="Times New Roman" w:hAnsi="Times New Roman" w:cs="B Nazanin"/>
          <w:sz w:val="22"/>
          <w:szCs w:val="22"/>
          <w:rtl w:val="1"/>
        </w:rPr>
        <w:t xml:space="preserve"> means of implementation</w:t>
      </w:r>
    </w:p>
  </w:footnote>
  <w:footnote w:id="175">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222</w:t>
      </w:r>
    </w:p>
  </w:footnote>
  <w:footnote w:id="176">
    <w:p>
      <w:pPr>
        <w:pStyle w:val="FootnoteText"/>
        <w:bidi w:val="1"/>
        <w:jc w:val="both"/>
      </w:pPr>
      <w:r>
        <w:rPr>
          <w:rStyle w:val="FootnoteReference"/>
          <w:rtl w:val="1"/>
        </w:rPr>
        <w:footnoteRef/>
      </w:r>
      <w:r>
        <w:rPr>
          <w:rFonts w:ascii="Times New Roman" w:hAnsi="Times New Roman" w:cs="B Nazanin"/>
          <w:sz w:val="22"/>
          <w:szCs w:val="22"/>
          <w:rtl w:val="1"/>
        </w:rPr>
        <w:t xml:space="preserve"> regulatory gaps</w:t>
      </w:r>
    </w:p>
  </w:footnote>
  <w:footnote w:id="177">
    <w:p>
      <w:pPr>
        <w:pStyle w:val="FootnoteText"/>
        <w:bidi w:val="1"/>
        <w:jc w:val="both"/>
      </w:pPr>
      <w:r>
        <w:rPr>
          <w:rStyle w:val="FootnoteReference"/>
          <w:rtl w:val="1"/>
        </w:rPr>
        <w:footnoteRef/>
      </w:r>
      <w:r>
        <w:rPr>
          <w:rFonts w:ascii="Times New Roman" w:hAnsi="Times New Roman" w:cs="B Nazanin"/>
          <w:sz w:val="22"/>
          <w:szCs w:val="22"/>
          <w:rtl w:val="1"/>
        </w:rPr>
        <w:t xml:space="preserve"> Substantive/ normative gaps</w:t>
      </w:r>
    </w:p>
  </w:footnote>
  <w:footnote w:id="178">
    <w:p>
      <w:pPr>
        <w:pStyle w:val="FootnoteText"/>
        <w:bidi w:val="1"/>
        <w:jc w:val="both"/>
      </w:pPr>
      <w:r>
        <w:rPr>
          <w:rStyle w:val="FootnoteReference"/>
          <w:rtl w:val="1"/>
        </w:rPr>
        <w:footnoteRef/>
      </w:r>
      <w:r>
        <w:rPr>
          <w:rFonts w:ascii="Times New Roman" w:hAnsi="Times New Roman" w:cs="B Nazanin"/>
          <w:sz w:val="22"/>
          <w:szCs w:val="22"/>
          <w:rtl w:val="1"/>
        </w:rPr>
        <w:t xml:space="preserve"> procedural and institutional</w:t>
      </w:r>
    </w:p>
  </w:footnote>
  <w:footnote w:id="179">
    <w:p>
      <w:pPr>
        <w:pStyle w:val="FootnoteText"/>
        <w:bidi w:val="1"/>
        <w:jc w:val="both"/>
      </w:pPr>
      <w:r>
        <w:rPr>
          <w:rStyle w:val="FootnoteReference"/>
          <w:rtl w:val="1"/>
        </w:rPr>
        <w:footnoteRef/>
      </w:r>
      <w:r>
        <w:rPr>
          <w:rFonts w:ascii="Times New Roman" w:hAnsi="Times New Roman" w:cs="B Nazanin"/>
          <w:sz w:val="22"/>
          <w:szCs w:val="22"/>
          <w:rtl w:val="1"/>
        </w:rPr>
        <w:t xml:space="preserve"> governance gaps</w:t>
      </w:r>
    </w:p>
  </w:footnote>
  <w:footnote w:id="180">
    <w:p>
      <w:pPr>
        <w:pStyle w:val="FootnoteText"/>
        <w:bidi w:val="1"/>
        <w:jc w:val="both"/>
      </w:pPr>
      <w:r>
        <w:rPr>
          <w:rStyle w:val="FootnoteReference"/>
          <w:rtl w:val="1"/>
        </w:rPr>
        <w:footnoteRef/>
      </w:r>
      <w:r>
        <w:rPr>
          <w:rFonts w:ascii="Times New Roman" w:hAnsi="Times New Roman" w:cs="B Nazanin"/>
          <w:sz w:val="22"/>
          <w:szCs w:val="22"/>
          <w:rtl w:val="1"/>
        </w:rPr>
        <w:t xml:space="preserve"> implementation gaps in the international legal framework</w:t>
      </w:r>
    </w:p>
  </w:footnote>
  <w:footnote w:id="181">
    <w:p>
      <w:pPr>
        <w:pStyle w:val="FootnoteText"/>
        <w:bidi w:val="1"/>
        <w:jc w:val="both"/>
      </w:pPr>
      <w:r>
        <w:rPr>
          <w:rStyle w:val="FootnoteReference"/>
          <w:rtl w:val="1"/>
        </w:rPr>
        <w:footnoteRef/>
      </w:r>
      <w:r>
        <w:rPr>
          <w:rFonts w:ascii="Times New Roman" w:hAnsi="Times New Roman" w:cs="B Nazanin"/>
          <w:sz w:val="22"/>
          <w:szCs w:val="22"/>
          <w:rtl w:val="1"/>
        </w:rPr>
        <w:t xml:space="preserve"> پارگراف 7 گزارش دبیرکل</w:t>
      </w:r>
    </w:p>
  </w:footnote>
  <w:footnote w:id="182">
    <w:p>
      <w:pPr>
        <w:pStyle w:val="FootnoteText"/>
        <w:bidi w:val="1"/>
        <w:jc w:val="both"/>
      </w:pPr>
      <w:r>
        <w:rPr>
          <w:rStyle w:val="FootnoteReference"/>
          <w:rtl w:val="1"/>
        </w:rPr>
        <w:footnoteRef/>
      </w:r>
      <w:r>
        <w:rPr>
          <w:rFonts w:ascii="Times New Roman" w:hAnsi="Times New Roman" w:cs="B Nazanin"/>
          <w:sz w:val="22"/>
          <w:szCs w:val="22"/>
          <w:rtl w:val="1"/>
        </w:rPr>
        <w:t xml:space="preserve"> گزارش دبیرکل پارا 7</w:t>
      </w:r>
    </w:p>
  </w:footnote>
  <w:footnote w:id="183">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226</w:t>
      </w:r>
    </w:p>
  </w:footnote>
  <w:footnote w:id="184">
    <w:p>
      <w:pPr>
        <w:pStyle w:val="FootnoteText"/>
        <w:bidi w:val="1"/>
        <w:jc w:val="both"/>
      </w:pPr>
      <w:r>
        <w:rPr>
          <w:rStyle w:val="FootnoteReference"/>
          <w:rtl w:val="1"/>
        </w:rPr>
        <w:footnoteRef/>
      </w:r>
      <w:r>
        <w:rPr>
          <w:rFonts w:ascii="Times New Roman" w:hAnsi="Times New Roman" w:cs="B Nazanin"/>
          <w:sz w:val="22"/>
          <w:szCs w:val="22"/>
          <w:rtl w:val="1"/>
        </w:rPr>
        <w:t xml:space="preserve"> menu of workable solutions</w:t>
      </w:r>
    </w:p>
  </w:footnote>
  <w:footnote w:id="185">
    <w:p>
      <w:pPr>
        <w:pStyle w:val="FootnoteText"/>
        <w:bidi w:val="1"/>
        <w:jc w:val="both"/>
      </w:pPr>
      <w:r>
        <w:rPr>
          <w:rStyle w:val="FootnoteReference"/>
          <w:rtl w:val="1"/>
        </w:rPr>
        <w:footnoteRef/>
      </w:r>
      <w:r>
        <w:rPr>
          <w:rFonts w:ascii="Times New Roman" w:hAnsi="Times New Roman" w:cs="B Nazanin"/>
          <w:sz w:val="22"/>
          <w:szCs w:val="22"/>
          <w:rtl w:val="1"/>
        </w:rPr>
        <w:t xml:space="preserve"> descriptive</w:t>
      </w:r>
    </w:p>
  </w:footnote>
  <w:footnote w:id="186">
    <w:p>
      <w:pPr>
        <w:pStyle w:val="FootnoteText"/>
        <w:bidi w:val="1"/>
        <w:jc w:val="both"/>
      </w:pPr>
      <w:r>
        <w:rPr>
          <w:rStyle w:val="FootnoteReference"/>
          <w:rtl w:val="1"/>
        </w:rPr>
        <w:footnoteRef/>
      </w:r>
      <w:r>
        <w:rPr>
          <w:rFonts w:ascii="Times New Roman" w:hAnsi="Times New Roman" w:cs="B Nazanin"/>
          <w:sz w:val="22"/>
          <w:szCs w:val="22"/>
          <w:rtl w:val="1"/>
        </w:rPr>
        <w:t xml:space="preserve"> normative</w:t>
      </w:r>
    </w:p>
  </w:footnote>
  <w:footnote w:id="187">
    <w:p>
      <w:pPr>
        <w:pStyle w:val="FootnoteText"/>
        <w:bidi w:val="1"/>
        <w:jc w:val="both"/>
      </w:pPr>
      <w:r>
        <w:rPr>
          <w:rStyle w:val="FootnoteReference"/>
          <w:rtl w:val="1"/>
        </w:rPr>
        <w:footnoteRef/>
      </w:r>
      <w:r>
        <w:rPr>
          <w:rFonts w:ascii="Times New Roman" w:hAnsi="Times New Roman" w:cs="B Nazanin"/>
          <w:sz w:val="22"/>
          <w:szCs w:val="22"/>
          <w:rtl w:val="1"/>
        </w:rPr>
        <w:t xml:space="preserve"> discontinuity</w:t>
      </w:r>
    </w:p>
  </w:footnote>
  <w:footnote w:id="188">
    <w:p>
      <w:pPr>
        <w:pStyle w:val="FootnoteText"/>
        <w:bidi w:val="1"/>
        <w:jc w:val="both"/>
      </w:pPr>
      <w:r>
        <w:rPr>
          <w:rStyle w:val="FootnoteReference"/>
          <w:rtl w:val="1"/>
        </w:rPr>
        <w:footnoteRef/>
      </w:r>
      <w:r>
        <w:rPr>
          <w:rFonts w:ascii="Times New Roman" w:hAnsi="Times New Roman" w:cs="B Nazanin"/>
          <w:sz w:val="22"/>
          <w:szCs w:val="22"/>
          <w:rtl w:val="1"/>
        </w:rPr>
        <w:t xml:space="preserve"> یعنی مواردی که عملی نه ممنوع اعلام شده و نه مجاز</w:t>
      </w:r>
    </w:p>
  </w:footnote>
  <w:footnote w:id="189">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224</w:t>
      </w:r>
    </w:p>
  </w:footnote>
  <w:footnote w:id="190">
    <w:p>
      <w:pPr>
        <w:pStyle w:val="FootnoteText"/>
        <w:bidi w:val="1"/>
        <w:jc w:val="both"/>
      </w:pPr>
      <w:r>
        <w:rPr>
          <w:rStyle w:val="FootnoteReference"/>
          <w:rtl w:val="1"/>
        </w:rPr>
        <w:footnoteRef/>
      </w:r>
      <w:r>
        <w:rPr>
          <w:rFonts w:ascii="Times New Roman" w:hAnsi="Times New Roman" w:cs="B Nazanin"/>
          <w:sz w:val="22"/>
          <w:szCs w:val="22"/>
          <w:rtl w:val="1"/>
        </w:rPr>
        <w:t xml:space="preserve"> Online , Global Perspectives on a Global Pact for the Environment,</w:t>
      </w:r>
    </w:p>
  </w:footnote>
  <w:footnote w:id="191">
    <w:p>
      <w:pPr>
        <w:pStyle w:val="FootnoteText"/>
        <w:bidi w:val="1"/>
        <w:jc w:val="both"/>
      </w:pPr>
      <w:r>
        <w:rPr>
          <w:rStyle w:val="FootnoteReference"/>
          <w:rtl w:val="1"/>
        </w:rPr>
        <w:footnoteRef/>
      </w:r>
      <w:r>
        <w:rPr>
          <w:rFonts w:ascii="Times New Roman" w:hAnsi="Times New Roman" w:cs="B Nazanin"/>
          <w:sz w:val="22"/>
          <w:szCs w:val="22"/>
          <w:rtl w:val="1"/>
        </w:rPr>
        <w:t xml:space="preserve"> گزارش فوریه 2019 شورای وزیران نوردیک در خصوص «حکمرانی محیط زیستی بین المللی در چارچوب پیمان جهانی محیط زیست و گزارش دبیرکل»</w:t>
      </w:r>
    </w:p>
  </w:footnote>
  <w:footnote w:id="192">
    <w:p>
      <w:pPr>
        <w:pStyle w:val="FootnoteText"/>
        <w:bidi w:val="1"/>
        <w:jc w:val="both"/>
      </w:pPr>
      <w:r>
        <w:rPr>
          <w:rStyle w:val="FootnoteReference"/>
          <w:rtl w:val="1"/>
        </w:rPr>
        <w:footnoteRef/>
      </w:r>
      <w:r>
        <w:rPr>
          <w:rFonts w:ascii="Times New Roman" w:hAnsi="Times New Roman" w:cs="B Nazanin"/>
          <w:sz w:val="22"/>
          <w:szCs w:val="22"/>
          <w:rtl w:val="1"/>
        </w:rPr>
        <w:t xml:space="preserve"> Factual Gaps</w:t>
      </w:r>
    </w:p>
  </w:footnote>
  <w:footnote w:id="193">
    <w:p>
      <w:pPr>
        <w:pStyle w:val="FootnoteText"/>
        <w:bidi w:val="1"/>
        <w:jc w:val="both"/>
      </w:pPr>
      <w:r>
        <w:rPr>
          <w:rStyle w:val="FootnoteReference"/>
          <w:rtl w:val="1"/>
        </w:rPr>
        <w:footnoteRef/>
      </w:r>
      <w:r>
        <w:rPr>
          <w:rFonts w:ascii="Times New Roman" w:hAnsi="Times New Roman" w:cs="B Nazanin"/>
          <w:sz w:val="22"/>
          <w:szCs w:val="22"/>
          <w:rtl w:val="1"/>
        </w:rPr>
        <w:t xml:space="preserve"> substantive</w:t>
      </w:r>
    </w:p>
  </w:footnote>
  <w:footnote w:id="194">
    <w:p>
      <w:pPr>
        <w:pStyle w:val="FootnoteText"/>
        <w:bidi w:val="1"/>
        <w:jc w:val="both"/>
      </w:pPr>
      <w:r>
        <w:rPr>
          <w:rStyle w:val="FootnoteReference"/>
          <w:rtl w:val="1"/>
        </w:rPr>
        <w:footnoteRef/>
      </w:r>
      <w:r>
        <w:rPr>
          <w:rFonts w:ascii="Times New Roman" w:hAnsi="Times New Roman" w:cs="B Nazanin"/>
          <w:sz w:val="22"/>
          <w:szCs w:val="22"/>
          <w:rtl w:val="1"/>
        </w:rPr>
        <w:t xml:space="preserve"> legal</w:t>
      </w:r>
    </w:p>
  </w:footnote>
  <w:footnote w:id="195">
    <w:p>
      <w:pPr>
        <w:pStyle w:val="FootnoteText"/>
        <w:bidi w:val="1"/>
        <w:jc w:val="both"/>
      </w:pPr>
      <w:r>
        <w:rPr>
          <w:rStyle w:val="FootnoteReference"/>
          <w:rtl w:val="1"/>
        </w:rPr>
        <w:footnoteRef/>
      </w:r>
      <w:r>
        <w:rPr>
          <w:rFonts w:ascii="Times New Roman" w:hAnsi="Times New Roman" w:cs="B Nazanin"/>
          <w:sz w:val="22"/>
          <w:szCs w:val="22"/>
          <w:rtl w:val="1"/>
        </w:rPr>
        <w:t xml:space="preserve"> Membership-related</w:t>
      </w:r>
    </w:p>
  </w:footnote>
  <w:footnote w:id="196">
    <w:p>
      <w:pPr>
        <w:pStyle w:val="FootnoteText"/>
        <w:bidi w:val="1"/>
        <w:jc w:val="both"/>
      </w:pPr>
      <w:r>
        <w:rPr>
          <w:rStyle w:val="FootnoteReference"/>
          <w:rtl w:val="1"/>
        </w:rPr>
        <w:footnoteRef/>
      </w:r>
      <w:r>
        <w:rPr>
          <w:rFonts w:ascii="Times New Roman" w:hAnsi="Times New Roman" w:cs="B Nazanin"/>
          <w:sz w:val="22"/>
          <w:szCs w:val="22"/>
          <w:rtl w:val="1"/>
        </w:rPr>
        <w:t xml:space="preserve"> geographic</w:t>
      </w:r>
    </w:p>
  </w:footnote>
  <w:footnote w:id="197">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w:t>
      </w:r>
    </w:p>
  </w:footnote>
  <w:footnote w:id="198">
    <w:p>
      <w:pPr>
        <w:pStyle w:val="FootnoteText"/>
        <w:bidi w:val="1"/>
        <w:jc w:val="both"/>
      </w:pPr>
      <w:r>
        <w:rPr>
          <w:rStyle w:val="FootnoteReference"/>
          <w:rtl w:val="1"/>
        </w:rPr>
        <w:footnoteRef/>
      </w:r>
      <w:r>
        <w:rPr>
          <w:rFonts w:ascii="Times New Roman" w:hAnsi="Times New Roman" w:cs="B Nazanin"/>
          <w:sz w:val="22"/>
          <w:szCs w:val="22"/>
          <w:rtl w:val="1"/>
        </w:rPr>
        <w:t xml:space="preserve"> Compliance/enforcement - related</w:t>
      </w:r>
    </w:p>
  </w:footnote>
  <w:footnote w:id="199">
    <w:p>
      <w:pPr>
        <w:pStyle w:val="FootnoteText"/>
        <w:bidi w:val="1"/>
        <w:jc w:val="both"/>
      </w:pPr>
      <w:r>
        <w:rPr>
          <w:rStyle w:val="FootnoteReference"/>
          <w:rtl w:val="1"/>
        </w:rPr>
        <w:footnoteRef/>
      </w:r>
      <w:r>
        <w:rPr>
          <w:rFonts w:ascii="Times New Roman" w:hAnsi="Times New Roman" w:cs="B Nazanin"/>
          <w:sz w:val="22"/>
          <w:szCs w:val="22"/>
          <w:rtl w:val="1"/>
        </w:rPr>
        <w:t xml:space="preserve"> Normative Gaps</w:t>
      </w:r>
    </w:p>
  </w:footnote>
  <w:footnote w:id="200">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222</w:t>
      </w:r>
    </w:p>
  </w:footnote>
  <w:footnote w:id="201">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3</w:t>
      </w:r>
    </w:p>
  </w:footnote>
  <w:footnote w:id="202">
    <w:p>
      <w:pPr>
        <w:pStyle w:val="FootnoteText"/>
        <w:bidi w:val="1"/>
        <w:jc w:val="both"/>
      </w:pPr>
      <w:r>
        <w:rPr>
          <w:rStyle w:val="FootnoteReference"/>
          <w:rtl w:val="1"/>
        </w:rPr>
        <w:footnoteRef/>
      </w:r>
      <w:r>
        <w:rPr>
          <w:rFonts w:ascii="Times New Roman" w:hAnsi="Times New Roman" w:cs="B Nazanin"/>
          <w:sz w:val="22"/>
          <w:szCs w:val="22"/>
          <w:rtl w:val="1"/>
        </w:rPr>
        <w:t xml:space="preserve"> generalized framework rules</w:t>
      </w:r>
    </w:p>
  </w:footnote>
  <w:footnote w:id="203">
    <w:p>
      <w:pPr>
        <w:pStyle w:val="FootnoteText"/>
        <w:bidi w:val="1"/>
        <w:jc w:val="both"/>
      </w:pPr>
      <w:r>
        <w:rPr>
          <w:rStyle w:val="FootnoteReference"/>
          <w:rtl w:val="1"/>
        </w:rPr>
        <w:footnoteRef/>
      </w:r>
      <w:r>
        <w:rPr>
          <w:rFonts w:ascii="Times New Roman" w:hAnsi="Times New Roman" w:cs="B Nazanin"/>
          <w:sz w:val="22"/>
          <w:szCs w:val="22"/>
          <w:rtl w:val="1"/>
        </w:rPr>
        <w:t xml:space="preserve"> specific treaty regimes</w:t>
      </w:r>
    </w:p>
  </w:footnote>
  <w:footnote w:id="204">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فرتچ ص 3</w:t>
      </w:r>
    </w:p>
  </w:footnote>
  <w:footnote w:id="205">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3</w:t>
      </w:r>
    </w:p>
  </w:footnote>
  <w:footnote w:id="206">
    <w:p>
      <w:pPr>
        <w:pStyle w:val="FootnoteText"/>
        <w:bidi w:val="1"/>
        <w:jc w:val="both"/>
      </w:pPr>
      <w:r>
        <w:rPr>
          <w:rStyle w:val="FootnoteReference"/>
          <w:rtl w:val="1"/>
        </w:rPr>
        <w:footnoteRef/>
      </w:r>
      <w:r>
        <w:rPr>
          <w:rFonts w:ascii="Times New Roman" w:hAnsi="Times New Roman" w:cs="B Nazanin"/>
          <w:sz w:val="22"/>
          <w:szCs w:val="22"/>
          <w:rtl w:val="1"/>
        </w:rPr>
        <w:t xml:space="preserve"> Technical gap</w:t>
      </w:r>
    </w:p>
  </w:footnote>
  <w:footnote w:id="207">
    <w:p>
      <w:pPr>
        <w:pStyle w:val="FootnoteText"/>
        <w:bidi w:val="1"/>
        <w:jc w:val="both"/>
      </w:pPr>
      <w:r>
        <w:rPr>
          <w:rStyle w:val="FootnoteReference"/>
          <w:rtl w:val="1"/>
        </w:rPr>
        <w:footnoteRef/>
      </w:r>
      <w:r>
        <w:rPr>
          <w:rFonts w:ascii="Times New Roman" w:hAnsi="Times New Roman" w:cs="B Nazanin"/>
          <w:sz w:val="22"/>
          <w:szCs w:val="22"/>
          <w:rtl w:val="1"/>
        </w:rPr>
        <w:t xml:space="preserve"> AM Lebada, ‘UNGA Adopts Resolution on Global Environment Pact’ (24 May 2018)&lt;http://sdg.iisd.org/news/unga-adopts-resolution-on-global-environment-pact/&gt;.</w:t>
      </w:r>
    </w:p>
  </w:footnote>
  <w:footnote w:id="208">
    <w:p>
      <w:pPr>
        <w:pStyle w:val="FootnoteText"/>
        <w:bidi w:val="1"/>
        <w:jc w:val="both"/>
      </w:pPr>
      <w:r>
        <w:rPr>
          <w:rStyle w:val="FootnoteReference"/>
          <w:rtl w:val="1"/>
        </w:rPr>
        <w:footnoteRef/>
      </w:r>
      <w:r>
        <w:rPr>
          <w:rFonts w:ascii="Times New Roman" w:hAnsi="Times New Roman" w:cs="B Nazanin"/>
          <w:sz w:val="22"/>
          <w:szCs w:val="22"/>
          <w:rtl w:val="1"/>
        </w:rPr>
        <w:t xml:space="preserve"> Normative Expansion</w:t>
      </w:r>
    </w:p>
  </w:footnote>
  <w:footnote w:id="209">
    <w:p>
      <w:pPr>
        <w:pStyle w:val="FootnoteText"/>
        <w:bidi w:val="1"/>
        <w:jc w:val="both"/>
      </w:pPr>
      <w:r>
        <w:rPr>
          <w:rStyle w:val="FootnoteReference"/>
          <w:rtl w:val="1"/>
        </w:rPr>
        <w:footnoteRef/>
      </w:r>
      <w:r>
        <w:rPr>
          <w:rFonts w:ascii="Times New Roman" w:hAnsi="Times New Roman" w:cs="B Nazanin"/>
          <w:sz w:val="22"/>
          <w:szCs w:val="22"/>
          <w:rtl w:val="1"/>
        </w:rPr>
        <w:t xml:space="preserve"> Treaty Congestion</w:t>
      </w:r>
    </w:p>
  </w:footnote>
  <w:footnote w:id="210">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211">
    <w:p>
      <w:pPr>
        <w:pStyle w:val="FootnoteText"/>
        <w:bidi w:val="1"/>
        <w:jc w:val="both"/>
      </w:pPr>
      <w:r>
        <w:rPr>
          <w:rStyle w:val="FootnoteReference"/>
          <w:rtl w:val="1"/>
        </w:rPr>
        <w:footnoteRef/>
      </w:r>
      <w:r>
        <w:rPr>
          <w:rFonts w:ascii="Times New Roman" w:hAnsi="Times New Roman" w:cs="B Nazanin"/>
          <w:sz w:val="22"/>
          <w:szCs w:val="22"/>
          <w:rtl w:val="1"/>
        </w:rPr>
        <w:t xml:space="preserve"> Common but Differentiated Responsibilities- CBDR</w:t>
      </w:r>
    </w:p>
  </w:footnote>
  <w:footnote w:id="212">
    <w:p>
      <w:pPr>
        <w:pStyle w:val="FootnoteText"/>
        <w:bidi w:val="1"/>
        <w:jc w:val="both"/>
      </w:pPr>
      <w:r>
        <w:rPr>
          <w:rStyle w:val="FootnoteReference"/>
          <w:rtl w:val="1"/>
        </w:rPr>
        <w:footnoteRef/>
      </w:r>
      <w:r>
        <w:rPr>
          <w:rFonts w:ascii="Times New Roman" w:hAnsi="Times New Roman" w:cs="B Nazanin"/>
          <w:sz w:val="22"/>
          <w:szCs w:val="22"/>
          <w:rtl w:val="1"/>
        </w:rPr>
        <w:t xml:space="preserve"> technical, scientific and socio‐economic data</w:t>
      </w:r>
    </w:p>
  </w:footnote>
  <w:footnote w:id="213">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214">
    <w:p>
      <w:pPr>
        <w:pStyle w:val="FootnoteText"/>
        <w:bidi w:val="1"/>
        <w:jc w:val="both"/>
      </w:pPr>
      <w:r>
        <w:rPr>
          <w:rStyle w:val="FootnoteReference"/>
          <w:rtl w:val="1"/>
        </w:rPr>
        <w:footnoteRef/>
      </w:r>
      <w:r>
        <w:rPr>
          <w:rFonts w:ascii="Times New Roman" w:hAnsi="Times New Roman" w:cs="B Nazanin"/>
          <w:sz w:val="22"/>
          <w:szCs w:val="22"/>
          <w:rtl w:val="1"/>
        </w:rPr>
        <w:t xml:space="preserve"> Close, compelete, open system</w:t>
      </w:r>
    </w:p>
  </w:footnote>
  <w:footnote w:id="215">
    <w:p>
      <w:pPr>
        <w:pStyle w:val="FootnoteText"/>
        <w:bidi w:val="1"/>
        <w:jc w:val="both"/>
      </w:pPr>
      <w:r>
        <w:rPr>
          <w:rStyle w:val="FootnoteReference"/>
          <w:rtl w:val="1"/>
        </w:rPr>
        <w:footnoteRef/>
      </w:r>
      <w:r>
        <w:rPr>
          <w:rFonts w:ascii="Times New Roman" w:hAnsi="Times New Roman" w:cs="B Nazanin"/>
          <w:sz w:val="22"/>
          <w:szCs w:val="22"/>
          <w:rtl w:val="1"/>
        </w:rPr>
        <w:t xml:space="preserve"> Lotus presumption</w:t>
      </w:r>
    </w:p>
  </w:footnote>
  <w:footnote w:id="216">
    <w:p>
      <w:pPr>
        <w:pStyle w:val="FootnoteText"/>
        <w:bidi w:val="1"/>
        <w:jc w:val="both"/>
      </w:pPr>
      <w:r>
        <w:rPr>
          <w:rStyle w:val="FootnoteReference"/>
          <w:rtl w:val="1"/>
        </w:rPr>
        <w:footnoteRef/>
      </w:r>
      <w:r>
        <w:rPr>
          <w:rFonts w:ascii="Times New Roman" w:hAnsi="Times New Roman" w:cs="B Nazanin"/>
          <w:sz w:val="22"/>
          <w:szCs w:val="22"/>
          <w:rtl w:val="1"/>
        </w:rPr>
        <w:t xml:space="preserve"> «بی‌طرفی حقوق بین‌الملل... [که] به سادگی نشان می‌دهد حوزه‌هایی وجود دارند که حقوق بین‌الملل هنوز به تنظیم آن‌ها نپرداخته است، یا حتی هرگز به تنظیم آن‌ها نخواهد پرداخت.»</w:t>
      </w:r>
    </w:p>
  </w:footnote>
  <w:footnote w:id="217">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6</w:t>
      </w:r>
    </w:p>
  </w:footnote>
  <w:footnote w:id="218">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رویکرد رادیکال در حقوق بین‌الملل محیط زیست، تلاش برای ایجاد تغییرات عمیق و ساختاری در قواعد و سیاست‌های جهانی است تا از محیط زیست به طور مؤثرتری محافظت شود. اتخاذ این رویکرد معمولاً با چالش‌های سیاسی و اقتصادی بسیاری مواجه است، اما هدف آن رسیدن به راه‌حل‌های پایدار و عادلانه برای بحران‌های محیط زیستی است.</w:t>
      </w:r>
    </w:p>
  </w:footnote>
  <w:footnote w:id="219">
    <w:p>
      <w:pPr>
        <w:pStyle w:val="FootnoteText"/>
        <w:bidi w:val="1"/>
        <w:jc w:val="both"/>
      </w:pPr>
      <w:r>
        <w:rPr>
          <w:rStyle w:val="FootnoteReference"/>
          <w:rtl w:val="1"/>
        </w:rPr>
        <w:footnoteRef/>
      </w:r>
      <w:r>
        <w:rPr>
          <w:rFonts w:ascii="Times New Roman" w:hAnsi="Times New Roman" w:cs="B Nazanin"/>
          <w:sz w:val="22"/>
          <w:szCs w:val="22"/>
          <w:rtl w:val="1"/>
        </w:rPr>
        <w:t xml:space="preserve"> Unmentionable Gaps</w:t>
      </w:r>
    </w:p>
  </w:footnote>
  <w:footnote w:id="220">
    <w:p>
      <w:pPr>
        <w:pStyle w:val="FootnoteText"/>
        <w:bidi w:val="1"/>
        <w:jc w:val="both"/>
      </w:pPr>
      <w:r>
        <w:rPr>
          <w:rStyle w:val="FootnoteReference"/>
          <w:rtl w:val="1"/>
        </w:rPr>
        <w:footnoteRef/>
      </w:r>
      <w:r>
        <w:rPr>
          <w:rFonts w:ascii="Times New Roman" w:hAnsi="Times New Roman" w:cs="B Nazanin"/>
          <w:sz w:val="22"/>
          <w:szCs w:val="22"/>
          <w:rtl w:val="1"/>
        </w:rPr>
        <w:t xml:space="preserve"> حقوق طبیعت: به رسمیت شناختن حقوق طبیعت به عنوان یک موجودیت مستقل</w:t>
      </w:r>
    </w:p>
  </w:footnote>
  <w:footnote w:id="221">
    <w:p>
      <w:pPr>
        <w:pStyle w:val="FootnoteText"/>
        <w:bidi w:val="1"/>
        <w:jc w:val="both"/>
      </w:pPr>
      <w:r>
        <w:rPr>
          <w:rStyle w:val="FootnoteReference"/>
          <w:rtl w:val="1"/>
        </w:rPr>
        <w:footnoteRef/>
      </w:r>
      <w:r>
        <w:rPr>
          <w:rFonts w:ascii="Times New Roman" w:hAnsi="Times New Roman" w:cs="B Nazanin"/>
          <w:sz w:val="22"/>
          <w:szCs w:val="22"/>
          <w:rtl w:val="1"/>
        </w:rPr>
        <w:t xml:space="preserve"> دموکراسی اکولوژیک: مشارکت گسترده‌تر جوامع در تصمیم‌گیری‌های زیست‌محیطی</w:t>
      </w:r>
    </w:p>
  </w:footnote>
  <w:footnote w:id="222">
    <w:p>
      <w:pPr>
        <w:pStyle w:val="FootnoteText"/>
        <w:bidi w:val="1"/>
        <w:jc w:val="both"/>
      </w:pPr>
      <w:r>
        <w:rPr>
          <w:rStyle w:val="FootnoteReference"/>
          <w:rtl w:val="1"/>
        </w:rPr>
        <w:footnoteRef/>
      </w:r>
      <w:r>
        <w:rPr>
          <w:rFonts w:ascii="Times New Roman" w:hAnsi="Times New Roman" w:cs="B Nazanin"/>
          <w:sz w:val="22"/>
          <w:szCs w:val="22"/>
          <w:rtl w:val="1"/>
        </w:rPr>
        <w:t xml:space="preserve"> حکمرانی و حقوق سیستم زمین: ایجاد چارچوب‌های حقوقی برای مدیریت سیستم‌های پیچیده زمین</w:t>
      </w:r>
    </w:p>
  </w:footnote>
  <w:footnote w:id="223">
    <w:p>
      <w:pPr>
        <w:pStyle w:val="FootnoteText"/>
        <w:bidi w:val="1"/>
        <w:jc w:val="both"/>
      </w:pPr>
      <w:r>
        <w:rPr>
          <w:rStyle w:val="FootnoteReference"/>
          <w:rtl w:val="1"/>
        </w:rPr>
        <w:footnoteRef/>
      </w:r>
      <w:r>
        <w:rPr>
          <w:rFonts w:ascii="Times New Roman" w:hAnsi="Times New Roman" w:cs="B Nazanin"/>
          <w:sz w:val="22"/>
          <w:szCs w:val="22"/>
          <w:rtl w:val="1"/>
        </w:rPr>
        <w:t xml:space="preserve"> یکپارچگی سیستم زمین: حفاظت از یکپارچگی اکولوژیکی سیستم‌های زمین</w:t>
      </w:r>
    </w:p>
  </w:footnote>
  <w:footnote w:id="224">
    <w:p>
      <w:pPr>
        <w:pStyle w:val="FootnoteText"/>
        <w:bidi w:val="1"/>
        <w:jc w:val="both"/>
      </w:pPr>
      <w:r>
        <w:rPr>
          <w:rStyle w:val="FootnoteReference"/>
          <w:rtl w:val="1"/>
        </w:rPr>
        <w:footnoteRef/>
      </w:r>
      <w:r>
        <w:rPr>
          <w:rFonts w:ascii="Times New Roman" w:hAnsi="Times New Roman" w:cs="B Nazanin"/>
          <w:sz w:val="22"/>
          <w:szCs w:val="22"/>
          <w:rtl w:val="1"/>
        </w:rPr>
        <w:t xml:space="preserve"> در موارد تردید، تصمیم‌ها باید به نفع طبیعت گرفته شوند</w:t>
      </w:r>
    </w:p>
  </w:footnote>
  <w:footnote w:id="225">
    <w:p>
      <w:pPr>
        <w:pStyle w:val="FootnoteText"/>
        <w:bidi w:val="1"/>
        <w:jc w:val="both"/>
      </w:pPr>
      <w:r>
        <w:rPr>
          <w:rStyle w:val="FootnoteReference"/>
          <w:rtl w:val="1"/>
        </w:rPr>
        <w:footnoteRef/>
      </w:r>
      <w:r>
        <w:rPr>
          <w:rFonts w:ascii="Times New Roman" w:hAnsi="Times New Roman" w:cs="B Nazanin"/>
          <w:sz w:val="22"/>
          <w:szCs w:val="22"/>
          <w:rtl w:val="1"/>
        </w:rPr>
        <w:t xml:space="preserve"> حاکمیت قانون اکولوژیک: ادغام اصول اکولوژیک در سیستم‌های حقوقی</w:t>
      </w:r>
    </w:p>
  </w:footnote>
  <w:footnote w:id="226">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7</w:t>
      </w:r>
    </w:p>
  </w:footnote>
  <w:footnote w:id="227">
    <w:p>
      <w:pPr>
        <w:pStyle w:val="FootnoteText"/>
        <w:bidi w:val="1"/>
        <w:jc w:val="both"/>
      </w:pPr>
      <w:r>
        <w:rPr>
          <w:rStyle w:val="FootnoteReference"/>
          <w:rtl w:val="1"/>
        </w:rPr>
        <w:footnoteRef/>
      </w:r>
      <w:r>
        <w:rPr>
          <w:rFonts w:ascii="Times New Roman" w:hAnsi="Times New Roman" w:cs="B Nazanin"/>
          <w:sz w:val="22"/>
          <w:szCs w:val="22"/>
          <w:rtl w:val="1"/>
        </w:rPr>
        <w:t xml:space="preserve"> انسان‌محوری نئولیبرال به رویکردی اشاره دارد که در آن انسان و منافع اقتصادی او بدون توجه به محدودیت‌های طبیعی و پیامدهای محیط زیستی به عنوان محور اصلی لحاظ می‌شود. این رویکرد منجر به تخریب گسترده‌ محیط زیست و نابرابری‌های اجتماعی می‌گردد.</w:t>
      </w:r>
    </w:p>
  </w:footnote>
  <w:footnote w:id="228">
    <w:p>
      <w:pPr>
        <w:pStyle w:val="FootnoteText"/>
        <w:bidi w:val="1"/>
        <w:jc w:val="both"/>
      </w:pPr>
      <w:r>
        <w:rPr>
          <w:rStyle w:val="FootnoteReference"/>
          <w:rtl w:val="1"/>
        </w:rPr>
        <w:footnoteRef/>
      </w:r>
      <w:r>
        <w:rPr>
          <w:rFonts w:ascii="Times New Roman" w:hAnsi="Times New Roman" w:cs="B Nazanin"/>
          <w:sz w:val="22"/>
          <w:szCs w:val="22"/>
          <w:rtl w:val="1"/>
        </w:rPr>
        <w:t xml:space="preserve"> Lex Anthropocenae</w:t>
      </w:r>
    </w:p>
  </w:footnote>
  <w:footnote w:id="229">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7</w:t>
      </w:r>
    </w:p>
  </w:footnote>
  <w:footnote w:id="230">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2</w:t>
      </w:r>
    </w:p>
  </w:footnote>
  <w:footnote w:id="231">
    <w:p>
      <w:pPr>
        <w:pStyle w:val="FootnoteText"/>
        <w:bidi w:val="1"/>
        <w:jc w:val="both"/>
      </w:pPr>
      <w:r>
        <w:rPr>
          <w:rStyle w:val="FootnoteReference"/>
          <w:rtl w:val="1"/>
        </w:rPr>
        <w:footnoteRef/>
      </w:r>
      <w:r>
        <w:rPr>
          <w:rFonts w:ascii="Times New Roman" w:hAnsi="Times New Roman" w:cs="B Nazanin"/>
          <w:sz w:val="22"/>
          <w:szCs w:val="22"/>
          <w:rtl w:val="1"/>
        </w:rPr>
        <w:t xml:space="preserve"> صرفاً به نبود قانون محدود نمی‌شود، بلکه شامل ناکارآمدی قوانین موجود، ضعف اجرا، ابهام در صلاحیت و ناهماهنگی نهادی نیز می‌شود.</w:t>
      </w:r>
    </w:p>
  </w:footnote>
  <w:footnote w:id="232">
    <w:p>
      <w:pPr>
        <w:pStyle w:val="FootnoteText"/>
        <w:bidi w:val="1"/>
        <w:jc w:val="both"/>
      </w:pPr>
      <w:r>
        <w:rPr>
          <w:rStyle w:val="FootnoteReference"/>
          <w:rtl w:val="1"/>
        </w:rPr>
        <w:footnoteRef/>
      </w:r>
      <w:r>
        <w:rPr>
          <w:rFonts w:ascii="Times New Roman" w:hAnsi="Times New Roman" w:cs="B Nazanin"/>
          <w:sz w:val="22"/>
          <w:szCs w:val="22"/>
          <w:rtl w:val="1"/>
        </w:rPr>
        <w:t xml:space="preserve"> بسیاری از تحلیلگران، خلأها را نه نقص‌های تصادفی، بلکه ویژگی‌های برآمده از ساختار دولت-محور حقوق بین‌الملل می‌دانند که برای جهانی با مقیاس متفاوت طراحی شده است.</w:t>
      </w:r>
    </w:p>
  </w:footnote>
  <w:footnote w:id="233">
    <w:p>
      <w:pPr>
        <w:pStyle w:val="FootnoteText"/>
        <w:bidi w:val="1"/>
        <w:jc w:val="both"/>
      </w:pPr>
      <w:r>
        <w:rPr>
          <w:rStyle w:val="FootnoteReference"/>
          <w:rtl w:val="1"/>
        </w:rPr>
        <w:footnoteRef/>
      </w:r>
      <w:r>
        <w:rPr>
          <w:rFonts w:ascii="Times New Roman" w:hAnsi="Times New Roman" w:cs="B Nazanin"/>
          <w:sz w:val="22"/>
          <w:szCs w:val="22"/>
          <w:rtl w:val="1"/>
        </w:rPr>
        <w:t xml:space="preserve"> با شناسایی تهدیدات جدید (مانند نانومواد، مهندسی زمین‌شناسی، پلاستیک‌ها) و پیشرفت علم (چارچوب مرزهای سیاره‌ای)، ابعاد جدیدی از خلأها آشکار می‌شود.</w:t>
      </w:r>
    </w:p>
  </w:footnote>
  <w:footnote w:id="234">
    <w:p>
      <w:pPr>
        <w:pStyle w:val="FootnoteText"/>
        <w:bidi w:val="1"/>
        <w:jc w:val="both"/>
      </w:pPr>
      <w:r>
        <w:rPr>
          <w:rStyle w:val="FootnoteReference"/>
          <w:rtl w:val="1"/>
        </w:rPr>
        <w:footnoteRef/>
      </w:r>
      <w:r>
        <w:rPr>
          <w:rFonts w:ascii="Times New Roman" w:hAnsi="Times New Roman" w:cs="B Nazanin"/>
          <w:sz w:val="22"/>
          <w:szCs w:val="22"/>
          <w:rtl w:val="1"/>
        </w:rPr>
        <w:t xml:space="preserve"> Global Perspectives on a Global Pact for the Environment by Tiffany Challe|Published September 20, 2018- susan beniaz</w:t>
      </w:r>
    </w:p>
  </w:footnote>
  <w:footnote w:id="235">
    <w:p>
      <w:pPr>
        <w:pStyle w:val="FootnoteText"/>
        <w:bidi w:val="1"/>
        <w:jc w:val="both"/>
      </w:pPr>
      <w:r>
        <w:rPr>
          <w:rStyle w:val="FootnoteReference"/>
          <w:rtl w:val="1"/>
        </w:rPr>
        <w:footnoteRef/>
      </w:r>
      <w:r>
        <w:rPr>
          <w:rFonts w:ascii="Times New Roman" w:hAnsi="Times New Roman" w:cs="B Nazanin"/>
          <w:sz w:val="22"/>
          <w:szCs w:val="22"/>
          <w:rtl w:val="1"/>
        </w:rPr>
        <w:t xml:space="preserve"> Scope of the principles</w:t>
      </w:r>
    </w:p>
  </w:footnote>
  <w:footnote w:id="236">
    <w:p>
      <w:pPr>
        <w:pStyle w:val="FootnoteText"/>
        <w:bidi w:val="1"/>
        <w:jc w:val="both"/>
      </w:pPr>
      <w:r>
        <w:rPr>
          <w:rStyle w:val="FootnoteReference"/>
          <w:rtl w:val="1"/>
        </w:rPr>
        <w:footnoteRef/>
      </w:r>
      <w:r>
        <w:rPr>
          <w:rFonts w:ascii="Times New Roman" w:hAnsi="Times New Roman" w:cs="B Nazanin"/>
          <w:sz w:val="22"/>
          <w:szCs w:val="22"/>
          <w:rtl w:val="1"/>
        </w:rPr>
        <w:t xml:space="preserve"> Status of the principles</w:t>
      </w:r>
    </w:p>
  </w:footnote>
  <w:footnote w:id="237">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ص.9:</w:t>
      </w:r>
    </w:p>
  </w:footnote>
  <w:footnote w:id="238">
    <w:p>
      <w:pPr>
        <w:pStyle w:val="FootnoteText"/>
        <w:bidi w:val="1"/>
        <w:jc w:val="both"/>
      </w:pPr>
      <w:r>
        <w:rPr>
          <w:rStyle w:val="FootnoteReference"/>
          <w:rtl w:val="1"/>
        </w:rPr>
        <w:footnoteRef/>
      </w:r>
      <w:r>
        <w:rPr>
          <w:rFonts w:ascii="Times New Roman" w:hAnsi="Times New Roman" w:cs="B Nazanin"/>
          <w:sz w:val="22"/>
          <w:szCs w:val="22"/>
          <w:rtl w:val="1"/>
        </w:rPr>
        <w:t xml:space="preserve"> building blocks</w:t>
      </w:r>
    </w:p>
  </w:footnote>
  <w:footnote w:id="239">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۹.</w:t>
      </w:r>
    </w:p>
  </w:footnote>
  <w:footnote w:id="240">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۹.</w:t>
      </w:r>
    </w:p>
  </w:footnote>
  <w:footnote w:id="241">
    <w:p>
      <w:pPr>
        <w:pStyle w:val="FootnoteText"/>
        <w:bidi w:val="1"/>
        <w:jc w:val="both"/>
      </w:pPr>
      <w:r>
        <w:rPr>
          <w:rStyle w:val="FootnoteReference"/>
          <w:rtl w:val="1"/>
        </w:rPr>
        <w:footnoteRef/>
      </w:r>
      <w:r>
        <w:rPr>
          <w:rFonts w:ascii="Times New Roman" w:hAnsi="Times New Roman" w:cs="B Nazanin"/>
          <w:sz w:val="22"/>
          <w:szCs w:val="22"/>
          <w:rtl w:val="1"/>
        </w:rPr>
        <w:t xml:space="preserve"> gap-filling function</w:t>
      </w:r>
    </w:p>
  </w:footnote>
  <w:footnote w:id="242">
    <w:p>
      <w:pPr>
        <w:pStyle w:val="FootnoteText"/>
        <w:bidi w:val="1"/>
        <w:jc w:val="both"/>
      </w:pPr>
      <w:r>
        <w:rPr>
          <w:rStyle w:val="FootnoteReference"/>
          <w:rtl w:val="1"/>
        </w:rPr>
        <w:footnoteRef/>
      </w:r>
      <w:r>
        <w:rPr>
          <w:rFonts w:ascii="Times New Roman" w:hAnsi="Times New Roman" w:cs="B Nazanin"/>
          <w:sz w:val="22"/>
          <w:szCs w:val="22"/>
          <w:rtl w:val="1"/>
        </w:rPr>
        <w:t xml:space="preserve"> different legal sources</w:t>
      </w:r>
    </w:p>
  </w:footnote>
  <w:footnote w:id="24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۱۰.</w:t>
      </w:r>
    </w:p>
  </w:footnote>
  <w:footnote w:id="244">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245">
    <w:p>
      <w:pPr>
        <w:pStyle w:val="FootnoteText"/>
        <w:bidi w:val="1"/>
        <w:jc w:val="both"/>
      </w:pPr>
      <w:r>
        <w:rPr>
          <w:rStyle w:val="FootnoteReference"/>
          <w:rtl w:val="1"/>
        </w:rPr>
        <w:footnoteRef/>
      </w:r>
      <w:r>
        <w:rPr>
          <w:rFonts w:ascii="Times New Roman" w:hAnsi="Times New Roman" w:cs="B Nazanin"/>
          <w:sz w:val="22"/>
          <w:szCs w:val="22"/>
          <w:rtl w:val="1"/>
        </w:rPr>
        <w:t xml:space="preserve"> Riccardo Pavoni, Mutual Supportiveness as a Principle of Interpretation and Law-Making: A Watershed for the ‘WTO-and-CompetingRegimes’ Debate? The European Journal of International Law, 21(3), (2010), 649–679, p/651</w:t>
      </w:r>
    </w:p>
  </w:footnote>
  <w:footnote w:id="246">
    <w:p>
      <w:pPr>
        <w:pStyle w:val="FootnoteText"/>
        <w:bidi w:val="1"/>
        <w:jc w:val="both"/>
      </w:pPr>
      <w:r>
        <w:rPr>
          <w:rStyle w:val="FootnoteReference"/>
          <w:rtl w:val="1"/>
        </w:rPr>
        <w:footnoteRef/>
      </w:r>
      <w:r>
        <w:rPr>
          <w:rFonts w:ascii="Times New Roman" w:hAnsi="Times New Roman" w:cs="B Nazanin"/>
          <w:sz w:val="22"/>
          <w:szCs w:val="22"/>
          <w:rtl w:val="1"/>
        </w:rPr>
        <w:t xml:space="preserve"> synthesis</w:t>
      </w:r>
    </w:p>
  </w:footnote>
  <w:footnote w:id="24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۱۰.</w:t>
      </w:r>
    </w:p>
  </w:footnote>
  <w:footnote w:id="248">
    <w:p>
      <w:pPr>
        <w:pStyle w:val="FootnoteText"/>
        <w:bidi w:val="1"/>
        <w:jc w:val="both"/>
      </w:pPr>
      <w:r>
        <w:rPr>
          <w:rStyle w:val="FootnoteReference"/>
          <w:rtl w:val="1"/>
        </w:rPr>
        <w:footnoteRef/>
      </w:r>
      <w:r>
        <w:rPr>
          <w:rFonts w:ascii="Times New Roman" w:hAnsi="Times New Roman" w:cs="B Nazanin"/>
          <w:sz w:val="22"/>
          <w:szCs w:val="22"/>
          <w:rtl w:val="1"/>
        </w:rPr>
        <w:t xml:space="preserve"> effectiveness</w:t>
      </w:r>
    </w:p>
  </w:footnote>
  <w:footnote w:id="249">
    <w:p>
      <w:pPr>
        <w:pStyle w:val="FootnoteText"/>
        <w:bidi w:val="1"/>
        <w:jc w:val="both"/>
      </w:pPr>
      <w:r>
        <w:rPr>
          <w:rStyle w:val="FootnoteReference"/>
          <w:rtl w:val="1"/>
        </w:rPr>
        <w:footnoteRef/>
      </w:r>
      <w:r>
        <w:rPr>
          <w:rFonts w:ascii="Times New Roman" w:hAnsi="Times New Roman" w:cs="B Nazanin"/>
          <w:sz w:val="22"/>
          <w:szCs w:val="22"/>
          <w:rtl w:val="1"/>
        </w:rPr>
        <w:t xml:space="preserve"> implementation</w:t>
      </w:r>
    </w:p>
  </w:footnote>
  <w:footnote w:id="250">
    <w:p>
      <w:pPr>
        <w:pStyle w:val="FootnoteText"/>
        <w:bidi w:val="1"/>
        <w:jc w:val="both"/>
      </w:pPr>
      <w:r>
        <w:rPr>
          <w:rStyle w:val="FootnoteReference"/>
          <w:rtl w:val="1"/>
        </w:rPr>
        <w:footnoteRef/>
      </w:r>
      <w:r>
        <w:rPr>
          <w:rFonts w:ascii="Times New Roman" w:hAnsi="Times New Roman" w:cs="B Nazanin"/>
          <w:sz w:val="22"/>
          <w:szCs w:val="22"/>
          <w:rtl w:val="1"/>
        </w:rPr>
        <w:t xml:space="preserve"> comprehensive and unifying international instrument</w:t>
      </w:r>
    </w:p>
  </w:footnote>
  <w:footnote w:id="251">
    <w:p>
      <w:pPr>
        <w:pStyle w:val="FootnoteText"/>
        <w:bidi w:val="1"/>
        <w:jc w:val="both"/>
      </w:pPr>
      <w:r>
        <w:rPr>
          <w:rStyle w:val="FootnoteReference"/>
          <w:rtl w:val="1"/>
        </w:rPr>
        <w:footnoteRef/>
      </w:r>
      <w:r>
        <w:rPr>
          <w:rFonts w:ascii="Times New Roman" w:hAnsi="Times New Roman" w:cs="B Nazanin"/>
          <w:sz w:val="22"/>
          <w:szCs w:val="22"/>
          <w:rtl w:val="1"/>
        </w:rPr>
        <w:t xml:space="preserve"> پیشگیری، احتیاط، پرداخت آلوده ساز، دموکراسی محیط زیستی، همکاری، حق محیط زیست تمیز و سالم، توسعه پایدار، مسئولین مشترک اما متفاوت و عدم پسرفت</w:t>
      </w:r>
    </w:p>
  </w:footnote>
  <w:footnote w:id="252">
    <w:p>
      <w:pPr>
        <w:pStyle w:val="FootnoteText"/>
        <w:bidi w:val="1"/>
        <w:jc w:val="both"/>
      </w:pPr>
      <w:r>
        <w:rPr>
          <w:rStyle w:val="FootnoteReference"/>
          <w:rtl w:val="1"/>
        </w:rPr>
        <w:footnoteRef/>
      </w:r>
      <w:r>
        <w:rPr>
          <w:rFonts w:ascii="Times New Roman" w:hAnsi="Times New Roman" w:cs="B Nazanin"/>
          <w:sz w:val="22"/>
          <w:szCs w:val="22"/>
          <w:rtl w:val="1"/>
        </w:rPr>
        <w:t xml:space="preserve"> Non-regression and progression</w:t>
      </w:r>
    </w:p>
  </w:footnote>
  <w:footnote w:id="253">
    <w:p>
      <w:pPr>
        <w:pStyle w:val="FootnoteText"/>
        <w:bidi w:val="1"/>
        <w:jc w:val="both"/>
      </w:pPr>
      <w:r>
        <w:rPr>
          <w:rStyle w:val="FootnoteReference"/>
          <w:rtl w:val="1"/>
        </w:rPr>
        <w:footnoteRef/>
      </w:r>
      <w:r>
        <w:rPr>
          <w:rFonts w:ascii="Times New Roman" w:hAnsi="Times New Roman" w:cs="B Nazanin"/>
          <w:sz w:val="22"/>
          <w:szCs w:val="22"/>
          <w:rtl w:val="1"/>
        </w:rPr>
        <w:t xml:space="preserve"> Hélène Tigroudja, fROM THE “GREEN TURN” TO THE RECOGNITION OF AN AUTONOMOUS RIGHT TO A HEALTHY ENVIRONMENT: ACHIEVEMENTS AND CHALLENGES IN THE PRACTICE OF UN TREATY BODIES, AJIL Unbound, Volume 117, 2023, pp. 179 – 183, p.183.</w:t>
      </w:r>
    </w:p>
  </w:footnote>
  <w:footnote w:id="254">
    <w:p>
      <w:pPr>
        <w:pStyle w:val="FootnoteText"/>
        <w:bidi w:val="1"/>
        <w:jc w:val="both"/>
      </w:pPr>
      <w:r>
        <w:rPr>
          <w:rStyle w:val="FootnoteReference"/>
          <w:rtl w:val="1"/>
        </w:rPr>
        <w:footnoteRef/>
      </w:r>
      <w:r>
        <w:rPr>
          <w:rFonts w:ascii="Times New Roman" w:hAnsi="Times New Roman" w:cs="B Nazanin"/>
          <w:sz w:val="22"/>
          <w:szCs w:val="22"/>
          <w:rtl w:val="1"/>
        </w:rPr>
        <w:t xml:space="preserve"> Marco Bocchi, The Reshaping of the Precautionary Principle by International Courts: Judicial Dialogue or Parallel Monologues? , Geneva Jean Monnet Working Paper 02/2016, p. 21</w:t>
      </w:r>
    </w:p>
  </w:footnote>
  <w:footnote w:id="255">
    <w:p>
      <w:pPr>
        <w:pStyle w:val="FootnoteText"/>
        <w:bidi w:val="1"/>
        <w:jc w:val="both"/>
      </w:pPr>
      <w:r>
        <w:rPr>
          <w:rStyle w:val="FootnoteReference"/>
          <w:rtl w:val="1"/>
        </w:rPr>
        <w:footnoteRef/>
      </w:r>
      <w:r>
        <w:rPr>
          <w:rFonts w:ascii="Times New Roman" w:hAnsi="Times New Roman" w:cs="B Nazanin"/>
          <w:sz w:val="22"/>
          <w:szCs w:val="22"/>
          <w:rtl w:val="1"/>
        </w:rPr>
        <w:t xml:space="preserve"> ALAN BOYLE. (2021). "Polluter Pays." In Max Planck Encyclopedia of Public International Law. Oxford University Press.341-346. p. 345</w:t>
      </w:r>
    </w:p>
  </w:footnote>
  <w:footnote w:id="256">
    <w:p>
      <w:pPr>
        <w:pStyle w:val="FootnoteText"/>
        <w:bidi w:val="1"/>
        <w:jc w:val="both"/>
      </w:pPr>
      <w:r>
        <w:rPr>
          <w:rStyle w:val="FootnoteReference"/>
          <w:rtl w:val="1"/>
        </w:rPr>
        <w:footnoteRef/>
      </w:r>
      <w:r>
        <w:rPr>
          <w:rFonts w:ascii="Times New Roman" w:hAnsi="Times New Roman" w:cs="B Nazanin"/>
          <w:sz w:val="22"/>
          <w:szCs w:val="22"/>
          <w:rtl w:val="1"/>
        </w:rPr>
        <w:t xml:space="preserve"> Nicolas de Sadeleer, Chapter VI.43 The precautionary principle in WTO law, in Elgar Encyclopedia of Environmental Law, Edited by Michael Faure, Edward Elgar Publishing, 2018, 599–610, p. 601.</w:t>
      </w:r>
    </w:p>
  </w:footnote>
  <w:footnote w:id="257">
    <w:p>
      <w:pPr>
        <w:pStyle w:val="FootnoteText"/>
        <w:bidi w:val="1"/>
        <w:jc w:val="both"/>
      </w:pPr>
      <w:r>
        <w:rPr>
          <w:rStyle w:val="FootnoteReference"/>
          <w:rtl w:val="1"/>
        </w:rPr>
        <w:footnoteRef/>
      </w:r>
      <w:r>
        <w:rPr>
          <w:rFonts w:ascii="Times New Roman" w:hAnsi="Times New Roman" w:cs="B Nazanin"/>
          <w:sz w:val="22"/>
          <w:szCs w:val="22"/>
          <w:rtl w:val="1"/>
        </w:rPr>
        <w:t xml:space="preserve"> Legitimacy</w:t>
      </w:r>
    </w:p>
  </w:footnote>
  <w:footnote w:id="258">
    <w:p>
      <w:pPr>
        <w:pStyle w:val="FootnoteText"/>
        <w:bidi w:val="1"/>
        <w:jc w:val="both"/>
      </w:pPr>
      <w:r>
        <w:rPr>
          <w:rStyle w:val="FootnoteReference"/>
          <w:rtl w:val="1"/>
        </w:rPr>
        <w:footnoteRef/>
      </w:r>
      <w:r>
        <w:rPr>
          <w:rFonts w:ascii="Times New Roman" w:hAnsi="Times New Roman" w:cs="B Nazanin"/>
          <w:sz w:val="22"/>
          <w:szCs w:val="22"/>
          <w:rtl w:val="1"/>
        </w:rPr>
        <w:t xml:space="preserve"> Effectiveness</w:t>
      </w:r>
    </w:p>
  </w:footnote>
  <w:footnote w:id="259">
    <w:p>
      <w:pPr>
        <w:pStyle w:val="FootnoteText"/>
        <w:bidi w:val="1"/>
        <w:jc w:val="both"/>
      </w:pPr>
      <w:r>
        <w:rPr>
          <w:rStyle w:val="FootnoteReference"/>
          <w:rtl w:val="1"/>
        </w:rPr>
        <w:footnoteRef/>
      </w:r>
      <w:r>
        <w:rPr>
          <w:rFonts w:ascii="Times New Roman" w:hAnsi="Times New Roman" w:cs="B Nazanin"/>
          <w:sz w:val="22"/>
          <w:szCs w:val="22"/>
          <w:rtl w:val="1"/>
        </w:rPr>
        <w:t xml:space="preserve"> Fairness</w:t>
      </w:r>
    </w:p>
  </w:footnote>
  <w:footnote w:id="260">
    <w:p>
      <w:pPr>
        <w:pStyle w:val="FootnoteText"/>
        <w:bidi w:val="1"/>
        <w:jc w:val="both"/>
      </w:pPr>
      <w:r>
        <w:rPr>
          <w:rStyle w:val="FootnoteReference"/>
          <w:rtl w:val="1"/>
        </w:rPr>
        <w:footnoteRef/>
      </w:r>
      <w:r>
        <w:rPr>
          <w:rFonts w:ascii="Times New Roman" w:hAnsi="Times New Roman" w:cs="B Nazanin"/>
          <w:sz w:val="22"/>
          <w:szCs w:val="22"/>
          <w:rtl w:val="1"/>
        </w:rPr>
        <w:t xml:space="preserve"> Viñuales, Jorge E, Balancing effectiveness and fairness in the redesign of the climate change regime, Leiden journal of international law. - Cambridge. - Volume 24(2011), no. 1, pages 223-252, p.224.</w:t>
      </w:r>
    </w:p>
  </w:footnote>
  <w:footnote w:id="261">
    <w:p>
      <w:pPr>
        <w:pStyle w:val="FootnoteText"/>
        <w:bidi w:val="1"/>
        <w:jc w:val="both"/>
      </w:pPr>
      <w:r>
        <w:rPr>
          <w:rStyle w:val="FootnoteReference"/>
          <w:rtl w:val="1"/>
        </w:rPr>
        <w:footnoteRef/>
      </w:r>
      <w:r>
        <w:rPr>
          <w:rFonts w:ascii="Times New Roman" w:hAnsi="Times New Roman" w:cs="B Nazanin"/>
          <w:sz w:val="22"/>
          <w:szCs w:val="22"/>
          <w:rtl w:val="1"/>
        </w:rPr>
        <w:t xml:space="preserve"> Gaps relating to existing regulatory regimes</w:t>
      </w:r>
    </w:p>
  </w:footnote>
  <w:footnote w:id="262">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۲۳.</w:t>
      </w:r>
    </w:p>
  </w:footnote>
  <w:footnote w:id="26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۲۴.</w:t>
      </w:r>
    </w:p>
  </w:footnote>
  <w:footnote w:id="264">
    <w:p>
      <w:pPr>
        <w:pStyle w:val="FootnoteText"/>
        <w:bidi w:val="1"/>
        <w:jc w:val="both"/>
      </w:pPr>
      <w:r>
        <w:rPr>
          <w:rStyle w:val="FootnoteReference"/>
          <w:rtl w:val="1"/>
        </w:rPr>
        <w:footnoteRef/>
      </w:r>
      <w:r>
        <w:rPr>
          <w:rFonts w:ascii="Times New Roman" w:hAnsi="Times New Roman" w:cs="B Nazanin"/>
          <w:sz w:val="22"/>
          <w:szCs w:val="22"/>
          <w:rtl w:val="1"/>
        </w:rPr>
        <w:t xml:space="preserve"> fairness</w:t>
      </w:r>
    </w:p>
  </w:footnote>
  <w:footnote w:id="265">
    <w:p>
      <w:pPr>
        <w:pStyle w:val="FootnoteText"/>
        <w:bidi w:val="1"/>
        <w:jc w:val="both"/>
      </w:pPr>
      <w:r>
        <w:rPr>
          <w:rStyle w:val="FootnoteReference"/>
          <w:rtl w:val="1"/>
        </w:rPr>
        <w:footnoteRef/>
      </w:r>
      <w:r>
        <w:rPr>
          <w:rFonts w:ascii="Times New Roman" w:hAnsi="Times New Roman" w:cs="B Nazanin"/>
          <w:sz w:val="22"/>
          <w:szCs w:val="22"/>
          <w:rtl w:val="1"/>
        </w:rPr>
        <w:t xml:space="preserve"> Equitable Burden</w:t>
      </w:r>
    </w:p>
  </w:footnote>
  <w:footnote w:id="266">
    <w:p>
      <w:pPr>
        <w:pStyle w:val="FootnoteText"/>
        <w:bidi w:val="1"/>
        <w:jc w:val="both"/>
      </w:pPr>
      <w:r>
        <w:rPr>
          <w:rStyle w:val="FootnoteReference"/>
          <w:rtl w:val="1"/>
        </w:rPr>
        <w:footnoteRef/>
      </w:r>
      <w:r>
        <w:rPr>
          <w:rFonts w:ascii="Times New Roman" w:hAnsi="Times New Roman" w:cs="B Nazanin"/>
          <w:sz w:val="22"/>
          <w:szCs w:val="22"/>
          <w:rtl w:val="1"/>
        </w:rPr>
        <w:t xml:space="preserve"> Effort-Sharing</w:t>
      </w:r>
    </w:p>
  </w:footnote>
  <w:footnote w:id="26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۲۵.</w:t>
      </w:r>
    </w:p>
  </w:footnote>
  <w:footnote w:id="268">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۲۵.</w:t>
      </w:r>
    </w:p>
  </w:footnote>
  <w:footnote w:id="269">
    <w:p>
      <w:pPr>
        <w:pStyle w:val="FootnoteText"/>
        <w:bidi w:val="1"/>
        <w:jc w:val="both"/>
      </w:pPr>
      <w:r>
        <w:rPr>
          <w:rStyle w:val="FootnoteReference"/>
          <w:rtl w:val="1"/>
        </w:rPr>
        <w:footnoteRef/>
      </w:r>
      <w:r>
        <w:rPr>
          <w:rFonts w:ascii="Times New Roman" w:hAnsi="Times New Roman" w:cs="B Nazanin"/>
          <w:sz w:val="22"/>
          <w:szCs w:val="22"/>
          <w:rtl w:val="1"/>
        </w:rPr>
        <w:t xml:space="preserve"> Enam Korkor Antonio, The Effect of Constructive Ambiguity on Differentiation in the Climate Change Regime: Mitigation and Climate Justice, Loyola University Chicago International Law Review, Volume 21, Issue 2, 2025, 76-98, p. 95.</w:t>
      </w:r>
    </w:p>
  </w:footnote>
  <w:footnote w:id="270">
    <w:p>
      <w:pPr>
        <w:pStyle w:val="FootnoteText"/>
        <w:bidi w:val="1"/>
        <w:jc w:val="both"/>
      </w:pPr>
      <w:r>
        <w:rPr>
          <w:rStyle w:val="FootnoteReference"/>
          <w:rtl w:val="1"/>
        </w:rPr>
        <w:footnoteRef/>
      </w:r>
      <w:r>
        <w:rPr>
          <w:rFonts w:ascii="Times New Roman" w:hAnsi="Times New Roman" w:cs="B Nazanin"/>
          <w:sz w:val="22"/>
          <w:szCs w:val="22"/>
          <w:rtl w:val="1"/>
        </w:rPr>
        <w:t xml:space="preserve"> Constructive Ambiguity</w:t>
      </w:r>
    </w:p>
  </w:footnote>
  <w:footnote w:id="271">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۲۵.</w:t>
      </w:r>
    </w:p>
  </w:footnote>
  <w:footnote w:id="272">
    <w:p>
      <w:pPr>
        <w:pStyle w:val="FootnoteText"/>
        <w:bidi w:val="1"/>
        <w:jc w:val="both"/>
      </w:pPr>
      <w:r>
        <w:rPr>
          <w:rStyle w:val="FootnoteReference"/>
          <w:rtl w:val="1"/>
        </w:rPr>
        <w:footnoteRef/>
      </w:r>
      <w:r>
        <w:rPr>
          <w:rFonts w:ascii="Times New Roman" w:hAnsi="Times New Roman" w:cs="B Nazanin"/>
          <w:sz w:val="22"/>
          <w:szCs w:val="22"/>
          <w:rtl w:val="1"/>
        </w:rPr>
        <w:t xml:space="preserve"> Normative Fragmentation &amp; Lack of Overarching Framework</w:t>
      </w:r>
    </w:p>
  </w:footnote>
  <w:footnote w:id="273">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274">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12(1), 2011 , pp. 223 – 252, p.224.</w:t>
      </w:r>
    </w:p>
  </w:footnote>
  <w:footnote w:id="275">
    <w:p>
      <w:pPr>
        <w:pStyle w:val="FootnoteText"/>
        <w:bidi w:val="1"/>
        <w:jc w:val="both"/>
      </w:pPr>
      <w:r>
        <w:rPr>
          <w:rStyle w:val="FootnoteReference"/>
          <w:rtl w:val="1"/>
        </w:rPr>
        <w:footnoteRef/>
      </w:r>
      <w:r>
        <w:rPr>
          <w:rFonts w:ascii="Times New Roman" w:hAnsi="Times New Roman" w:cs="B Nazanin"/>
          <w:sz w:val="22"/>
          <w:szCs w:val="22"/>
          <w:rtl w:val="1"/>
        </w:rPr>
        <w:t xml:space="preserve"> Paras 26-39</w:t>
      </w:r>
    </w:p>
  </w:footnote>
  <w:footnote w:id="276">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۴۸.</w:t>
      </w:r>
    </w:p>
  </w:footnote>
  <w:footnote w:id="27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۱۰۴.</w:t>
      </w:r>
    </w:p>
  </w:footnote>
  <w:footnote w:id="278">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۴۲.</w:t>
      </w:r>
    </w:p>
  </w:footnote>
  <w:footnote w:id="279">
    <w:p>
      <w:pPr>
        <w:pStyle w:val="FootnoteText"/>
        <w:bidi w:val="1"/>
        <w:jc w:val="both"/>
      </w:pPr>
      <w:r>
        <w:rPr>
          <w:rStyle w:val="FootnoteReference"/>
          <w:rtl w:val="1"/>
        </w:rPr>
        <w:footnoteRef/>
      </w:r>
      <w:r>
        <w:rPr>
          <w:rFonts w:ascii="Times New Roman" w:hAnsi="Times New Roman" w:cs="B Nazanin"/>
          <w:sz w:val="22"/>
          <w:szCs w:val="22"/>
          <w:rtl w:val="1"/>
        </w:rPr>
        <w:t xml:space="preserve"> Biodiversity Beyond National Jurisdiction (BBNJ)</w:t>
      </w:r>
    </w:p>
  </w:footnote>
  <w:footnote w:id="280">
    <w:p>
      <w:pPr>
        <w:pStyle w:val="FootnoteText"/>
        <w:bidi w:val="1"/>
        <w:jc w:val="both"/>
      </w:pPr>
      <w:r>
        <w:rPr>
          <w:rStyle w:val="FootnoteReference"/>
          <w:rtl w:val="1"/>
        </w:rPr>
        <w:footnoteRef/>
      </w:r>
      <w:r>
        <w:rPr>
          <w:rFonts w:ascii="Times New Roman" w:hAnsi="Times New Roman" w:cs="B Nazanin"/>
          <w:sz w:val="22"/>
          <w:szCs w:val="22"/>
          <w:rtl w:val="1"/>
        </w:rPr>
        <w:t xml:space="preserve"> پس از ۱۵ سال مذاکره برای ایجاد چارچوب حقوقی حفاظت از تنوع زیستی در آب‌های بین‌المللی، کشورهای عضو سازمان ملل متحد معاهده تنوع زیستی فراسوی صلاحیت ملی (BBNJ) را تحت نظارت کنوانسیون سازمان ملل متحد در مورد حقوق دریاها (UNCLOS) در سال 2023 به تصویب رساندند. تا پیش از آن، آب‌های بین‌المللی – که ۶۴ درصد از اقیانوس‌ها و نزدیک به نیمی از سطح سیاره را پوشش می‌دهند – هیچ چارچوب الزام‌آوری برای حفاظت از تنوع زیستی نداشتند. برخلاف آب‌های تحت صلاحیت ملی، آب‌های بین‌المللی فضایی آزاد باقی مانده بودند که به طور گسترده مورد بهره‌برداری قرار می‌گرفت، اما به خوبی محافظت نمی‌شد. معاهده تنوع زیستی فراسوی صلاحیت ملی (BBNJ) در مارس ۲۰۲۳ برای پر کردن این خلأ حقوقی ایجاد شد.</w:t>
      </w:r>
    </w:p>
  </w:footnote>
  <w:footnote w:id="281">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۶۸.</w:t>
      </w:r>
    </w:p>
  </w:footnote>
  <w:footnote w:id="282">
    <w:p>
      <w:pPr>
        <w:pStyle w:val="FootnoteText"/>
        <w:bidi w:val="1"/>
        <w:jc w:val="both"/>
      </w:pPr>
      <w:r>
        <w:rPr>
          <w:rStyle w:val="FootnoteReference"/>
          <w:rtl w:val="1"/>
        </w:rPr>
        <w:footnoteRef/>
      </w:r>
      <w:r>
        <w:rPr>
          <w:rFonts w:ascii="Times New Roman" w:hAnsi="Times New Roman" w:cs="B Nazanin"/>
          <w:sz w:val="22"/>
          <w:szCs w:val="22"/>
          <w:rtl w:val="1"/>
        </w:rPr>
        <w:t xml:space="preserve"> Monitoring, Reporting, Verification – MRV</w:t>
      </w:r>
    </w:p>
  </w:footnote>
  <w:footnote w:id="28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۳۰.</w:t>
      </w:r>
    </w:p>
  </w:footnote>
  <w:footnote w:id="284">
    <w:p>
      <w:pPr>
        <w:pStyle w:val="FootnoteText"/>
        <w:bidi w:val="1"/>
        <w:jc w:val="both"/>
      </w:pPr>
      <w:r>
        <w:rPr>
          <w:rStyle w:val="FootnoteReference"/>
          <w:rtl w:val="1"/>
        </w:rPr>
        <w:footnoteRef/>
      </w:r>
      <w:r>
        <w:rPr>
          <w:rFonts w:ascii="Times New Roman" w:hAnsi="Times New Roman" w:cs="B Nazanin"/>
          <w:sz w:val="22"/>
          <w:szCs w:val="22"/>
          <w:rtl w:val="1"/>
        </w:rPr>
        <w:t xml:space="preserve"> Tejas Rao, Non-Compliance Procedures. Yearbook of International Environmental Law, 2025, 35(1), 1–5, p.5</w:t>
      </w:r>
    </w:p>
  </w:footnote>
  <w:footnote w:id="285">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۳۱.</w:t>
      </w:r>
    </w:p>
  </w:footnote>
  <w:footnote w:id="286">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۳۲.</w:t>
      </w:r>
    </w:p>
  </w:footnote>
  <w:footnote w:id="28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۲۸.</w:t>
      </w:r>
    </w:p>
  </w:footnote>
  <w:footnote w:id="288">
    <w:p>
      <w:pPr>
        <w:pStyle w:val="FootnoteText"/>
        <w:bidi w:val="1"/>
        <w:jc w:val="both"/>
      </w:pPr>
      <w:r>
        <w:rPr>
          <w:rStyle w:val="FootnoteReference"/>
          <w:rtl w:val="1"/>
        </w:rPr>
        <w:footnoteRef/>
      </w:r>
      <w:r>
        <w:rPr>
          <w:rFonts w:ascii="Times New Roman" w:hAnsi="Times New Roman" w:cs="B Nazanin"/>
          <w:sz w:val="22"/>
          <w:szCs w:val="22"/>
          <w:rtl w:val="1"/>
        </w:rPr>
        <w:t xml:space="preserve"> FCCC/CP/2015/10/Add.1, Decision 1/CP.21, Adoption of the Paris Agreement, 29 January 2016</w:t>
      </w:r>
    </w:p>
  </w:footnote>
  <w:footnote w:id="289">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۶۶.</w:t>
      </w:r>
    </w:p>
  </w:footnote>
  <w:footnote w:id="290">
    <w:p>
      <w:pPr>
        <w:pStyle w:val="FootnoteText"/>
        <w:bidi w:val="1"/>
        <w:jc w:val="both"/>
      </w:pPr>
      <w:r>
        <w:rPr>
          <w:rStyle w:val="FootnoteReference"/>
          <w:rtl w:val="1"/>
        </w:rPr>
        <w:footnoteRef/>
      </w:r>
      <w:r>
        <w:rPr>
          <w:rFonts w:ascii="Times New Roman" w:hAnsi="Times New Roman" w:cs="B Nazanin"/>
          <w:sz w:val="22"/>
          <w:szCs w:val="22"/>
          <w:rtl w:val="1"/>
        </w:rPr>
        <w:t xml:space="preserve"> این پروتکل که در دسامبر ۱۹۹۹ به تصویب رسید، تا به امروز تنها ۱۲ عضو دارد در حالی که برای لازم‌الاجرا شدن به ۲۰ سند تصویب نیاز دارد. United Nations Treaty Collection (2026). "Chapter XXVII-3-b: Basel Protocol on Liability and Compensation.".</w:t>
      </w:r>
    </w:p>
  </w:footnote>
  <w:footnote w:id="291">
    <w:p>
      <w:pPr>
        <w:pStyle w:val="FootnoteText"/>
        <w:bidi w:val="1"/>
        <w:jc w:val="both"/>
      </w:pPr>
      <w:r>
        <w:rPr>
          <w:rStyle w:val="FootnoteReference"/>
          <w:rtl w:val="1"/>
        </w:rPr>
        <w:footnoteRef/>
      </w:r>
      <w:r>
        <w:rPr>
          <w:rFonts w:ascii="Times New Roman" w:hAnsi="Times New Roman" w:cs="B Nazanin"/>
          <w:sz w:val="22"/>
          <w:szCs w:val="22"/>
          <w:rtl w:val="1"/>
        </w:rPr>
        <w:t xml:space="preserve"> Jan Albers, The 1999 Basel Protocol on Liability and Compensation, in: Responsibility and liability in the context of transboundary movement of hazardous wastes by sea - Existing rules and the 1999 Liability Protocol to the Basel Convention." Springer Science, 2015, pp.203-304,</w:t>
      </w:r>
    </w:p>
  </w:footnote>
  <w:footnote w:id="292">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12(1), 2011 , pp. 223 – 252, p.224.</w:t>
      </w:r>
    </w:p>
  </w:footnote>
  <w:footnote w:id="293">
    <w:p>
      <w:pPr>
        <w:pStyle w:val="FootnoteText"/>
        <w:bidi w:val="1"/>
        <w:jc w:val="both"/>
      </w:pPr>
      <w:r>
        <w:rPr>
          <w:rStyle w:val="FootnoteReference"/>
          <w:rtl w:val="1"/>
        </w:rPr>
        <w:footnoteRef/>
      </w:r>
      <w:r>
        <w:rPr>
          <w:rFonts w:ascii="Times New Roman" w:hAnsi="Times New Roman" w:cs="B Nazanin"/>
          <w:sz w:val="22"/>
          <w:szCs w:val="22"/>
          <w:rtl w:val="1"/>
        </w:rPr>
        <w:t xml:space="preserve"> Ibid, p.251</w:t>
      </w:r>
    </w:p>
  </w:footnote>
  <w:footnote w:id="294">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۲۹.</w:t>
      </w:r>
    </w:p>
  </w:footnote>
  <w:footnote w:id="295">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۴۴.</w:t>
      </w:r>
    </w:p>
  </w:footnote>
  <w:footnote w:id="296">
    <w:p>
      <w:pPr>
        <w:pStyle w:val="FootnoteText"/>
        <w:bidi w:val="1"/>
        <w:jc w:val="both"/>
      </w:pPr>
      <w:r>
        <w:rPr>
          <w:rStyle w:val="FootnoteReference"/>
          <w:rtl w:val="1"/>
        </w:rPr>
        <w:footnoteRef/>
      </w:r>
      <w:r>
        <w:rPr>
          <w:rFonts w:ascii="Times New Roman" w:hAnsi="Times New Roman" w:cs="B Nazanin"/>
          <w:sz w:val="22"/>
          <w:szCs w:val="22"/>
          <w:rtl w:val="1"/>
        </w:rPr>
        <w:t xml:space="preserve"> Patent Cooperation Treaty</w:t>
      </w:r>
    </w:p>
  </w:footnote>
  <w:footnote w:id="297">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298">
    <w:p>
      <w:pPr>
        <w:pStyle w:val="FootnoteText"/>
        <w:bidi w:val="1"/>
        <w:jc w:val="both"/>
      </w:pPr>
      <w:r>
        <w:rPr>
          <w:rStyle w:val="FootnoteReference"/>
          <w:rtl w:val="1"/>
        </w:rPr>
        <w:footnoteRef/>
      </w:r>
      <w:r>
        <w:rPr>
          <w:rFonts w:ascii="Times New Roman" w:hAnsi="Times New Roman" w:cs="B Nazanin"/>
          <w:sz w:val="22"/>
          <w:szCs w:val="22"/>
          <w:rtl w:val="1"/>
        </w:rPr>
        <w:t xml:space="preserve"> Strengthening the role of the United Nations Environment Programme Headquarters in Nairobi to address environmental challenges and enhance multilateral cooperation to address effective multilateral governance</w:t>
      </w:r>
    </w:p>
  </w:footnote>
  <w:footnote w:id="299">
    <w:p>
      <w:pPr>
        <w:pStyle w:val="FootnoteText"/>
        <w:bidi w:val="1"/>
        <w:jc w:val="both"/>
      </w:pPr>
      <w:r>
        <w:rPr>
          <w:rStyle w:val="FootnoteReference"/>
          <w:rtl w:val="1"/>
        </w:rPr>
        <w:footnoteRef/>
      </w:r>
      <w:r>
        <w:rPr>
          <w:rFonts w:ascii="Times New Roman" w:hAnsi="Times New Roman" w:cs="B Nazanin"/>
          <w:sz w:val="22"/>
          <w:szCs w:val="22"/>
          <w:rtl w:val="1"/>
        </w:rPr>
        <w:t xml:space="preserve"> 7th Session of the United Nations Environment Assembly, UNEA-7</w:t>
      </w:r>
    </w:p>
  </w:footnote>
  <w:footnote w:id="300">
    <w:p>
      <w:pPr>
        <w:pStyle w:val="FootnoteText"/>
        <w:bidi w:val="1"/>
        <w:jc w:val="both"/>
      </w:pPr>
      <w:r>
        <w:rPr>
          <w:rStyle w:val="FootnoteReference"/>
          <w:rtl w:val="1"/>
        </w:rPr>
        <w:footnoteRef/>
      </w:r>
      <w:r>
        <w:rPr>
          <w:rFonts w:ascii="Times New Roman" w:hAnsi="Times New Roman" w:cs="B Nazanin"/>
          <w:sz w:val="22"/>
          <w:szCs w:val="22"/>
          <w:rtl w:val="1"/>
        </w:rPr>
        <w:t xml:space="preserve"> https://enb.iisd.org/unea7-oecpr7-summary</w:t>
      </w:r>
    </w:p>
  </w:footnote>
  <w:footnote w:id="301">
    <w:p>
      <w:pPr>
        <w:pStyle w:val="FootnoteText"/>
        <w:bidi w:val="1"/>
        <w:jc w:val="both"/>
      </w:pPr>
      <w:r>
        <w:rPr>
          <w:rStyle w:val="FootnoteReference"/>
          <w:rtl w:val="1"/>
        </w:rPr>
        <w:footnoteRef/>
      </w:r>
      <w:r>
        <w:rPr>
          <w:rFonts w:ascii="Times New Roman" w:hAnsi="Times New Roman" w:cs="B Nazanin"/>
          <w:sz w:val="22"/>
          <w:szCs w:val="22"/>
          <w:rtl w:val="1"/>
        </w:rPr>
        <w:t xml:space="preserve"> nanomaterials and some geo-engineering processes</w:t>
      </w:r>
    </w:p>
  </w:footnote>
  <w:footnote w:id="302">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۴۱.</w:t>
      </w:r>
    </w:p>
  </w:footnote>
  <w:footnote w:id="30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۶۱.</w:t>
      </w:r>
    </w:p>
  </w:footnote>
  <w:footnote w:id="304">
    <w:p>
      <w:pPr>
        <w:pStyle w:val="FootnoteText"/>
        <w:bidi w:val="1"/>
        <w:jc w:val="both"/>
      </w:pPr>
      <w:r>
        <w:rPr>
          <w:rStyle w:val="FootnoteReference"/>
          <w:rtl w:val="1"/>
        </w:rPr>
        <w:footnoteRef/>
      </w:r>
      <w:r>
        <w:rPr>
          <w:rFonts w:ascii="Times New Roman" w:hAnsi="Times New Roman" w:cs="B Nazanin"/>
          <w:sz w:val="22"/>
          <w:szCs w:val="22"/>
          <w:rtl w:val="1"/>
        </w:rPr>
        <w:t xml:space="preserve"> UNEP/EA.5/Res.14, End plastic pollution: towards an international legally binding instrument, 7 March 2022</w:t>
      </w:r>
    </w:p>
  </w:footnote>
  <w:footnote w:id="305">
    <w:p>
      <w:pPr>
        <w:pStyle w:val="FootnoteText"/>
        <w:bidi w:val="1"/>
        <w:jc w:val="both"/>
      </w:pPr>
      <w:r>
        <w:rPr>
          <w:rStyle w:val="FootnoteReference"/>
          <w:rtl w:val="1"/>
        </w:rPr>
        <w:footnoteRef/>
      </w:r>
      <w:r>
        <w:rPr>
          <w:rFonts w:ascii="Times New Roman" w:hAnsi="Times New Roman" w:cs="B Nazanin"/>
          <w:sz w:val="22"/>
          <w:szCs w:val="22"/>
          <w:rtl w:val="1"/>
        </w:rPr>
        <w:t xml:space="preserve"> The Convention on Long-Range Transboundary Air Pollution</w:t>
      </w:r>
    </w:p>
  </w:footnote>
  <w:footnote w:id="306">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۳۶.</w:t>
      </w:r>
    </w:p>
  </w:footnote>
  <w:footnote w:id="307">
    <w:p>
      <w:pPr>
        <w:pStyle w:val="FootnoteText"/>
        <w:bidi w:val="1"/>
        <w:jc w:val="both"/>
      </w:pPr>
      <w:r>
        <w:rPr>
          <w:rStyle w:val="FootnoteReference"/>
          <w:rtl w:val="1"/>
        </w:rPr>
        <w:footnoteRef/>
      </w:r>
      <w:r>
        <w:rPr>
          <w:rFonts w:ascii="Times New Roman" w:hAnsi="Times New Roman" w:cs="B Nazanin"/>
          <w:sz w:val="22"/>
          <w:szCs w:val="22"/>
          <w:rtl w:val="1"/>
        </w:rPr>
        <w:t xml:space="preserve"> مقاله اوستروم ص 17</w:t>
      </w:r>
    </w:p>
  </w:footnote>
  <w:footnote w:id="308">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 13</w:t>
      </w:r>
    </w:p>
  </w:footnote>
  <w:footnote w:id="309">
    <w:p>
      <w:pPr>
        <w:pStyle w:val="FootnoteText"/>
        <w:bidi w:val="1"/>
        <w:jc w:val="both"/>
      </w:pPr>
      <w:r>
        <w:rPr>
          <w:rStyle w:val="FootnoteReference"/>
          <w:rtl w:val="1"/>
        </w:rPr>
        <w:footnoteRef/>
      </w:r>
      <w:r>
        <w:rPr>
          <w:rFonts w:ascii="Times New Roman" w:hAnsi="Times New Roman" w:cs="B Nazanin"/>
          <w:sz w:val="22"/>
          <w:szCs w:val="22"/>
          <w:rtl w:val="1"/>
        </w:rPr>
        <w:t xml:space="preserve"> Environment-related instruments</w:t>
      </w:r>
    </w:p>
  </w:footnote>
  <w:footnote w:id="310">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w:t>
      </w:r>
    </w:p>
  </w:footnote>
  <w:footnote w:id="311">
    <w:p>
      <w:pPr>
        <w:pStyle w:val="FootnoteText"/>
        <w:bidi w:val="1"/>
        <w:jc w:val="both"/>
      </w:pPr>
      <w:r>
        <w:rPr>
          <w:rStyle w:val="FootnoteReference"/>
          <w:rtl w:val="1"/>
        </w:rPr>
        <w:footnoteRef/>
      </w:r>
      <w:r>
        <w:rPr>
          <w:rFonts w:ascii="Times New Roman" w:hAnsi="Times New Roman" w:cs="B Nazanin"/>
          <w:sz w:val="22"/>
          <w:szCs w:val="22"/>
          <w:rtl w:val="1"/>
        </w:rPr>
        <w:t xml:space="preserve"> Intersectional</w:t>
      </w:r>
    </w:p>
  </w:footnote>
  <w:footnote w:id="312">
    <w:p>
      <w:pPr>
        <w:pStyle w:val="FootnoteText"/>
        <w:bidi w:val="1"/>
        <w:jc w:val="both"/>
      </w:pPr>
      <w:r>
        <w:rPr>
          <w:rStyle w:val="FootnoteReference"/>
          <w:rtl w:val="1"/>
        </w:rPr>
        <w:footnoteRef/>
      </w:r>
      <w:r>
        <w:rPr>
          <w:rFonts w:ascii="Times New Roman" w:hAnsi="Times New Roman" w:cs="B Nazanin"/>
          <w:sz w:val="22"/>
          <w:szCs w:val="22"/>
          <w:rtl w:val="1"/>
        </w:rPr>
        <w:t xml:space="preserve"> Holistic</w:t>
      </w:r>
    </w:p>
  </w:footnote>
  <w:footnote w:id="313">
    <w:p>
      <w:pPr>
        <w:pStyle w:val="FootnoteText"/>
        <w:bidi w:val="1"/>
        <w:jc w:val="both"/>
      </w:pPr>
      <w:r>
        <w:rPr>
          <w:rStyle w:val="FootnoteReference"/>
          <w:rtl w:val="1"/>
        </w:rPr>
        <w:footnoteRef/>
      </w:r>
      <w:r>
        <w:rPr>
          <w:rFonts w:ascii="Times New Roman" w:hAnsi="Times New Roman" w:cs="B Nazanin"/>
          <w:sz w:val="22"/>
          <w:szCs w:val="22"/>
          <w:rtl w:val="1"/>
        </w:rPr>
        <w:t xml:space="preserve"> Environmentalization</w:t>
      </w:r>
    </w:p>
  </w:footnote>
  <w:footnote w:id="314">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ص 14</w:t>
      </w:r>
    </w:p>
  </w:footnote>
  <w:footnote w:id="315">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۷۱.</w:t>
      </w:r>
    </w:p>
  </w:footnote>
  <w:footnote w:id="316">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۷۱.</w:t>
      </w:r>
    </w:p>
  </w:footnote>
  <w:footnote w:id="317">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318">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۷۱.</w:t>
      </w:r>
    </w:p>
  </w:footnote>
  <w:footnote w:id="319">
    <w:p>
      <w:pPr>
        <w:pStyle w:val="FootnoteText"/>
        <w:bidi w:val="1"/>
        <w:jc w:val="both"/>
      </w:pPr>
      <w:r>
        <w:rPr>
          <w:rStyle w:val="FootnoteReference"/>
          <w:rtl w:val="1"/>
        </w:rPr>
        <w:footnoteRef/>
      </w:r>
      <w:r>
        <w:rPr>
          <w:rFonts w:ascii="Times New Roman" w:hAnsi="Times New Roman" w:cs="B Nazanin"/>
          <w:sz w:val="22"/>
          <w:szCs w:val="22"/>
          <w:rtl w:val="1"/>
        </w:rPr>
        <w:t xml:space="preserve"> در مقدمه کنوانسیون</w:t>
      </w:r>
    </w:p>
  </w:footnote>
  <w:footnote w:id="320">
    <w:p>
      <w:pPr>
        <w:pStyle w:val="FootnoteText"/>
        <w:bidi w:val="1"/>
        <w:jc w:val="both"/>
      </w:pPr>
      <w:r>
        <w:rPr>
          <w:rStyle w:val="FootnoteReference"/>
          <w:rtl w:val="1"/>
        </w:rPr>
        <w:footnoteRef/>
      </w:r>
      <w:r>
        <w:rPr>
          <w:rFonts w:ascii="Times New Roman" w:hAnsi="Times New Roman" w:cs="B Nazanin"/>
          <w:sz w:val="22"/>
          <w:szCs w:val="22"/>
          <w:rtl w:val="1"/>
        </w:rPr>
        <w:t xml:space="preserve"> Stephanie Switzer, TheWorld Trade Organization Dispute Settlement Mechanism, p.139, in: The Environment Through the Lens of International Courts and Tribunals, edited by Edgardo Sobenes, Sarah Mead , Benjamin Samson, Published by t.m.c. asser press, The Hague, The Netherlands, 2022</w:t>
      </w:r>
    </w:p>
  </w:footnote>
  <w:footnote w:id="321">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 14</w:t>
      </w:r>
    </w:p>
  </w:footnote>
  <w:footnote w:id="322">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۷۲.</w:t>
      </w:r>
    </w:p>
  </w:footnote>
  <w:footnote w:id="323">
    <w:p>
      <w:pPr>
        <w:pStyle w:val="FootnoteText"/>
        <w:bidi w:val="1"/>
        <w:jc w:val="both"/>
      </w:pPr>
      <w:r>
        <w:rPr>
          <w:rStyle w:val="FootnoteReference"/>
          <w:rtl w:val="1"/>
        </w:rPr>
        <w:footnoteRef/>
      </w:r>
      <w:r>
        <w:rPr>
          <w:rFonts w:ascii="Times New Roman" w:hAnsi="Times New Roman" w:cs="B Nazanin"/>
          <w:sz w:val="22"/>
          <w:szCs w:val="22"/>
          <w:rtl w:val="1"/>
        </w:rPr>
        <w:t xml:space="preserve"> Thomas Waelde and Abba Kolo, Environmental Regulation, Investment Protection and 'Regulatory Taking' inInternational Law, The International and Comparative Law Quarterly, Oct., 2001, Vol. 50, No. 4 (Oct., 2001), pp. 811-848, P.814</w:t>
      </w:r>
    </w:p>
  </w:footnote>
  <w:footnote w:id="324">
    <w:p>
      <w:pPr>
        <w:pStyle w:val="FootnoteText"/>
        <w:bidi w:val="1"/>
        <w:jc w:val="both"/>
      </w:pPr>
      <w:r>
        <w:rPr>
          <w:rStyle w:val="FootnoteReference"/>
          <w:rtl w:val="1"/>
        </w:rPr>
        <w:footnoteRef/>
      </w:r>
      <w:r>
        <w:rPr>
          <w:rFonts w:ascii="Times New Roman" w:hAnsi="Times New Roman" w:cs="B Nazanin"/>
          <w:sz w:val="22"/>
          <w:szCs w:val="22"/>
          <w:rtl w:val="1"/>
        </w:rPr>
        <w:t xml:space="preserve"> https://investmentpolicy.unctad.org/news/hub/1781/20251117-a-policy-and-legal-roadblock-to-net-zero reforming-investment-agreements-for-climate-action</w:t>
      </w:r>
    </w:p>
  </w:footnote>
  <w:footnote w:id="325">
    <w:p>
      <w:pPr>
        <w:pStyle w:val="FootnoteText"/>
        <w:bidi w:val="1"/>
        <w:jc w:val="both"/>
      </w:pPr>
      <w:r>
        <w:rPr>
          <w:rStyle w:val="FootnoteReference"/>
          <w:rtl w:val="1"/>
        </w:rPr>
        <w:footnoteRef/>
      </w:r>
      <w:r>
        <w:rPr>
          <w:rFonts w:ascii="Times New Roman" w:hAnsi="Times New Roman" w:cs="B Nazanin"/>
          <w:sz w:val="22"/>
          <w:szCs w:val="22"/>
          <w:rtl w:val="1"/>
        </w:rPr>
        <w:t xml:space="preserve"> Mmiselo Freedom Qumba, Incorporating Sustainable Development Principles in Africa's Investment Treaty Making. Journal of Comparative Law in Africa, 11(2), 2024, , pp. 43-79. , p.44-45.</w:t>
      </w:r>
    </w:p>
  </w:footnote>
  <w:footnote w:id="326">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۷۲.</w:t>
      </w:r>
    </w:p>
  </w:footnote>
  <w:footnote w:id="32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۷۲.</w:t>
      </w:r>
    </w:p>
  </w:footnote>
  <w:footnote w:id="328">
    <w:p>
      <w:pPr>
        <w:pStyle w:val="FootnoteText"/>
        <w:bidi w:val="1"/>
        <w:jc w:val="both"/>
      </w:pPr>
      <w:r>
        <w:rPr>
          <w:rStyle w:val="FootnoteReference"/>
          <w:rtl w:val="1"/>
        </w:rPr>
        <w:footnoteRef/>
      </w:r>
      <w:r>
        <w:rPr>
          <w:rFonts w:ascii="Times New Roman" w:hAnsi="Times New Roman" w:cs="B Nazanin"/>
          <w:sz w:val="22"/>
          <w:szCs w:val="22"/>
          <w:rtl w:val="1"/>
        </w:rPr>
        <w:t xml:space="preserve"> Agreement on Trade-Related Aspects of Intellectual Property Rights known as TRIPS</w:t>
      </w:r>
    </w:p>
  </w:footnote>
  <w:footnote w:id="329">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Biological Diversity</w:t>
      </w:r>
    </w:p>
  </w:footnote>
  <w:footnote w:id="330">
    <w:p>
      <w:pPr>
        <w:pStyle w:val="FootnoteText"/>
        <w:bidi w:val="1"/>
        <w:jc w:val="both"/>
      </w:pPr>
      <w:r>
        <w:rPr>
          <w:rStyle w:val="FootnoteReference"/>
          <w:rtl w:val="1"/>
        </w:rPr>
        <w:footnoteRef/>
      </w:r>
      <w:r>
        <w:rPr>
          <w:rFonts w:ascii="Times New Roman" w:hAnsi="Times New Roman" w:cs="B Nazanin"/>
          <w:sz w:val="22"/>
          <w:szCs w:val="22"/>
          <w:rtl w:val="1"/>
        </w:rPr>
        <w:t xml:space="preserve"> The Nagoya Protocol on Access and Benefit-sharing</w:t>
      </w:r>
    </w:p>
  </w:footnote>
  <w:footnote w:id="331">
    <w:p>
      <w:pPr>
        <w:pStyle w:val="FootnoteText"/>
        <w:bidi w:val="1"/>
        <w:jc w:val="both"/>
      </w:pPr>
      <w:r>
        <w:rPr>
          <w:rStyle w:val="FootnoteReference"/>
          <w:rtl w:val="1"/>
        </w:rPr>
        <w:footnoteRef/>
      </w:r>
      <w:r>
        <w:rPr>
          <w:rFonts w:ascii="Times New Roman" w:hAnsi="Times New Roman" w:cs="B Nazanin"/>
          <w:sz w:val="22"/>
          <w:szCs w:val="22"/>
          <w:rtl w:val="1"/>
        </w:rPr>
        <w:t xml:space="preserve"> Pallavi Mishra, he TRIPS-CBD conflict: how global trade regimes undermine access and benefit-sharing and perpetuate biopiracy against biodiversity-rich nations, Biodiversity and Conservation (2026), 1-40, P.22.</w:t>
      </w:r>
    </w:p>
  </w:footnote>
  <w:footnote w:id="332">
    <w:p>
      <w:pPr>
        <w:pStyle w:val="FootnoteText"/>
        <w:bidi w:val="1"/>
        <w:jc w:val="both"/>
      </w:pPr>
      <w:r>
        <w:rPr>
          <w:rStyle w:val="FootnoteReference"/>
          <w:rtl w:val="1"/>
        </w:rPr>
        <w:footnoteRef/>
      </w:r>
      <w:r>
        <w:rPr>
          <w:rFonts w:ascii="Times New Roman" w:hAnsi="Times New Roman" w:cs="B Nazanin"/>
          <w:sz w:val="22"/>
          <w:szCs w:val="22"/>
          <w:rtl w:val="1"/>
        </w:rPr>
        <w:t xml:space="preserve"> WIPO Treaty on Intellectual Property, Genetic Resources and Associated Traditional Knowledge, Adopted at Geneva on May 24, 2024</w:t>
      </w:r>
    </w:p>
  </w:footnote>
  <w:footnote w:id="333">
    <w:p>
      <w:pPr>
        <w:pStyle w:val="FootnoteText"/>
        <w:bidi w:val="1"/>
        <w:jc w:val="both"/>
      </w:pPr>
      <w:r>
        <w:rPr>
          <w:rStyle w:val="FootnoteReference"/>
          <w:rtl w:val="1"/>
        </w:rPr>
        <w:footnoteRef/>
      </w:r>
      <w:r>
        <w:rPr>
          <w:rFonts w:ascii="Times New Roman" w:hAnsi="Times New Roman" w:cs="B Nazanin"/>
          <w:sz w:val="22"/>
          <w:szCs w:val="22"/>
          <w:rtl w:val="1"/>
        </w:rPr>
        <w:t xml:space="preserve"> A/HRC/31/52, Report of the Special Rapporteur on the issue of human rights obligations relating to the enjoyment of a safe, clean, healthy and sustainable environment,1 February 2016, para 9.</w:t>
      </w:r>
    </w:p>
  </w:footnote>
  <w:footnote w:id="334">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۷۵.</w:t>
      </w:r>
    </w:p>
  </w:footnote>
  <w:footnote w:id="335">
    <w:p>
      <w:pPr>
        <w:pStyle w:val="FootnoteText"/>
        <w:bidi w:val="1"/>
        <w:jc w:val="both"/>
      </w:pPr>
      <w:r>
        <w:rPr>
          <w:rStyle w:val="FootnoteReference"/>
          <w:rtl w:val="1"/>
        </w:rPr>
        <w:footnoteRef/>
      </w:r>
      <w:r>
        <w:rPr>
          <w:rFonts w:ascii="Times New Roman" w:hAnsi="Times New Roman" w:cs="B Nazanin"/>
          <w:sz w:val="22"/>
          <w:szCs w:val="22"/>
          <w:rtl w:val="1"/>
        </w:rPr>
        <w:t xml:space="preserve"> CRC/C/GC/26, General comment No. 26 (2023) on children’s rights and the environment, with a special focus on climate change, 22 August 2023, para 9.</w:t>
      </w:r>
    </w:p>
  </w:footnote>
  <w:footnote w:id="336">
    <w:p>
      <w:pPr>
        <w:pStyle w:val="FootnoteText"/>
        <w:bidi w:val="1"/>
        <w:jc w:val="both"/>
      </w:pPr>
      <w:r>
        <w:rPr>
          <w:rStyle w:val="FootnoteReference"/>
          <w:rtl w:val="1"/>
        </w:rPr>
        <w:footnoteRef/>
      </w:r>
      <w:r>
        <w:rPr>
          <w:rFonts w:ascii="Times New Roman" w:hAnsi="Times New Roman" w:cs="B Nazanin"/>
          <w:sz w:val="22"/>
          <w:szCs w:val="22"/>
          <w:rtl w:val="1"/>
        </w:rPr>
        <w:t xml:space="preserve"> Hélène Tigroudja, fROM THE “GREEN TURN” TO THE RECOGNITION OF AN AUTONOMOUS RIGHT TO A HEALTHY ENVIRONMENT: ACHIEVEMENTS AND CHALLENGES IN THE PRACTICE OF UN TREATY BODIES, AJIL Unbound, Volume 117, 2023, pp. 179 – 183, p.179.</w:t>
      </w:r>
    </w:p>
  </w:footnote>
  <w:footnote w:id="337">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۷۵.</w:t>
      </w:r>
    </w:p>
  </w:footnote>
  <w:footnote w:id="338">
    <w:p>
      <w:pPr>
        <w:pStyle w:val="FootnoteText"/>
        <w:bidi w:val="1"/>
        <w:jc w:val="both"/>
      </w:pPr>
      <w:r>
        <w:rPr>
          <w:rStyle w:val="FootnoteReference"/>
          <w:rtl w:val="1"/>
        </w:rPr>
        <w:footnoteRef/>
      </w:r>
      <w:r>
        <w:rPr>
          <w:rFonts w:ascii="Times New Roman" w:hAnsi="Times New Roman" w:cs="B Nazanin"/>
          <w:sz w:val="22"/>
          <w:szCs w:val="22"/>
          <w:rtl w:val="1"/>
        </w:rPr>
        <w:t xml:space="preserve"> African Charter on Human and Peoples' Rights (Banjul Charter) adopted June 27, 1981, article 24</w:t>
      </w:r>
    </w:p>
  </w:footnote>
  <w:footnote w:id="339">
    <w:p>
      <w:pPr>
        <w:pStyle w:val="FootnoteText"/>
        <w:bidi w:val="1"/>
        <w:jc w:val="both"/>
      </w:pPr>
      <w:r>
        <w:rPr>
          <w:rStyle w:val="FootnoteReference"/>
          <w:rtl w:val="1"/>
        </w:rPr>
        <w:footnoteRef/>
      </w:r>
      <w:r>
        <w:rPr>
          <w:rFonts w:ascii="Times New Roman" w:hAnsi="Times New Roman" w:cs="B Nazanin"/>
          <w:sz w:val="22"/>
          <w:szCs w:val="22"/>
          <w:rtl w:val="1"/>
        </w:rPr>
        <w:t xml:space="preserve"> PROTOCOL OF SAN SALVADOR, ADDITIONAL PROTOCOL TO THE AMERICAN CONVENTION ON HUMAN RIGHTS IN THE AREA OF ECONOMIC, SOCIAL AND CULTURAL RIGHTS, adopted November 17, 1988, Article 11 and Regional Agreement on Access to Information, Public Participation and Justice in Environmental Matters in Latin America and the Caribbean, known as Escazú Agreement, 4 March 2018, article 4(1).</w:t>
      </w:r>
    </w:p>
  </w:footnote>
  <w:footnote w:id="340">
    <w:p>
      <w:pPr>
        <w:pStyle w:val="FootnoteText"/>
        <w:bidi w:val="1"/>
        <w:jc w:val="both"/>
      </w:pPr>
      <w:r>
        <w:rPr>
          <w:rStyle w:val="FootnoteReference"/>
          <w:rtl w:val="1"/>
        </w:rPr>
        <w:footnoteRef/>
      </w:r>
      <w:r>
        <w:rPr>
          <w:rFonts w:ascii="Times New Roman" w:hAnsi="Times New Roman" w:cs="B Nazanin"/>
          <w:sz w:val="22"/>
          <w:szCs w:val="22"/>
          <w:rtl w:val="1"/>
        </w:rPr>
        <w:t xml:space="preserve"> Morne van der Linde and Lirette Louw, "The right to a satisfactory environment and the African Commission", African Human Rights Law Journal, Vol. 3, 2003, p. 175.</w:t>
      </w:r>
    </w:p>
  </w:footnote>
  <w:footnote w:id="341">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۷۵.</w:t>
      </w:r>
    </w:p>
  </w:footnote>
  <w:footnote w:id="342">
    <w:p>
      <w:pPr>
        <w:pStyle w:val="FootnoteText"/>
        <w:bidi w:val="1"/>
        <w:jc w:val="both"/>
      </w:pPr>
      <w:r>
        <w:rPr>
          <w:rStyle w:val="FootnoteReference"/>
          <w:rtl w:val="1"/>
        </w:rPr>
        <w:footnoteRef/>
      </w:r>
      <w:r>
        <w:rPr>
          <w:rFonts w:ascii="Times New Roman" w:hAnsi="Times New Roman" w:cs="B Nazanin"/>
          <w:sz w:val="22"/>
          <w:szCs w:val="22"/>
          <w:rtl w:val="1"/>
        </w:rPr>
        <w:t xml:space="preserve"> concluding observations</w:t>
      </w:r>
    </w:p>
  </w:footnote>
  <w:footnote w:id="343">
    <w:p>
      <w:pPr>
        <w:pStyle w:val="FootnoteText"/>
        <w:bidi w:val="1"/>
        <w:jc w:val="both"/>
      </w:pPr>
      <w:r>
        <w:rPr>
          <w:rStyle w:val="FootnoteReference"/>
          <w:rtl w:val="1"/>
        </w:rPr>
        <w:footnoteRef/>
      </w:r>
      <w:r>
        <w:rPr>
          <w:rFonts w:ascii="Times New Roman" w:hAnsi="Times New Roman" w:cs="B Nazanin"/>
          <w:sz w:val="22"/>
          <w:szCs w:val="22"/>
          <w:rtl w:val="1"/>
        </w:rPr>
        <w:t xml:space="preserve"> Sumudu Atapattu, UN Human Rights Institutions and the Environment Synergies, Challenges, Trajectories, Routledge Explorations in Environmental Studies,2023, p.18.</w:t>
      </w:r>
    </w:p>
  </w:footnote>
  <w:footnote w:id="344">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human rights to safe drinking water and sanitation</w:t>
      </w:r>
    </w:p>
  </w:footnote>
  <w:footnote w:id="345">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human right to a clean, healthy and sustainable environment</w:t>
      </w:r>
    </w:p>
  </w:footnote>
  <w:footnote w:id="346">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promotion and protection of human rights in the context of climate change</w:t>
      </w:r>
    </w:p>
  </w:footnote>
  <w:footnote w:id="347">
    <w:p>
      <w:pPr>
        <w:pStyle w:val="FootnoteText"/>
        <w:bidi w:val="1"/>
        <w:jc w:val="both"/>
      </w:pPr>
      <w:r>
        <w:rPr>
          <w:rStyle w:val="FootnoteReference"/>
          <w:rtl w:val="1"/>
        </w:rPr>
        <w:footnoteRef/>
      </w:r>
      <w:r>
        <w:rPr>
          <w:rFonts w:ascii="Times New Roman" w:hAnsi="Times New Roman" w:cs="B Nazanin"/>
          <w:sz w:val="22"/>
          <w:szCs w:val="22"/>
          <w:rtl w:val="1"/>
        </w:rPr>
        <w:t xml:space="preserve"> A/HRC/RES/48/13, The human right to a clean, healthy and sustainable environment, 18 October 2021, OP 1.</w:t>
      </w:r>
    </w:p>
  </w:footnote>
  <w:footnote w:id="348">
    <w:p>
      <w:pPr>
        <w:pStyle w:val="FootnoteText"/>
        <w:bidi w:val="1"/>
        <w:jc w:val="both"/>
      </w:pPr>
      <w:r>
        <w:rPr>
          <w:rStyle w:val="FootnoteReference"/>
          <w:rtl w:val="1"/>
        </w:rPr>
        <w:footnoteRef/>
      </w:r>
      <w:r>
        <w:rPr>
          <w:rFonts w:ascii="Times New Roman" w:hAnsi="Times New Roman" w:cs="B Nazanin"/>
          <w:sz w:val="22"/>
          <w:szCs w:val="22"/>
          <w:rtl w:val="1"/>
        </w:rPr>
        <w:t xml:space="preserve"> A/RES/76/300, The human right to a clean, healthy and sustainable environment, 1 August 2022, OP 1.</w:t>
      </w:r>
    </w:p>
  </w:footnote>
  <w:footnote w:id="349">
    <w:p>
      <w:pPr>
        <w:pStyle w:val="FootnoteText"/>
        <w:bidi w:val="1"/>
        <w:jc w:val="both"/>
      </w:pPr>
      <w:r>
        <w:rPr>
          <w:rStyle w:val="FootnoteReference"/>
          <w:rtl w:val="1"/>
        </w:rPr>
        <w:footnoteRef/>
      </w:r>
      <w:r>
        <w:rPr>
          <w:rFonts w:ascii="Times New Roman" w:hAnsi="Times New Roman" w:cs="B Nazanin"/>
          <w:sz w:val="22"/>
          <w:szCs w:val="22"/>
          <w:rtl w:val="1"/>
        </w:rPr>
        <w:t xml:space="preserve"> Maria Antonia Tigre and Natalia Urzola, the 2017 Inter-American Court's Advisory Opinion: changing the paradigm for international environmental law in the Anthropocene, Journal of Human Rights and the Environment,2021, vol. 12, issue 1, pp. 24-50, p.24.</w:t>
      </w:r>
    </w:p>
  </w:footnote>
  <w:footnote w:id="350">
    <w:p>
      <w:pPr>
        <w:pStyle w:val="FootnoteText"/>
        <w:bidi w:val="1"/>
        <w:jc w:val="both"/>
      </w:pPr>
      <w:r>
        <w:rPr>
          <w:rStyle w:val="FootnoteReference"/>
          <w:rtl w:val="1"/>
        </w:rPr>
        <w:footnoteRef/>
      </w:r>
      <w:r>
        <w:rPr>
          <w:rFonts w:ascii="Times New Roman" w:hAnsi="Times New Roman" w:cs="B Nazanin"/>
          <w:sz w:val="22"/>
          <w:szCs w:val="22"/>
          <w:rtl w:val="1"/>
        </w:rPr>
        <w:t xml:space="preserve"> Jus Cogens</w:t>
      </w:r>
    </w:p>
  </w:footnote>
  <w:footnote w:id="351">
    <w:p>
      <w:pPr>
        <w:pStyle w:val="FootnoteText"/>
        <w:bidi w:val="1"/>
        <w:jc w:val="both"/>
      </w:pPr>
      <w:r>
        <w:rPr>
          <w:rStyle w:val="FootnoteReference"/>
          <w:rtl w:val="1"/>
        </w:rPr>
        <w:footnoteRef/>
      </w:r>
      <w:r>
        <w:rPr>
          <w:rFonts w:ascii="Times New Roman" w:hAnsi="Times New Roman" w:cs="B Nazanin"/>
          <w:sz w:val="22"/>
          <w:szCs w:val="22"/>
          <w:rtl w:val="1"/>
        </w:rPr>
        <w:t xml:space="preserve"> inter-American Court of Human Rights, Advisory Opinion AO-32/25 of May 29, 2025: Climate Emergency and Human Rights*, paras. 287-294.</w:t>
      </w:r>
    </w:p>
  </w:footnote>
  <w:footnote w:id="352">
    <w:p>
      <w:pPr>
        <w:pStyle w:val="FootnoteText"/>
        <w:bidi w:val="1"/>
        <w:jc w:val="both"/>
      </w:pPr>
      <w:r>
        <w:rPr>
          <w:rStyle w:val="FootnoteReference"/>
          <w:rtl w:val="1"/>
        </w:rPr>
        <w:footnoteRef/>
      </w:r>
      <w:r>
        <w:rPr>
          <w:rFonts w:ascii="Times New Roman" w:hAnsi="Times New Roman" w:cs="B Nazanin"/>
          <w:sz w:val="22"/>
          <w:szCs w:val="22"/>
          <w:rtl w:val="1"/>
        </w:rPr>
        <w:t xml:space="preserve"> Erga Omnes</w:t>
      </w:r>
    </w:p>
  </w:footnote>
  <w:footnote w:id="353">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COURT OF JUSTICE, ADVISORY OPINION on obligations of States in respect of climate change, 23 JULY 2025, p. 6.</w:t>
      </w:r>
    </w:p>
  </w:footnote>
  <w:footnote w:id="354">
    <w:p>
      <w:pPr>
        <w:pStyle w:val="FootnoteText"/>
        <w:bidi w:val="1"/>
        <w:jc w:val="both"/>
      </w:pPr>
      <w:r>
        <w:rPr>
          <w:rStyle w:val="FootnoteReference"/>
          <w:rtl w:val="1"/>
        </w:rPr>
        <w:footnoteRef/>
      </w:r>
      <w:r>
        <w:rPr>
          <w:rFonts w:ascii="Times New Roman" w:hAnsi="Times New Roman" w:cs="B Nazanin"/>
          <w:sz w:val="22"/>
          <w:szCs w:val="22"/>
          <w:rtl w:val="1"/>
        </w:rPr>
        <w:t xml:space="preserve"> practice-based approach</w:t>
      </w:r>
    </w:p>
  </w:footnote>
  <w:footnote w:id="355">
    <w:p>
      <w:pPr>
        <w:pStyle w:val="FootnoteText"/>
        <w:bidi w:val="1"/>
        <w:jc w:val="both"/>
      </w:pPr>
      <w:r>
        <w:rPr>
          <w:rStyle w:val="FootnoteReference"/>
          <w:rtl w:val="1"/>
        </w:rPr>
        <w:footnoteRef/>
      </w:r>
      <w:r>
        <w:rPr>
          <w:rFonts w:ascii="Times New Roman" w:hAnsi="Times New Roman" w:cs="B Nazanin"/>
          <w:sz w:val="22"/>
          <w:szCs w:val="22"/>
          <w:rtl w:val="1"/>
        </w:rPr>
        <w:t xml:space="preserve"> Ezgi Yildiz, Enduring Practices in Changing Circumstances: A Comparison of the European Court of Human Rights and the Inter-American Court of Human Rights, November 2020, Temple International and Comparative Law Journal 34(2):309-338, p. 335.</w:t>
      </w:r>
    </w:p>
  </w:footnote>
  <w:footnote w:id="356">
    <w:p>
      <w:pPr>
        <w:pStyle w:val="FootnoteText"/>
        <w:bidi w:val="1"/>
        <w:jc w:val="both"/>
      </w:pPr>
      <w:r>
        <w:rPr>
          <w:rStyle w:val="FootnoteReference"/>
          <w:rtl w:val="1"/>
        </w:rPr>
        <w:footnoteRef/>
      </w:r>
      <w:r>
        <w:rPr>
          <w:rFonts w:ascii="Times New Roman" w:hAnsi="Times New Roman" w:cs="B Nazanin"/>
          <w:sz w:val="22"/>
          <w:szCs w:val="22"/>
          <w:rtl w:val="1"/>
        </w:rPr>
        <w:t xml:space="preserve"> هنجارهای مذاکره‌نشده، به قواعدی گفته می‌شود که توسط مراجع قضایی بین‌المللی (مانند دیوان بین‌المللی دادگستری) یا ارکان معاهدهای (مانند کمیته حقوق کودک سازمان ملل) شناسایی، تفسیر و حتی «خلق» می‌شوند، بدون اینکه دولت‌ها مستقیماً در شکلگیری آن‌ها مشارکت داشته باشند</w:t>
      </w:r>
    </w:p>
  </w:footnote>
  <w:footnote w:id="357">
    <w:p>
      <w:pPr>
        <w:pStyle w:val="FootnoteText"/>
        <w:bidi w:val="1"/>
        <w:jc w:val="both"/>
      </w:pPr>
      <w:r>
        <w:rPr>
          <w:rStyle w:val="FootnoteReference"/>
          <w:rtl w:val="1"/>
        </w:rPr>
        <w:footnoteRef/>
      </w:r>
      <w:r>
        <w:rPr>
          <w:rFonts w:ascii="Times New Roman" w:hAnsi="Times New Roman" w:cs="B Nazanin"/>
          <w:sz w:val="22"/>
          <w:szCs w:val="22"/>
          <w:rtl w:val="1"/>
        </w:rPr>
        <w:t xml:space="preserve"> treaty congestion and fragmentation</w:t>
      </w:r>
    </w:p>
  </w:footnote>
  <w:footnote w:id="358">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Vol. 12, 2011, 3-6</w:t>
      </w:r>
    </w:p>
  </w:footnote>
  <w:footnote w:id="359">
    <w:p>
      <w:pPr>
        <w:pStyle w:val="FootnoteText"/>
        <w:bidi w:val="1"/>
        <w:jc w:val="both"/>
      </w:pPr>
      <w:r>
        <w:rPr>
          <w:rStyle w:val="FootnoteReference"/>
          <w:rtl w:val="1"/>
        </w:rPr>
        <w:footnoteRef/>
      </w:r>
      <w:r>
        <w:rPr>
          <w:rFonts w:ascii="Times New Roman" w:hAnsi="Times New Roman" w:cs="B Nazanin"/>
          <w:sz w:val="22"/>
          <w:szCs w:val="22"/>
          <w:rtl w:val="1"/>
        </w:rPr>
        <w:t xml:space="preserve"> Ibid, p.6</w:t>
      </w:r>
    </w:p>
  </w:footnote>
  <w:footnote w:id="360">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۷۹.</w:t>
      </w:r>
    </w:p>
  </w:footnote>
  <w:footnote w:id="361">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 Fragmentation</w:t>
      </w:r>
    </w:p>
  </w:footnote>
  <w:footnote w:id="362">
    <w:p>
      <w:pPr>
        <w:pStyle w:val="FootnoteText"/>
        <w:bidi w:val="1"/>
        <w:jc w:val="both"/>
      </w:pPr>
      <w:r>
        <w:rPr>
          <w:rStyle w:val="FootnoteReference"/>
          <w:rtl w:val="1"/>
        </w:rPr>
        <w:footnoteRef/>
      </w:r>
      <w:r>
        <w:rPr>
          <w:rFonts w:ascii="Times New Roman" w:hAnsi="Times New Roman" w:cs="B Nazanin"/>
          <w:sz w:val="22"/>
          <w:szCs w:val="22"/>
          <w:rtl w:val="1"/>
        </w:rPr>
        <w:t xml:space="preserve"> Accountability</w:t>
      </w:r>
    </w:p>
  </w:footnote>
  <w:footnote w:id="36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۸۰.</w:t>
      </w:r>
    </w:p>
  </w:footnote>
  <w:footnote w:id="364">
    <w:p>
      <w:pPr>
        <w:pStyle w:val="FootnoteText"/>
        <w:bidi w:val="1"/>
        <w:jc w:val="both"/>
      </w:pPr>
      <w:r>
        <w:rPr>
          <w:rStyle w:val="FootnoteReference"/>
          <w:rtl w:val="1"/>
        </w:rPr>
        <w:footnoteRef/>
      </w:r>
      <w:r>
        <w:rPr>
          <w:rFonts w:ascii="Times New Roman" w:hAnsi="Times New Roman" w:cs="B Nazanin"/>
          <w:sz w:val="22"/>
          <w:szCs w:val="22"/>
          <w:rtl w:val="1"/>
        </w:rPr>
        <w:t xml:space="preserve"> unep</w:t>
      </w:r>
    </w:p>
  </w:footnote>
  <w:footnote w:id="365">
    <w:p>
      <w:pPr>
        <w:pStyle w:val="FootnoteText"/>
        <w:bidi w:val="1"/>
        <w:jc w:val="both"/>
      </w:pPr>
      <w:r>
        <w:rPr>
          <w:rStyle w:val="FootnoteReference"/>
          <w:rtl w:val="1"/>
        </w:rPr>
        <w:footnoteRef/>
      </w:r>
      <w:r>
        <w:rPr>
          <w:rFonts w:ascii="Times New Roman" w:hAnsi="Times New Roman" w:cs="B Nazanin"/>
          <w:sz w:val="22"/>
          <w:szCs w:val="22"/>
          <w:rtl w:val="1"/>
        </w:rPr>
        <w:t xml:space="preserve"> the leading global environmental authority, the authoritative advocate for the global environment</w:t>
      </w:r>
    </w:p>
  </w:footnote>
  <w:footnote w:id="366">
    <w:p>
      <w:pPr>
        <w:pStyle w:val="FootnoteText"/>
        <w:bidi w:val="1"/>
        <w:jc w:val="both"/>
      </w:pPr>
      <w:r>
        <w:rPr>
          <w:rStyle w:val="FootnoteReference"/>
          <w:rtl w:val="1"/>
        </w:rPr>
        <w:footnoteRef/>
      </w:r>
      <w:r>
        <w:rPr>
          <w:rFonts w:ascii="Times New Roman" w:hAnsi="Times New Roman" w:cs="B Nazanin"/>
          <w:sz w:val="22"/>
          <w:szCs w:val="22"/>
          <w:rtl w:val="1"/>
        </w:rPr>
        <w:t xml:space="preserve"> بسیاری از نهادهای دیگر سیستم سازمان ملل متحد از زمان تأسیس UNEP مسئولیت‌های زیست محیطی قابل توجهی را به دست آورده اند. اینها شامل برنامه‌ها و صندوق‌های سازمان ملل متحد مانند برنامه توسعه سازمان ملل متحد و برنامه اسکان بشر سازمان ملل متحد (UN-Habitat) و همچنین آژانس‌های تخصصی مانند FAO، IMO، IAEA، ICAO و ILO است. علاوه بر این، بانک جهانی و بانک‌های توسعه منطقه‌ای موارد پورتفولیوهای محیط زیستی قابل توجهی را ایجاد کرده‌اند. بند 78 گزارش دبیرکل</w:t>
      </w:r>
    </w:p>
  </w:footnote>
  <w:footnote w:id="367">
    <w:p>
      <w:pPr>
        <w:pStyle w:val="FootnoteText"/>
        <w:bidi w:val="1"/>
        <w:jc w:val="both"/>
      </w:pPr>
      <w:r>
        <w:rPr>
          <w:rStyle w:val="FootnoteReference"/>
          <w:rtl w:val="1"/>
        </w:rPr>
        <w:footnoteRef/>
      </w:r>
      <w:r>
        <w:rPr>
          <w:rFonts w:ascii="Times New Roman" w:hAnsi="Times New Roman" w:cs="B Nazanin"/>
          <w:sz w:val="22"/>
          <w:szCs w:val="22"/>
          <w:rtl w:val="1"/>
        </w:rPr>
        <w:t xml:space="preserve"> UNEA</w:t>
      </w:r>
    </w:p>
  </w:footnote>
  <w:footnote w:id="368">
    <w:p>
      <w:pPr>
        <w:pStyle w:val="FootnoteText"/>
        <w:bidi w:val="1"/>
        <w:jc w:val="both"/>
      </w:pPr>
      <w:r>
        <w:rPr>
          <w:rStyle w:val="FootnoteReference"/>
          <w:rtl w:val="1"/>
        </w:rPr>
        <w:footnoteRef/>
      </w:r>
      <w:r>
        <w:rPr>
          <w:rFonts w:ascii="Times New Roman" w:hAnsi="Times New Roman" w:cs="B Nazanin"/>
          <w:sz w:val="22"/>
          <w:szCs w:val="22"/>
          <w:rtl w:val="1"/>
        </w:rPr>
        <w:t xml:space="preserve"> the Environment Management Group</w:t>
      </w:r>
    </w:p>
  </w:footnote>
  <w:footnote w:id="369">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System Chief Executives Board for Coordination</w:t>
      </w:r>
    </w:p>
  </w:footnote>
  <w:footnote w:id="370">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۸۱.</w:t>
      </w:r>
    </w:p>
  </w:footnote>
  <w:footnote w:id="371">
    <w:p>
      <w:pPr>
        <w:pStyle w:val="FootnoteText"/>
        <w:bidi w:val="1"/>
        <w:jc w:val="both"/>
      </w:pPr>
      <w:r>
        <w:rPr>
          <w:rStyle w:val="FootnoteReference"/>
          <w:rtl w:val="1"/>
        </w:rPr>
        <w:footnoteRef/>
      </w:r>
      <w:r>
        <w:rPr>
          <w:rFonts w:ascii="Times New Roman" w:hAnsi="Times New Roman" w:cs="B Nazanin"/>
          <w:sz w:val="22"/>
          <w:szCs w:val="22"/>
          <w:rtl w:val="1"/>
        </w:rPr>
        <w:t xml:space="preserve"> super agency</w:t>
      </w:r>
    </w:p>
  </w:footnote>
  <w:footnote w:id="372">
    <w:p>
      <w:pPr>
        <w:pStyle w:val="FootnoteText"/>
        <w:bidi w:val="1"/>
        <w:jc w:val="both"/>
      </w:pPr>
      <w:r>
        <w:rPr>
          <w:rStyle w:val="FootnoteReference"/>
          <w:rtl w:val="1"/>
        </w:rPr>
        <w:footnoteRef/>
      </w:r>
      <w:r>
        <w:rPr>
          <w:rFonts w:ascii="Times New Roman" w:hAnsi="Times New Roman" w:cs="B Nazanin"/>
          <w:sz w:val="22"/>
          <w:szCs w:val="22"/>
          <w:rtl w:val="1"/>
        </w:rPr>
        <w:t xml:space="preserve"> Maria Ivanova, International Environmental Governance Reform: Options and Implications, Chatham House, 2007, p.4</w:t>
      </w:r>
    </w:p>
  </w:footnote>
  <w:footnote w:id="373">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۸۳.</w:t>
      </w:r>
    </w:p>
  </w:footnote>
  <w:footnote w:id="374">
    <w:p>
      <w:pPr>
        <w:pStyle w:val="FootnoteText"/>
        <w:bidi w:val="1"/>
        <w:jc w:val="both"/>
      </w:pPr>
      <w:r>
        <w:rPr>
          <w:rStyle w:val="FootnoteReference"/>
          <w:rtl w:val="1"/>
        </w:rPr>
        <w:footnoteRef/>
      </w:r>
      <w:r>
        <w:rPr>
          <w:rFonts w:ascii="Times New Roman" w:hAnsi="Times New Roman" w:cs="B Nazanin"/>
          <w:sz w:val="22"/>
          <w:szCs w:val="22"/>
          <w:rtl w:val="1"/>
        </w:rPr>
        <w:t xml:space="preserve"> observer</w:t>
      </w:r>
    </w:p>
  </w:footnote>
  <w:footnote w:id="375">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و اسناد مرتبط با محیط زیست: به‌سوی یک پیمان جهانی برای محیط زیست»، سند A/73/419، مجمع عمومی، ۳۰ نوامبر ۲۰۱۸، بند ۸۴.</w:t>
      </w:r>
    </w:p>
  </w:footnote>
  <w:footnote w:id="376">
    <w:p>
      <w:pPr>
        <w:pStyle w:val="FootnoteText"/>
        <w:bidi w:val="1"/>
        <w:jc w:val="both"/>
      </w:pPr>
      <w:r>
        <w:rPr>
          <w:rStyle w:val="FootnoteReference"/>
          <w:rtl w:val="1"/>
        </w:rPr>
        <w:footnoteRef/>
      </w:r>
      <w:r>
        <w:rPr>
          <w:rFonts w:ascii="Times New Roman" w:hAnsi="Times New Roman" w:cs="B Nazanin"/>
          <w:sz w:val="22"/>
          <w:szCs w:val="22"/>
          <w:rtl w:val="1"/>
        </w:rPr>
        <w:t xml:space="preserve"> the High-level Panel on United Nations System-wide Coherence in the Areas of Development, Humanitarian Assistance and the Environment</w:t>
      </w:r>
    </w:p>
  </w:footnote>
  <w:footnote w:id="377">
    <w:p>
      <w:pPr>
        <w:pStyle w:val="FootnoteText"/>
        <w:bidi w:val="1"/>
        <w:jc w:val="both"/>
      </w:pPr>
      <w:r>
        <w:rPr>
          <w:rStyle w:val="FootnoteReference"/>
          <w:rtl w:val="1"/>
        </w:rPr>
        <w:footnoteRef/>
      </w:r>
      <w:r>
        <w:rPr>
          <w:rFonts w:ascii="Times New Roman" w:hAnsi="Times New Roman" w:cs="B Nazanin"/>
          <w:sz w:val="22"/>
          <w:szCs w:val="22"/>
          <w:rtl w:val="1"/>
        </w:rPr>
        <w:t xml:space="preserve"> A/61/583, para. 35</w:t>
      </w:r>
    </w:p>
  </w:footnote>
  <w:footnote w:id="378">
    <w:p>
      <w:pPr>
        <w:pStyle w:val="FootnoteText"/>
        <w:bidi w:val="1"/>
        <w:jc w:val="both"/>
      </w:pPr>
      <w:r>
        <w:rPr>
          <w:rStyle w:val="FootnoteReference"/>
          <w:rtl w:val="1"/>
        </w:rPr>
        <w:footnoteRef/>
      </w:r>
      <w:r>
        <w:rPr>
          <w:rFonts w:ascii="Times New Roman" w:hAnsi="Times New Roman" w:cs="B Nazanin"/>
          <w:sz w:val="22"/>
          <w:szCs w:val="22"/>
          <w:rtl w:val="1"/>
        </w:rPr>
        <w:t xml:space="preserve"> the Environment Management Group</w:t>
      </w:r>
    </w:p>
  </w:footnote>
  <w:footnote w:id="379">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System Chief Executives Board for Coordination</w:t>
      </w:r>
    </w:p>
  </w:footnote>
  <w:footnote w:id="380">
    <w:p>
      <w:pPr>
        <w:pStyle w:val="FootnoteText"/>
        <w:bidi w:val="1"/>
        <w:jc w:val="both"/>
      </w:pPr>
      <w:r>
        <w:rPr>
          <w:rStyle w:val="FootnoteReference"/>
          <w:rtl w:val="1"/>
        </w:rPr>
        <w:footnoteRef/>
      </w:r>
      <w:r>
        <w:rPr>
          <w:rFonts w:ascii="Times New Roman" w:hAnsi="Times New Roman" w:cs="B Nazanin"/>
          <w:sz w:val="22"/>
          <w:szCs w:val="22"/>
          <w:rtl w:val="1"/>
        </w:rPr>
        <w:t xml:space="preserve"> clustring</w:t>
      </w:r>
    </w:p>
  </w:footnote>
  <w:footnote w:id="381">
    <w:p>
      <w:pPr>
        <w:pStyle w:val="FootnoteText"/>
        <w:bidi w:val="1"/>
        <w:jc w:val="both"/>
      </w:pPr>
      <w:r>
        <w:rPr>
          <w:rStyle w:val="FootnoteReference"/>
          <w:rtl w:val="1"/>
        </w:rPr>
        <w:footnoteRef/>
      </w:r>
      <w:r>
        <w:rPr>
          <w:rFonts w:ascii="Times New Roman" w:hAnsi="Times New Roman" w:cs="B Nazanin"/>
          <w:sz w:val="22"/>
          <w:szCs w:val="22"/>
          <w:rtl w:val="1"/>
        </w:rPr>
        <w:t xml:space="preserve"> synergies process</w:t>
      </w:r>
    </w:p>
  </w:footnote>
  <w:footnote w:id="382">
    <w:p>
      <w:pPr>
        <w:pStyle w:val="FootnoteText"/>
        <w:bidi w:val="1"/>
        <w:jc w:val="both"/>
      </w:pPr>
      <w:r>
        <w:rPr>
          <w:rStyle w:val="FootnoteReference"/>
          <w:rtl w:val="1"/>
        </w:rPr>
        <w:footnoteRef/>
      </w:r>
      <w:r>
        <w:rPr>
          <w:rFonts w:ascii="Times New Roman" w:hAnsi="Times New Roman" w:cs="B Nazanin"/>
          <w:sz w:val="22"/>
          <w:szCs w:val="22"/>
          <w:rtl w:val="1"/>
        </w:rPr>
        <w:t xml:space="preserve"> The Convention on Access to Information, Public Participation in Decision-Making and Access to Justice in Environmental Matters (the Aarhus Convention) of 1998</w:t>
      </w:r>
    </w:p>
  </w:footnote>
  <w:footnote w:id="383">
    <w:p>
      <w:pPr>
        <w:pStyle w:val="FootnoteText"/>
        <w:bidi w:val="1"/>
        <w:jc w:val="both"/>
      </w:pPr>
      <w:r>
        <w:rPr>
          <w:rStyle w:val="FootnoteReference"/>
          <w:rtl w:val="1"/>
        </w:rPr>
        <w:footnoteRef/>
      </w:r>
      <w:r>
        <w:rPr>
          <w:rFonts w:ascii="Times New Roman" w:hAnsi="Times New Roman" w:cs="B Nazanin"/>
          <w:sz w:val="22"/>
          <w:szCs w:val="22"/>
          <w:rtl w:val="1"/>
        </w:rPr>
        <w:t xml:space="preserve"> the Regional Agreement on Access to Information, Public Participation and Justice in Environmental Matters in Latin America and the Caribbean (the Escazú Agreement) of 2018</w:t>
      </w:r>
    </w:p>
  </w:footnote>
  <w:footnote w:id="384">
    <w:p>
      <w:pPr>
        <w:pStyle w:val="FootnoteText"/>
        <w:bidi w:val="1"/>
        <w:jc w:val="both"/>
      </w:pPr>
      <w:r>
        <w:rPr>
          <w:rStyle w:val="FootnoteReference"/>
          <w:rtl w:val="1"/>
        </w:rPr>
        <w:footnoteRef/>
      </w:r>
      <w:r>
        <w:rPr>
          <w:rFonts w:ascii="Times New Roman" w:hAnsi="Times New Roman" w:cs="B Nazanin"/>
          <w:sz w:val="22"/>
          <w:szCs w:val="22"/>
          <w:rtl w:val="1"/>
        </w:rPr>
        <w:t xml:space="preserve"> procedural rights</w:t>
      </w:r>
    </w:p>
  </w:footnote>
  <w:footnote w:id="385">
    <w:p>
      <w:pPr>
        <w:pStyle w:val="FootnoteText"/>
        <w:bidi w:val="1"/>
        <w:jc w:val="both"/>
      </w:pPr>
      <w:r>
        <w:rPr>
          <w:rStyle w:val="FootnoteReference"/>
          <w:rtl w:val="1"/>
        </w:rPr>
        <w:footnoteRef/>
      </w:r>
      <w:r>
        <w:rPr>
          <w:rFonts w:ascii="Times New Roman" w:hAnsi="Times New Roman" w:cs="B Nazanin"/>
          <w:sz w:val="22"/>
          <w:szCs w:val="22"/>
          <w:rtl w:val="1"/>
        </w:rPr>
        <w:t xml:space="preserve"> IPCC</w:t>
      </w:r>
    </w:p>
  </w:footnote>
  <w:footnote w:id="386">
    <w:p>
      <w:pPr>
        <w:pStyle w:val="FootnoteText"/>
        <w:bidi w:val="1"/>
        <w:jc w:val="both"/>
      </w:pPr>
      <w:r>
        <w:rPr>
          <w:rStyle w:val="FootnoteReference"/>
          <w:rtl w:val="1"/>
        </w:rPr>
        <w:footnoteRef/>
      </w:r>
      <w:r>
        <w:rPr>
          <w:rFonts w:ascii="Times New Roman" w:hAnsi="Times New Roman" w:cs="B Nazanin"/>
          <w:sz w:val="22"/>
          <w:szCs w:val="22"/>
          <w:rtl w:val="1"/>
        </w:rPr>
        <w:t xml:space="preserve"> OZONE</w:t>
      </w:r>
    </w:p>
  </w:footnote>
  <w:footnote w:id="387">
    <w:p>
      <w:pPr>
        <w:pStyle w:val="FootnoteText"/>
        <w:bidi w:val="1"/>
        <w:jc w:val="both"/>
      </w:pPr>
      <w:r>
        <w:rPr>
          <w:rStyle w:val="FootnoteReference"/>
          <w:rtl w:val="1"/>
        </w:rPr>
        <w:footnoteRef/>
      </w:r>
      <w:r>
        <w:rPr>
          <w:rFonts w:ascii="Times New Roman" w:hAnsi="Times New Roman" w:cs="B Nazanin"/>
          <w:sz w:val="22"/>
          <w:szCs w:val="22"/>
          <w:rtl w:val="1"/>
        </w:rPr>
        <w:t xml:space="preserve"> UNEP, Gaps in International Environmental Law and Environment-related Instruments: Towards a Global Pact for the Environment, Report of the Secretary-General, A/73/419, 2018.</w:t>
      </w:r>
    </w:p>
  </w:footnote>
  <w:footnote w:id="388">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(eds.), A Global Pact for the Environment: Legal Foundations, C-EENRG, 2019; ILC 2006 Conclusions, systemic integration.</w:t>
      </w:r>
    </w:p>
  </w:footnote>
  <w:footnote w:id="389">
    <w:p>
      <w:pPr>
        <w:pStyle w:val="FootnoteText"/>
        <w:bidi w:val="1"/>
        <w:jc w:val="both"/>
      </w:pPr>
      <w:r>
        <w:rPr>
          <w:rStyle w:val="FootnoteReference"/>
          <w:rtl w:val="1"/>
        </w:rPr>
        <w:footnoteRef/>
      </w:r>
      <w:r>
        <w:rPr>
          <w:rFonts w:ascii="Times New Roman" w:hAnsi="Times New Roman" w:cs="B Nazanin"/>
          <w:sz w:val="22"/>
          <w:szCs w:val="22"/>
          <w:rtl w:val="1"/>
        </w:rPr>
        <w:t xml:space="preserve"> Tiller, D., Are the Aims of the Proposed Global Pact for the Environment Desirable...?, LLB(Hons), Victoria University of Wellington, 2018, on the precautionary and non-regression principles.</w:t>
      </w:r>
    </w:p>
  </w:footnote>
  <w:footnote w:id="390">
    <w:p>
      <w:pPr>
        <w:pStyle w:val="FootnoteText"/>
        <w:bidi w:val="1"/>
        <w:jc w:val="both"/>
      </w:pPr>
      <w:r>
        <w:rPr>
          <w:rStyle w:val="FootnoteReference"/>
          <w:rtl w:val="1"/>
        </w:rPr>
        <w:footnoteRef/>
      </w:r>
      <w:r>
        <w:rPr>
          <w:rFonts w:ascii="Times New Roman" w:hAnsi="Times New Roman" w:cs="B Nazanin"/>
          <w:sz w:val="22"/>
          <w:szCs w:val="22"/>
          <w:rtl w:val="1"/>
        </w:rPr>
        <w:t xml:space="preserve"> Tigre, M. A., 2022, ch. III (Environmental Rights as a Common Ground); UNGA Res. 76/300 (2022) on the human right to a clean, healthy and sustainable environment.</w:t>
      </w:r>
    </w:p>
  </w:footnote>
  <w:footnote w:id="391">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systemic integration (VCLT Art. 31(3)(c)); Aguila &amp; Viñuales 2019 on the umbrella-instrument function.</w:t>
      </w:r>
    </w:p>
  </w:footnote>
  <w:footnote w:id="392">
    <w:p>
      <w:pPr>
        <w:pStyle w:val="FootnoteText"/>
        <w:bidi w:val="1"/>
        <w:jc w:val="both"/>
      </w:pPr>
      <w:r>
        <w:rPr>
          <w:rStyle w:val="FootnoteReference"/>
          <w:rtl w:val="1"/>
        </w:rPr>
        <w:footnoteRef/>
      </w:r>
      <w:r>
        <w:rPr>
          <w:rFonts w:ascii="Times New Roman" w:hAnsi="Times New Roman" w:cs="B Nazanin"/>
          <w:sz w:val="22"/>
          <w:szCs w:val="22"/>
          <w:rtl w:val="1"/>
        </w:rPr>
        <w:t xml:space="preserve"> Draft Global Pact for the Environment (2017), arts. 1–26; Tiller 2018 on the weak compliance mechanism.</w:t>
      </w:r>
    </w:p>
  </w:footnote>
  <w:footnote w:id="393">
    <w:p>
      <w:pPr>
        <w:pStyle w:val="FootnoteText"/>
        <w:bidi w:val="1"/>
        <w:jc w:val="both"/>
      </w:pPr>
      <w:r>
        <w:rPr>
          <w:rStyle w:val="FootnoteReference"/>
          <w:rtl w:val="1"/>
        </w:rPr>
        <w:footnoteRef/>
      </w:r>
      <w:r>
        <w:rPr>
          <w:rFonts w:ascii="Times New Roman" w:hAnsi="Times New Roman" w:cs="B Nazanin"/>
          <w:sz w:val="22"/>
          <w:szCs w:val="22"/>
          <w:rtl w:val="1"/>
        </w:rPr>
        <w:t xml:space="preserve"> Tiller, D., 2018, Conclusion: the Pact strengthens general principles but does not fill specific regulatory gaps.</w:t>
      </w:r>
    </w:p>
  </w:footnote>
  <w:footnote w:id="394">
    <w:p>
      <w:pPr>
        <w:pStyle w:val="FootnoteText"/>
        <w:bidi w:val="1"/>
        <w:jc w:val="both"/>
      </w:pPr>
      <w:r>
        <w:rPr>
          <w:rStyle w:val="FootnoteReference"/>
          <w:rtl w:val="1"/>
        </w:rPr>
        <w:footnoteRef/>
      </w:r>
      <w:r>
        <w:rPr>
          <w:rFonts w:ascii="Times New Roman" w:hAnsi="Times New Roman" w:cs="B Nazanin"/>
          <w:sz w:val="22"/>
          <w:szCs w:val="22"/>
          <w:rtl w:val="1"/>
        </w:rPr>
        <w:t xml:space="preserve"> UNEP/SG Report A/73/419 (2018), gap typology; Chabason &amp; Hege 2019 on the sovereignty-driven resistance.</w:t>
      </w:r>
    </w:p>
  </w:footnote>
  <w:footnote w:id="395">
    <w:p>
      <w:pPr>
        <w:pStyle w:val="FootnoteText"/>
        <w:bidi w:val="1"/>
        <w:jc w:val="both"/>
      </w:pPr>
      <w:r>
        <w:rPr>
          <w:rStyle w:val="FootnoteReference"/>
          <w:rtl w:val="1"/>
        </w:rPr>
        <w:footnoteRef/>
      </w:r>
      <w:r>
        <w:rPr>
          <w:rFonts w:ascii="Times New Roman" w:hAnsi="Times New Roman" w:cs="B Nazanin"/>
          <w:sz w:val="22"/>
          <w:szCs w:val="22"/>
          <w:rtl w:val="1"/>
        </w:rPr>
        <w:t xml:space="preserve"> سازمان ملل متحد، گزارش دبیرکل، «خلأها در حقوق بین‌الملل محیط زیست…»، سند A/73/419، ۳۰ نوامبر ۲۰۱۸.</w:t>
      </w:r>
    </w:p>
  </w:footnote>
  <w:footnote w:id="396">
    <w:p>
      <w:pPr>
        <w:pStyle w:val="FootnoteText"/>
        <w:bidi w:val="1"/>
        <w:jc w:val="both"/>
      </w:pPr>
      <w:r>
        <w:rPr>
          <w:rStyle w:val="FootnoteReference"/>
          <w:rtl w:val="1"/>
        </w:rPr>
        <w:footnoteRef/>
      </w:r>
      <w:r>
        <w:rPr>
          <w:rFonts w:ascii="Times New Roman" w:hAnsi="Times New Roman" w:cs="B Nazanin"/>
          <w:sz w:val="22"/>
          <w:szCs w:val="22"/>
          <w:rtl w:val="1"/>
        </w:rPr>
        <w:t xml:space="preserve"> کنوانسیون وین دربارهٔ حقوق معاهدات، ۱۹۶۹، مادهٔ ۳۱(۳)(ج).</w:t>
      </w:r>
    </w:p>
  </w:footnote>
  <w:footnote w:id="397">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2006 (A/61/10, para. 251).</w:t>
      </w:r>
    </w:p>
  </w:footnote>
  <w:footnote w:id="398">
    <w:p>
      <w:pPr>
        <w:pStyle w:val="FootnoteText"/>
        <w:bidi w:val="1"/>
        <w:jc w:val="both"/>
      </w:pPr>
      <w:r>
        <w:rPr>
          <w:rStyle w:val="FootnoteReference"/>
          <w:rtl w:val="1"/>
        </w:rPr>
        <w:footnoteRef/>
      </w:r>
      <w:r>
        <w:rPr>
          <w:rFonts w:ascii="Times New Roman" w:hAnsi="Times New Roman" w:cs="B Nazanin"/>
          <w:sz w:val="22"/>
          <w:szCs w:val="22"/>
          <w:rtl w:val="1"/>
        </w:rPr>
        <w:t xml:space="preserve"> Damoah, B., Keengwe, J. S. &amp; Ofori, E., 'Stalemate in the Anthropocene: Ineffective Treaties and the Struggle for Planetary Governance', Preprints.org, 2026, doi:10.20944/preprints202603.2371.v1 (پیش‌چاپِ داوری‌نشده — با احتیاط استناد شده).</w:t>
      </w:r>
    </w:p>
  </w:footnote>
  <w:footnote w:id="399">
    <w:p>
      <w:pPr>
        <w:pStyle w:val="FootnoteText"/>
        <w:bidi w:val="1"/>
        <w:jc w:val="both"/>
      </w:pPr>
      <w:r>
        <w:rPr>
          <w:rStyle w:val="FootnoteReference"/>
          <w:rtl w:val="1"/>
        </w:rPr>
        <w:footnoteRef/>
      </w:r>
      <w:r>
        <w:rPr>
          <w:rFonts w:ascii="Times New Roman" w:hAnsi="Times New Roman" w:cs="B Nazanin"/>
          <w:sz w:val="22"/>
          <w:szCs w:val="22"/>
          <w:rtl w:val="1"/>
        </w:rPr>
        <w:t xml:space="preserve"> Tiller, D., 2018, on the absence of a binding enforcement mechanism in the draft Pact.</w:t>
      </w:r>
    </w:p>
  </w:footnote>
  <w:footnote w:id="400">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(31)–(42) on hierarchy in international law, jus cogens and Article 103 of the UN Charter.</w:t>
      </w:r>
    </w:p>
  </w:footnote>
  <w:footnote w:id="401">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'Failure of the Global Pact for the Environment: a missed opportunity or a bullet dodged?', IDDRI, 28 May 2019.</w:t>
      </w:r>
    </w:p>
  </w:footnote>
  <w:footnote w:id="402">
    <w:p>
      <w:pPr>
        <w:pStyle w:val="FootnoteText"/>
        <w:bidi w:val="1"/>
        <w:jc w:val="both"/>
      </w:pPr>
      <w:r>
        <w:rPr>
          <w:rStyle w:val="FootnoteReference"/>
          <w:rtl w:val="1"/>
        </w:rPr>
        <w:footnoteRef/>
      </w:r>
      <w:r>
        <w:rPr>
          <w:rFonts w:ascii="Times New Roman" w:hAnsi="Times New Roman" w:cs="B Nazanin"/>
          <w:sz w:val="22"/>
          <w:szCs w:val="22"/>
          <w:rtl w:val="1"/>
        </w:rPr>
        <w:t xml:space="preserve"> برای مسیرِ مذاکراتِ پلاستیک و BBNJ به‌مثابه نمونهٔ رویکردِ بخشیِ گام‌به‌گام: UNEP INC process (2022–) و موافقت‌نامهٔ BBNJ (۲۰۲۳).</w:t>
      </w:r>
    </w:p>
  </w:footnote>
  <w:footnote w:id="403">
    <w:p>
      <w:pPr>
        <w:pStyle w:val="FootnoteText"/>
        <w:bidi w:val="1"/>
        <w:jc w:val="both"/>
      </w:pPr>
      <w:r>
        <w:rPr>
          <w:rStyle w:val="FootnoteReference"/>
          <w:rtl w:val="1"/>
        </w:rPr>
        <w:footnoteRef/>
      </w:r>
      <w:r>
        <w:rPr>
          <w:rFonts w:ascii="Times New Roman" w:hAnsi="Times New Roman" w:cs="B Nazanin"/>
          <w:sz w:val="22"/>
          <w:szCs w:val="22"/>
          <w:rtl w:val="1"/>
        </w:rPr>
        <w:t xml:space="preserve"> UNGA Res. 76/300 (28 July 2022), The human right to a clean, healthy and sustainable environment.</w:t>
      </w:r>
    </w:p>
  </w:footnote>
  <w:footnote w:id="404">
    <w:p>
      <w:pPr>
        <w:pStyle w:val="FootnoteText"/>
        <w:bidi w:val="1"/>
        <w:jc w:val="both"/>
      </w:pPr>
      <w:r>
        <w:rPr>
          <w:rStyle w:val="FootnoteReference"/>
          <w:rtl w:val="1"/>
        </w:rPr>
        <w:footnoteRef/>
      </w:r>
      <w:r>
        <w:rPr>
          <w:rFonts w:ascii="Times New Roman" w:hAnsi="Times New Roman" w:cs="B Nazanin"/>
          <w:sz w:val="22"/>
          <w:szCs w:val="22"/>
          <w:rtl w:val="1"/>
        </w:rPr>
        <w:t xml:space="preserve"> Tigre, M. A., 2022, on environmental rights as the enduring common ground emerging from the Pact debate.</w:t>
      </w:r>
    </w:p>
  </w:footnote>
  <w:footnote w:id="405">
    <w:p>
      <w:pPr>
        <w:pStyle w:val="FootnoteText"/>
        <w:bidi w:val="1"/>
        <w:jc w:val="both"/>
      </w:pPr>
      <w:r>
        <w:rPr>
          <w:rStyle w:val="FootnoteReference"/>
          <w:rtl w:val="1"/>
        </w:rPr>
        <w:footnoteRef/>
      </w:r>
      <w:r>
        <w:rPr>
          <w:rFonts w:ascii="Times New Roman" w:hAnsi="Times New Roman" w:cs="B Nazanin"/>
          <w:sz w:val="22"/>
          <w:szCs w:val="22"/>
          <w:rtl w:val="1"/>
        </w:rPr>
        <w:t xml:space="preserve"> Chabason &amp; Hege 2019 on the geopolitical and North–South cleavages in the Nairobi process.</w:t>
      </w:r>
    </w:p>
  </w:footnote>
  <w:footnote w:id="406">
    <w:p>
      <w:pPr>
        <w:pStyle w:val="FootnoteText"/>
        <w:bidi w:val="1"/>
        <w:jc w:val="both"/>
      </w:pPr>
      <w:r>
        <w:rPr>
          <w:rStyle w:val="FootnoteReference"/>
          <w:rtl w:val="1"/>
        </w:rPr>
        <w:footnoteRef/>
      </w:r>
      <w:r>
        <w:rPr>
          <w:rFonts w:ascii="Times New Roman" w:hAnsi="Times New Roman" w:cs="B Nazanin"/>
          <w:sz w:val="22"/>
          <w:szCs w:val="22"/>
          <w:rtl w:val="1"/>
        </w:rPr>
        <w:t xml:space="preserve"> ICJ, Advisory Opinion on the Obligations of States in respect of Climate Change (2025); و Tigre, M. A. (2022) دربارهٔ توسعهٔ حق‌محورِ تدریجی از مسیرِ رویه.</w:t>
      </w:r>
    </w:p>
  </w:footnote>
  <w:footnote w:id="407">
    <w:p>
      <w:pPr>
        <w:pStyle w:val="FootnoteText"/>
        <w:bidi w:val="1"/>
        <w:jc w:val="both"/>
      </w:pPr>
      <w:r>
        <w:rPr>
          <w:rStyle w:val="FootnoteReference"/>
          <w:rtl w:val="1"/>
        </w:rPr>
        <w:footnoteRef/>
      </w:r>
      <w:r>
        <w:rPr>
          <w:rFonts w:ascii="Times New Roman" w:hAnsi="Times New Roman" w:cs="B Nazanin"/>
          <w:sz w:val="22"/>
          <w:szCs w:val="22"/>
          <w:rtl w:val="1"/>
        </w:rPr>
        <w:t xml:space="preserve"> Chabason &amp; Hege (2019) دربارهٔ رقابتِ نهادی به‌مثابه علتِ شکست؛ و ILC (2006) دربارهٔ خلأِ هماهنگیِ نهادی.</w:t>
      </w:r>
    </w:p>
  </w:footnote>
  <w:footnote w:id="408">
    <w:p>
      <w:pPr>
        <w:pStyle w:val="FootnoteText"/>
        <w:bidi w:val="1"/>
        <w:jc w:val="both"/>
      </w:pPr>
      <w:r>
        <w:rPr>
          <w:rStyle w:val="FootnoteReference"/>
          <w:rtl w:val="1"/>
        </w:rPr>
        <w:footnoteRef/>
      </w:r>
      <w:r>
        <w:rPr>
          <w:rFonts w:ascii="Times New Roman" w:hAnsi="Times New Roman" w:cs="B Nazanin"/>
          <w:sz w:val="22"/>
          <w:szCs w:val="22"/>
          <w:rtl w:val="1"/>
        </w:rPr>
        <w:t xml:space="preserve"> Damoah et al. (2026, پیش‌چاپِ داوری‌نشده) و Tiller (2018) دربارهٔ ضعفِ اجرا و پایبندی به‌مثابه ریشهٔ بن‌بست.</w:t>
      </w:r>
    </w:p>
  </w:footnote>
  <w:footnote w:id="409">
    <w:p>
      <w:pPr>
        <w:pStyle w:val="FootnoteText"/>
        <w:bidi w:val="1"/>
        <w:jc w:val="both"/>
      </w:pPr>
      <w:r>
        <w:rPr>
          <w:rStyle w:val="FootnoteReference"/>
          <w:rtl w:val="1"/>
        </w:rPr>
        <w:footnoteRef/>
      </w:r>
      <w:r>
        <w:rPr>
          <w:rFonts w:ascii="Times New Roman" w:hAnsi="Times New Roman" w:cs="B Nazanin"/>
          <w:sz w:val="22"/>
          <w:szCs w:val="22"/>
          <w:rtl w:val="1"/>
        </w:rPr>
        <w:t xml:space="preserve"> Tiller (2018) دربارهٔ خطرِ تضعیفِ رژیم‌های تخصصیِ موجود؛ الگوی هم‌افزاییِ بازل-روتردام-استکهلم.</w:t>
      </w:r>
    </w:p>
  </w:footnote>
  <w:footnote w:id="410">
    <w:p>
      <w:pPr>
        <w:pStyle w:val="FootnoteText"/>
        <w:bidi w:val="1"/>
        <w:jc w:val="both"/>
      </w:pPr>
      <w:r>
        <w:rPr>
          <w:rStyle w:val="FootnoteReference"/>
          <w:rtl w:val="1"/>
        </w:rPr>
        <w:footnoteRef/>
      </w:r>
      <w:r>
        <w:rPr>
          <w:rFonts w:ascii="Times New Roman" w:hAnsi="Times New Roman" w:cs="B Nazanin"/>
          <w:sz w:val="22"/>
          <w:szCs w:val="22"/>
          <w:rtl w:val="1"/>
        </w:rPr>
        <w:t xml:space="preserve"> Chabason &amp; Hege (2019) دربارهٔ قطعنامه‌های ۷۲/۲۷۷ و ۷۶/۳۰۰ به‌مثابه بازدهِ نرمِ فرایند؛ و Tigre (2022).</w:t>
      </w:r>
    </w:p>
  </w:footnote>
  <w:footnote w:id="411">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مادهٔ ۳۱(۳)(ج) کنوانسیون وین (یکپارچگیِ نظام‌مند)؛ در پاسخ به تردیدِ Tiller (2018).</w:t>
      </w:r>
    </w:p>
  </w:footnote>
  <w:footnote w:id="412">
    <w:p>
      <w:pPr>
        <w:pStyle w:val="FootnoteText"/>
        <w:bidi w:val="1"/>
        <w:jc w:val="both"/>
      </w:pPr>
      <w:r>
        <w:rPr>
          <w:rStyle w:val="FootnoteReference"/>
          <w:rtl w:val="1"/>
        </w:rPr>
        <w:footnoteRef/>
      </w:r>
      <w:r>
        <w:rPr>
          <w:rFonts w:ascii="Times New Roman" w:hAnsi="Times New Roman" w:cs="B Nazanin"/>
          <w:sz w:val="22"/>
          <w:szCs w:val="22"/>
          <w:rtl w:val="1"/>
        </w:rPr>
        <w:t xml:space="preserve"> مجمع عمومی سازمان ملل متحد، «به‌سوی یک پیمان جهانی برای محیط زیست»، قطعنامهٔ ۷۲/۲۷۷، ۱۰ مه ۲۰۱۸.</w:t>
      </w:r>
    </w:p>
  </w:footnote>
  <w:footnote w:id="413">
    <w:p>
      <w:pPr>
        <w:pStyle w:val="FootnoteText"/>
        <w:bidi w:val="1"/>
        <w:jc w:val="both"/>
      </w:pPr>
      <w:r>
        <w:rPr>
          <w:rStyle w:val="FootnoteReference"/>
          <w:rtl w:val="1"/>
        </w:rPr>
        <w:footnoteRef/>
      </w:r>
      <w:r>
        <w:rPr>
          <w:rFonts w:ascii="Times New Roman" w:hAnsi="Times New Roman" w:cs="B Nazanin"/>
          <w:sz w:val="22"/>
          <w:szCs w:val="22"/>
          <w:rtl w:val="1"/>
        </w:rPr>
        <w:t xml:space="preserve"> نگاشتهٔ روش‌شناختی بر پایهٔ پروتکل جست‌وجوی نظام‌مندِ رساله (بخش «هضم منابع»)؛ معیار گزینش: نمرهٔ ارتباطِ ≥ ۷۰ و انطباق موضوعی با فصل چهارم.</w:t>
      </w:r>
    </w:p>
  </w:footnote>
  <w:footnote w:id="414">
    <w:p>
      <w:pPr>
        <w:pStyle w:val="FootnoteText"/>
        <w:bidi w:val="1"/>
        <w:jc w:val="both"/>
      </w:pPr>
      <w:r>
        <w:rPr>
          <w:rStyle w:val="FootnoteReference"/>
          <w:rtl w:val="1"/>
        </w:rPr>
        <w:footnoteRef/>
      </w:r>
      <w:r>
        <w:rPr>
          <w:rFonts w:ascii="Times New Roman" w:hAnsi="Times New Roman" w:cs="B Nazanin"/>
          <w:sz w:val="22"/>
          <w:szCs w:val="22"/>
          <w:rtl w:val="1"/>
        </w:rPr>
        <w:t xml:space="preserve"> Kotzé, L.J. &amp; French, D., “A critique of the Global Pact for the Environment: a stillborn initiative or the foundation for Lex Anthropocenae?”, International Environmental Agreements: Politics, Law and Economics, 18(6), 811–838 (2018).</w:t>
      </w:r>
    </w:p>
  </w:footnote>
  <w:footnote w:id="415">
    <w:p>
      <w:pPr>
        <w:pStyle w:val="FootnoteText"/>
        <w:bidi w:val="1"/>
        <w:jc w:val="both"/>
      </w:pPr>
      <w:r>
        <w:rPr>
          <w:rStyle w:val="FootnoteReference"/>
          <w:rtl w:val="1"/>
        </w:rPr>
        <w:footnoteRef/>
      </w:r>
      <w:r>
        <w:rPr>
          <w:rFonts w:ascii="Times New Roman" w:hAnsi="Times New Roman" w:cs="B Nazanin"/>
          <w:sz w:val="22"/>
          <w:szCs w:val="22"/>
          <w:rtl w:val="1"/>
        </w:rPr>
        <w:t xml:space="preserve"> Tigre, M. A., “The Evolution of International Environmental Law Amidst Political Gridlock: Environmental Rights as a Common Ground”, SJD Dissertation, Elisabeth Haub School of Law at Pace University, 260 pp. (open access) (2022).</w:t>
      </w:r>
    </w:p>
  </w:footnote>
  <w:footnote w:id="416">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“A Global Pact for the Environment: Conceptual Foundations”, Review of European, Comparative &amp; International Environmental Law (RECIEL), 28(1), 3–12 (2019).</w:t>
      </w:r>
    </w:p>
  </w:footnote>
  <w:footnote w:id="417">
    <w:p>
      <w:pPr>
        <w:pStyle w:val="FootnoteText"/>
        <w:bidi w:val="1"/>
        <w:jc w:val="both"/>
      </w:pPr>
      <w:r>
        <w:rPr>
          <w:rStyle w:val="FootnoteReference"/>
          <w:rtl w:val="1"/>
        </w:rPr>
        <w:footnoteRef/>
      </w:r>
      <w:r>
        <w:rPr>
          <w:rFonts w:ascii="Times New Roman" w:hAnsi="Times New Roman" w:cs="B Nazanin"/>
          <w:sz w:val="22"/>
          <w:szCs w:val="22"/>
          <w:rtl w:val="1"/>
        </w:rPr>
        <w:t xml:space="preserve"> Draft Global Pact for the Environment (پیش‌نویسِ گروهِ حقوق‌دانانِ بین‌المللی), “Draft Global Pact for the Environment (Projet de Pacte mondial pour l'environnement) — 26 Articles”, Le Club des Juristes / IUCN — متنِ رسمیِ پیش‌نویس (Primary Source), 2017 (2017).</w:t>
      </w:r>
    </w:p>
  </w:footnote>
  <w:footnote w:id="418">
    <w:p>
      <w:pPr>
        <w:pStyle w:val="FootnoteText"/>
        <w:bidi w:val="1"/>
        <w:jc w:val="both"/>
      </w:pPr>
      <w:r>
        <w:rPr>
          <w:rStyle w:val="FootnoteReference"/>
          <w:rtl w:val="1"/>
        </w:rPr>
        <w:footnoteRef/>
      </w:r>
      <w:r>
        <w:rPr>
          <w:rFonts w:ascii="Times New Roman" w:hAnsi="Times New Roman" w:cs="B Nazanin"/>
          <w:sz w:val="22"/>
          <w:szCs w:val="22"/>
          <w:rtl w:val="1"/>
        </w:rPr>
        <w:t xml:space="preserve"> Kim, R.E. &amp; Bosselmann, K., “International Environmental Law in the Anthropocene: Towards a Purposive System of Multilateral Environmental Agreements”, Transnational Environmental Law, 2(2), 285–309 (2013).</w:t>
      </w:r>
    </w:p>
  </w:footnote>
  <w:footnote w:id="419">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(eds.), “A Global Pact for the Environment: Legal Foundations”, C-EENRG, University of Cambridge (Cambridge Report, March 2019) (2019).</w:t>
      </w:r>
    </w:p>
  </w:footnote>
  <w:footnote w:id="420">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Law Commission (Study Group; Koskenniemi, M., رئیس), “Conclusions of the work of the Study Group on the Fragmentation of International Law: Difficulties arising from the Diversification and Expansion of International Law”, Yearbook of the ILC 2006, vol. II, Part Two; A/61/10 (para. 251) (2006).</w:t>
      </w:r>
    </w:p>
  </w:footnote>
  <w:footnote w:id="421">
    <w:p>
      <w:pPr>
        <w:pStyle w:val="FootnoteText"/>
        <w:bidi w:val="1"/>
        <w:jc w:val="both"/>
      </w:pPr>
      <w:r>
        <w:rPr>
          <w:rStyle w:val="FootnoteReference"/>
          <w:rtl w:val="1"/>
        </w:rPr>
        <w:footnoteRef/>
      </w:r>
      <w:r>
        <w:rPr>
          <w:rFonts w:ascii="Times New Roman" w:hAnsi="Times New Roman" w:cs="B Nazanin"/>
          <w:sz w:val="22"/>
          <w:szCs w:val="22"/>
          <w:rtl w:val="1"/>
        </w:rPr>
        <w:t xml:space="preserve"> ILC (Koskenniemi, M.), “Fragmentation of International Law: Difficulties Arising from the Diversification and Expansion of International Law (A/CN.4/L.682)”, International Law Commission, UN (2006).</w:t>
      </w:r>
    </w:p>
  </w:footnote>
  <w:footnote w:id="422">
    <w:p>
      <w:pPr>
        <w:pStyle w:val="FootnoteText"/>
        <w:bidi w:val="1"/>
        <w:jc w:val="both"/>
      </w:pPr>
      <w:r>
        <w:rPr>
          <w:rStyle w:val="FootnoteReference"/>
          <w:rtl w:val="1"/>
        </w:rPr>
        <w:footnoteRef/>
      </w:r>
      <w:r>
        <w:rPr>
          <w:rFonts w:ascii="Times New Roman" w:hAnsi="Times New Roman" w:cs="B Nazanin"/>
          <w:sz w:val="22"/>
          <w:szCs w:val="22"/>
          <w:rtl w:val="1"/>
        </w:rPr>
        <w:t xml:space="preserve"> Kotzé, L.J., “A Global Environmental Constitution for the Anthropocene?”, Transnational Environmental Law, 8(1), 11–33 (2019).</w:t>
      </w:r>
    </w:p>
  </w:footnote>
  <w:footnote w:id="423">
    <w:p>
      <w:pPr>
        <w:pStyle w:val="FootnoteText"/>
        <w:bidi w:val="1"/>
        <w:jc w:val="both"/>
      </w:pPr>
      <w:r>
        <w:rPr>
          <w:rStyle w:val="FootnoteReference"/>
          <w:rtl w:val="1"/>
        </w:rPr>
        <w:footnoteRef/>
      </w:r>
      <w:r>
        <w:rPr>
          <w:rFonts w:ascii="Times New Roman" w:hAnsi="Times New Roman" w:cs="B Nazanin"/>
          <w:sz w:val="22"/>
          <w:szCs w:val="22"/>
          <w:rtl w:val="1"/>
        </w:rPr>
        <w:t xml:space="preserve"> Tiller, D., “Are the Aims of the Proposed Global Pact for the Environment Desirable and Will the Pact Add Any Value to International Environmental Law?”, LLB(Hons) Research Paper, Victoria University of Wellington, Faculty of Law (2018).</w:t>
      </w:r>
    </w:p>
  </w:footnote>
  <w:footnote w:id="424">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“Failure of the Global Pact for the Environment: a missed opportunity or a bullet dodged?”, IDDRI (Institut du développement durable et des relations internationales) — Blog Post, 28 May 2019 (2019).</w:t>
      </w:r>
    </w:p>
  </w:footnote>
  <w:footnote w:id="425">
    <w:p>
      <w:pPr>
        <w:pStyle w:val="FootnoteText"/>
        <w:bidi w:val="1"/>
        <w:jc w:val="both"/>
      </w:pPr>
      <w:r>
        <w:rPr>
          <w:rStyle w:val="FootnoteReference"/>
          <w:rtl w:val="1"/>
        </w:rPr>
        <w:footnoteRef/>
      </w:r>
      <w:r>
        <w:rPr>
          <w:rFonts w:ascii="Times New Roman" w:hAnsi="Times New Roman" w:cs="B Nazanin"/>
          <w:sz w:val="22"/>
          <w:szCs w:val="22"/>
          <w:rtl w:val="1"/>
        </w:rPr>
        <w:t xml:space="preserve"> Sands, P. &amp; Peel, J., “Principles of International Environmental Law (4th ed.)”, Cambridge University Press (2018).</w:t>
      </w:r>
    </w:p>
  </w:footnote>
  <w:footnote w:id="426">
    <w:p>
      <w:pPr>
        <w:pStyle w:val="FootnoteText"/>
        <w:bidi w:val="1"/>
        <w:jc w:val="both"/>
      </w:pPr>
      <w:r>
        <w:rPr>
          <w:rStyle w:val="FootnoteReference"/>
          <w:rtl w:val="1"/>
        </w:rPr>
        <w:footnoteRef/>
      </w:r>
      <w:r>
        <w:rPr>
          <w:rFonts w:ascii="Times New Roman" w:hAnsi="Times New Roman" w:cs="B Nazanin"/>
          <w:sz w:val="22"/>
          <w:szCs w:val="22"/>
          <w:rtl w:val="1"/>
        </w:rPr>
        <w:t xml:space="preserve"> Boyle, A. &amp; Redgwell, C., “Birnie, Boyle &amp; Redgwell’s International Law and the Environment (4th ed.)”, Oxford University Press (2021).</w:t>
      </w:r>
    </w:p>
  </w:footnote>
  <w:footnote w:id="427">
    <w:p>
      <w:pPr>
        <w:pStyle w:val="FootnoteText"/>
        <w:bidi w:val="1"/>
        <w:jc w:val="both"/>
      </w:pPr>
      <w:r>
        <w:rPr>
          <w:rStyle w:val="FootnoteReference"/>
          <w:rtl w:val="1"/>
        </w:rPr>
        <w:footnoteRef/>
      </w:r>
      <w:r>
        <w:rPr>
          <w:rFonts w:ascii="Times New Roman" w:hAnsi="Times New Roman" w:cs="B Nazanin"/>
          <w:sz w:val="22"/>
          <w:szCs w:val="22"/>
          <w:rtl w:val="1"/>
        </w:rPr>
        <w:t xml:space="preserve"> Vidal, O. / MDPI, “Rethinking the Global Pact for the Environment: Ambitions, Realities and Alternatives”, Sustainability, 12(3), 877 (2020).</w:t>
      </w:r>
    </w:p>
  </w:footnote>
  <w:footnote w:id="428">
    <w:p>
      <w:pPr>
        <w:pStyle w:val="FootnoteText"/>
        <w:bidi w:val="1"/>
        <w:jc w:val="both"/>
      </w:pPr>
      <w:r>
        <w:rPr>
          <w:rStyle w:val="FootnoteReference"/>
          <w:rtl w:val="1"/>
        </w:rPr>
        <w:footnoteRef/>
      </w:r>
      <w:r>
        <w:rPr>
          <w:rFonts w:ascii="Times New Roman" w:hAnsi="Times New Roman" w:cs="B Nazanin"/>
          <w:sz w:val="22"/>
          <w:szCs w:val="22"/>
          <w:rtl w:val="1"/>
        </w:rPr>
        <w:t xml:space="preserve"> Sand, P. H. &amp; McGee, J., “International Environmental Governance: Managing Fragmentation through Institutional Connection”, International Environmental Agreements: Politics, Law and Economics (2022).</w:t>
      </w:r>
    </w:p>
  </w:footnote>
  <w:footnote w:id="429">
    <w:p>
      <w:pPr>
        <w:pStyle w:val="FootnoteText"/>
        <w:bidi w:val="1"/>
        <w:jc w:val="both"/>
      </w:pPr>
      <w:r>
        <w:rPr>
          <w:rStyle w:val="FootnoteReference"/>
          <w:rtl w:val="1"/>
        </w:rPr>
        <w:footnoteRef/>
      </w:r>
      <w:r>
        <w:rPr>
          <w:rFonts w:ascii="Times New Roman" w:hAnsi="Times New Roman" w:cs="B Nazanin"/>
          <w:sz w:val="22"/>
          <w:szCs w:val="22"/>
          <w:rtl w:val="1"/>
        </w:rPr>
        <w:t xml:space="preserve"> Damoah, B., Keengwe, J. S. &amp; Ofori, E., “Stalemate in the Anthropocene: Ineffective Treaties and the Struggle for Planetary Governance”, Preprints.org (پیش‌چاپ — داوری‌نشده / non-peer-reviewed preprint) (2026). ⚠ [پیش‌چاپِ داوری‌نشده]</w:t>
      </w:r>
    </w:p>
  </w:footnote>
  <w:footnote w:id="430">
    <w:p>
      <w:pPr>
        <w:pStyle w:val="FootnoteText"/>
        <w:bidi w:val="1"/>
        <w:jc w:val="both"/>
      </w:pPr>
      <w:r>
        <w:rPr>
          <w:rStyle w:val="FootnoteReference"/>
          <w:rtl w:val="1"/>
        </w:rPr>
        <w:footnoteRef/>
      </w:r>
      <w:r>
        <w:rPr>
          <w:rFonts w:ascii="Times New Roman" w:hAnsi="Times New Roman" w:cs="B Nazanin"/>
          <w:sz w:val="22"/>
          <w:szCs w:val="22"/>
          <w:rtl w:val="1"/>
        </w:rPr>
        <w:t xml:space="preserve"> Kotzé, L.J., “Arguing Global Environmental Constitutionalism”, Transnational Environmental Law (review essay) (2020).</w:t>
      </w:r>
    </w:p>
  </w:footnote>
  <w:footnote w:id="431">
    <w:p>
      <w:pPr>
        <w:pStyle w:val="FootnoteText"/>
        <w:bidi w:val="1"/>
        <w:jc w:val="both"/>
      </w:pPr>
      <w:r>
        <w:rPr>
          <w:rStyle w:val="FootnoteReference"/>
          <w:rtl w:val="1"/>
        </w:rPr>
        <w:footnoteRef/>
      </w:r>
      <w:r>
        <w:rPr>
          <w:rFonts w:ascii="Times New Roman" w:hAnsi="Times New Roman" w:cs="B Nazanin"/>
          <w:sz w:val="22"/>
          <w:szCs w:val="22"/>
          <w:rtl w:val="1"/>
        </w:rPr>
        <w:t xml:space="preserve"> McGarry, B., “The Global Pact for the Environment: Freshwater and Economic Law Synergies”, Journal of International Economic Law, 21(4), 745–767 (2018).</w:t>
      </w:r>
    </w:p>
  </w:footnote>
  <w:footnote w:id="432">
    <w:p>
      <w:pPr>
        <w:pStyle w:val="FootnoteText"/>
        <w:bidi w:val="1"/>
        <w:jc w:val="both"/>
      </w:pPr>
      <w:r>
        <w:rPr>
          <w:rStyle w:val="FootnoteReference"/>
          <w:rtl w:val="1"/>
        </w:rPr>
        <w:footnoteRef/>
      </w:r>
      <w:r>
        <w:rPr>
          <w:rFonts w:ascii="Times New Roman" w:hAnsi="Times New Roman" w:cs="B Nazanin"/>
          <w:sz w:val="22"/>
          <w:szCs w:val="22"/>
          <w:rtl w:val="1"/>
        </w:rPr>
        <w:t xml:space="preserve"> Pedersen, O.W., “The Global Pact for the Environment: An Assessment”, Journal of Environmental Law / law review commentary (2019).</w:t>
      </w:r>
    </w:p>
  </w:footnote>
  <w:footnote w:id="433">
    <w:p>
      <w:pPr>
        <w:pStyle w:val="FootnoteText"/>
        <w:bidi w:val="1"/>
        <w:jc w:val="both"/>
      </w:pPr>
      <w:r>
        <w:rPr>
          <w:rStyle w:val="FootnoteReference"/>
          <w:rtl w:val="1"/>
        </w:rPr>
        <w:footnoteRef/>
      </w:r>
      <w:r>
        <w:rPr>
          <w:rFonts w:ascii="Times New Roman" w:hAnsi="Times New Roman" w:cs="B Nazanin"/>
          <w:sz w:val="22"/>
          <w:szCs w:val="22"/>
          <w:rtl w:val="1"/>
        </w:rPr>
        <w:t xml:space="preserve"> Ivanova, M., “The Untold Story of the World’s Leading Environmental Institution: UNEP at Fifty”, MIT Press (2021).</w:t>
      </w:r>
    </w:p>
  </w:footnote>
  <w:footnote w:id="434">
    <w:p>
      <w:pPr>
        <w:pStyle w:val="FootnoteText"/>
        <w:bidi w:val="1"/>
        <w:jc w:val="both"/>
      </w:pPr>
      <w:r>
        <w:rPr>
          <w:rStyle w:val="FootnoteReference"/>
          <w:rtl w:val="1"/>
        </w:rPr>
        <w:footnoteRef/>
      </w:r>
      <w:r>
        <w:rPr>
          <w:rFonts w:ascii="Times New Roman" w:hAnsi="Times New Roman" w:cs="B Nazanin"/>
          <w:sz w:val="22"/>
          <w:szCs w:val="22"/>
          <w:rtl w:val="1"/>
        </w:rPr>
        <w:t xml:space="preserve"> Biermann, F. &amp; Kim, R.E., “The Boundaries of the Planetary Boundary Framework: A Critical Appraisal of Approaches to Define a ‘Safe Operating Space’ for Humanity”, Annual Review of Environment and Resources, 45, 497–521 (2020).</w:t>
      </w:r>
    </w:p>
  </w:footnote>
  <w:footnote w:id="435">
    <w:p>
      <w:pPr>
        <w:pStyle w:val="FootnoteText"/>
        <w:bidi w:val="1"/>
        <w:jc w:val="both"/>
      </w:pPr>
      <w:r>
        <w:rPr>
          <w:rStyle w:val="FootnoteReference"/>
          <w:rtl w:val="1"/>
        </w:rPr>
        <w:footnoteRef/>
      </w:r>
      <w:r>
        <w:rPr>
          <w:rFonts w:ascii="Times New Roman" w:hAnsi="Times New Roman" w:cs="B Nazanin"/>
          <w:sz w:val="22"/>
          <w:szCs w:val="22"/>
          <w:rtl w:val="1"/>
        </w:rPr>
        <w:t xml:space="preserve"> Vinuales, J.E., “The Organisation of the Anthropocene: In Our Hands?”, Brill Research Perspectives in International Legal Theory and Practice (2018).</w:t>
      </w:r>
    </w:p>
  </w:footnote>
  <w:footnote w:id="436">
    <w:p>
      <w:pPr>
        <w:pStyle w:val="FootnoteText"/>
        <w:bidi w:val="1"/>
        <w:jc w:val="both"/>
      </w:pPr>
      <w:r>
        <w:rPr>
          <w:rStyle w:val="FootnoteReference"/>
          <w:rtl w:val="1"/>
        </w:rPr>
        <w:footnoteRef/>
      </w:r>
      <w:r>
        <w:rPr>
          <w:rFonts w:ascii="Times New Roman" w:hAnsi="Times New Roman" w:cs="B Nazanin"/>
          <w:sz w:val="22"/>
          <w:szCs w:val="22"/>
          <w:rtl w:val="1"/>
        </w:rPr>
        <w:t xml:space="preserve"> Chan, N., “Beyond delegation size: Developing country negotiating capacity and NGO ‘support’ in international climate negotiations”, International Environmental Agreements, 21, 201–217 (2021).</w:t>
      </w:r>
    </w:p>
  </w:footnote>
  <w:footnote w:id="437">
    <w:p>
      <w:pPr>
        <w:pStyle w:val="FootnoteText"/>
        <w:bidi w:val="1"/>
        <w:jc w:val="both"/>
      </w:pPr>
      <w:r>
        <w:rPr>
          <w:rStyle w:val="FootnoteReference"/>
          <w:rtl w:val="1"/>
        </w:rPr>
        <w:footnoteRef/>
      </w:r>
      <w:r>
        <w:rPr>
          <w:rFonts w:ascii="Times New Roman" w:hAnsi="Times New Roman" w:cs="B Nazanin"/>
          <w:sz w:val="22"/>
          <w:szCs w:val="22"/>
          <w:rtl w:val="1"/>
        </w:rPr>
        <w:t xml:space="preserve"> Doelle, M. &amp; Seck, S., “Loss and Damage from Climate Change: From Concept to Remedy?”, Climate Policy / environmental law journals (2020).</w:t>
      </w:r>
    </w:p>
  </w:footnote>
  <w:footnote w:id="438">
    <w:p>
      <w:pPr>
        <w:pStyle w:val="FootnoteText"/>
        <w:bidi w:val="1"/>
        <w:jc w:val="both"/>
      </w:pPr>
      <w:r>
        <w:rPr>
          <w:rStyle w:val="FootnoteReference"/>
          <w:rtl w:val="1"/>
        </w:rPr>
        <w:footnoteRef/>
      </w:r>
      <w:r>
        <w:rPr>
          <w:rFonts w:ascii="Times New Roman" w:hAnsi="Times New Roman" w:cs="B Nazanin"/>
          <w:sz w:val="22"/>
          <w:szCs w:val="22"/>
          <w:rtl w:val="1"/>
        </w:rPr>
        <w:t xml:space="preserve"> کمیسیون حقوق بین‌الملل، سند A/CN.4/L.682 (۲۰۰۶)؛ و کنوانسیون وین ۱۹۶۹، مادهٔ ۳۱(۳)(ج).</w:t>
      </w:r>
    </w:p>
  </w:footnote>
  <w:footnote w:id="439">
    <w:p>
      <w:pPr>
        <w:pStyle w:val="FootnoteText"/>
        <w:bidi w:val="1"/>
        <w:jc w:val="both"/>
      </w:pPr>
      <w:r>
        <w:rPr>
          <w:rStyle w:val="FootnoteReference"/>
          <w:rtl w:val="1"/>
        </w:rPr>
        <w:footnoteRef/>
      </w:r>
      <w:r>
        <w:rPr>
          <w:rFonts w:ascii="Times New Roman" w:hAnsi="Times New Roman" w:cs="B Nazanin"/>
          <w:sz w:val="22"/>
          <w:szCs w:val="22"/>
          <w:rtl w:val="1"/>
        </w:rPr>
        <w:t xml:space="preserve"> Kotzé, L.J. &amp; French, D., “A critique of the Global Pact for the Environment: a stillborn initiative or the foundation for Lex Anthropocenae?”, International Environmental Agreements: Politics, Law and Economics, 18(6), 811–838 (2018).</w:t>
      </w:r>
    </w:p>
  </w:footnote>
  <w:footnote w:id="440">
    <w:p>
      <w:pPr>
        <w:pStyle w:val="FootnoteText"/>
        <w:bidi w:val="1"/>
        <w:jc w:val="both"/>
      </w:pPr>
      <w:r>
        <w:rPr>
          <w:rStyle w:val="FootnoteReference"/>
          <w:rtl w:val="1"/>
        </w:rPr>
        <w:footnoteRef/>
      </w:r>
      <w:r>
        <w:rPr>
          <w:rFonts w:ascii="Times New Roman" w:hAnsi="Times New Roman" w:cs="B Nazanin"/>
          <w:sz w:val="22"/>
          <w:szCs w:val="22"/>
          <w:rtl w:val="1"/>
        </w:rPr>
        <w:t xml:space="preserve"> Ivanova, M., “The Untold Story of the World’s Leading Environmental Institution: UNEP at Fifty”, MIT Press (2021).</w:t>
      </w:r>
    </w:p>
  </w:footnote>
  <w:footnote w:id="441">
    <w:p>
      <w:pPr>
        <w:pStyle w:val="FootnoteText"/>
        <w:bidi w:val="1"/>
        <w:jc w:val="both"/>
      </w:pPr>
      <w:r>
        <w:rPr>
          <w:rStyle w:val="FootnoteReference"/>
          <w:rtl w:val="1"/>
        </w:rPr>
        <w:footnoteRef/>
      </w:r>
      <w:r>
        <w:rPr>
          <w:rFonts w:ascii="Times New Roman" w:hAnsi="Times New Roman" w:cs="B Nazanin"/>
          <w:sz w:val="22"/>
          <w:szCs w:val="22"/>
          <w:rtl w:val="1"/>
        </w:rPr>
        <w:t xml:space="preserve"> Sands, P. &amp; Peel, J., “Principles of International Environmental Law (4th ed.)”, Cambridge University Press (2018).</w:t>
      </w:r>
    </w:p>
  </w:footnote>
  <w:footnote w:id="442">
    <w:p>
      <w:pPr>
        <w:pStyle w:val="FootnoteText"/>
        <w:bidi w:val="1"/>
        <w:jc w:val="both"/>
      </w:pPr>
      <w:r>
        <w:rPr>
          <w:rStyle w:val="FootnoteReference"/>
          <w:rtl w:val="1"/>
        </w:rPr>
        <w:footnoteRef/>
      </w:r>
      <w:r>
        <w:rPr>
          <w:rFonts w:ascii="Times New Roman" w:hAnsi="Times New Roman" w:cs="B Nazanin"/>
          <w:sz w:val="22"/>
          <w:szCs w:val="22"/>
          <w:rtl w:val="1"/>
        </w:rPr>
        <w:t xml:space="preserve"> Kim, R.E. &amp; Bosselmann, K., “International Environmental Law in the Anthropocene: Towards a Purposive System of Multilateral Environmental Agreements”, Transnational Environmental Law, 2(2), 285–309 (2013).</w:t>
      </w:r>
    </w:p>
  </w:footnote>
  <w:footnote w:id="443">
    <w:p>
      <w:pPr>
        <w:pStyle w:val="FootnoteText"/>
        <w:bidi w:val="1"/>
        <w:jc w:val="both"/>
      </w:pPr>
      <w:r>
        <w:rPr>
          <w:rStyle w:val="FootnoteReference"/>
          <w:rtl w:val="1"/>
        </w:rPr>
        <w:footnoteRef/>
      </w:r>
      <w:r>
        <w:rPr>
          <w:rFonts w:ascii="Times New Roman" w:hAnsi="Times New Roman" w:cs="B Nazanin"/>
          <w:sz w:val="22"/>
          <w:szCs w:val="22"/>
          <w:rtl w:val="1"/>
        </w:rPr>
        <w:t xml:space="preserve"> Vidal, O. / MDPI, “Rethinking the Global Pact for the Environment: Ambitions, Realities and Alternatives”, Sustainability, 12(3), 877 (2020).</w:t>
      </w:r>
    </w:p>
  </w:footnote>
  <w:footnote w:id="444">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J.E. (eds.), “A Global Pact for the Environment: Legal Foundations”, C-EENRG / Cambridge (White Paper) — SSRN 3285340 (2019).</w:t>
      </w:r>
    </w:p>
  </w:footnote>
  <w:footnote w:id="445">
    <w:p>
      <w:pPr>
        <w:pStyle w:val="FootnoteText"/>
        <w:bidi w:val="1"/>
        <w:jc w:val="both"/>
      </w:pPr>
      <w:r>
        <w:rPr>
          <w:rStyle w:val="FootnoteReference"/>
          <w:rtl w:val="1"/>
        </w:rPr>
        <w:footnoteRef/>
      </w:r>
      <w:r>
        <w:rPr>
          <w:rFonts w:ascii="Times New Roman" w:hAnsi="Times New Roman" w:cs="B Nazanin"/>
          <w:sz w:val="22"/>
          <w:szCs w:val="22"/>
          <w:rtl w:val="1"/>
        </w:rPr>
        <w:t xml:space="preserve"> این جمع‌بندی بر پایهٔ تحلیلِ فصولِ دوم تا چهارم و منابعِ Tigre 2022، Chabason &amp; Hege 2019، و ILC 2006 استوار است.</w:t>
      </w:r>
    </w:p>
  </w:footnote>
  <w:footnote w:id="446">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IDDRI, 2019; و تحلیلِ فصل چهارمِ همین رساله دربارهٔ سازوکارِ اجماع‌محور.</w:t>
      </w:r>
    </w:p>
  </w:footnote>
  <w:footnote w:id="447">
    <w:p>
      <w:pPr>
        <w:pStyle w:val="FootnoteText"/>
        <w:bidi w:val="1"/>
        <w:jc w:val="both"/>
      </w:pPr>
      <w:r>
        <w:rPr>
          <w:rStyle w:val="FootnoteReference"/>
          <w:rtl w:val="1"/>
        </w:rPr>
        <w:footnoteRef/>
      </w:r>
      <w:r>
        <w:rPr>
          <w:rFonts w:ascii="Times New Roman" w:hAnsi="Times New Roman" w:cs="B Nazanin"/>
          <w:sz w:val="22"/>
          <w:szCs w:val="22"/>
          <w:rtl w:val="1"/>
        </w:rPr>
        <w:t xml:space="preserve"> این جمع‌بندی بر پایهٔ تحلیلِ فصولِ دوم تا چهارم و منابعِ Tigre 2022، Chabason &amp; Hege 2019، و ILC 2006 استوار است.</w:t>
      </w:r>
    </w:p>
  </w:footnote>
  <w:footnote w:id="448">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IDDRI, 2019; و تحلیلِ فصل چهارمِ همین رساله دربارهٔ سازوکارِ اجماع‌محور.</w:t>
      </w:r>
    </w:p>
  </w:footnote>
  <w:footnote w:id="449">
    <w:p>
      <w:pPr>
        <w:pStyle w:val="FootnoteText"/>
        <w:bidi w:val="1"/>
        <w:jc w:val="both"/>
      </w:pPr>
      <w:r>
        <w:rPr>
          <w:rStyle w:val="FootnoteReference"/>
          <w:rtl w:val="1"/>
        </w:rPr>
        <w:footnoteRef/>
      </w:r>
      <w:r>
        <w:rPr>
          <w:rFonts w:ascii="Times New Roman" w:hAnsi="Times New Roman" w:cs="B Nazanin"/>
          <w:sz w:val="22"/>
          <w:szCs w:val="22"/>
          <w:rtl w:val="1"/>
        </w:rPr>
        <w:t xml:space="preserve"> Aguila &amp; Viñuales (eds.), Legal Foundations, 2019 (سویِ موافق)؛ Tiller 2018 و Chabason &amp; Hege 2019 (سویِ منتقد).</w:t>
      </w:r>
    </w:p>
  </w:footnote>
  <w:footnote w:id="450">
    <w:p>
      <w:pPr>
        <w:pStyle w:val="FootnoteText"/>
        <w:bidi w:val="1"/>
        <w:jc w:val="both"/>
      </w:pPr>
      <w:r>
        <w:rPr>
          <w:rStyle w:val="FootnoteReference"/>
          <w:rtl w:val="1"/>
        </w:rPr>
        <w:footnoteRef/>
      </w:r>
      <w:r>
        <w:rPr>
          <w:rFonts w:ascii="Times New Roman" w:hAnsi="Times New Roman" w:cs="B Nazanin"/>
          <w:sz w:val="22"/>
          <w:szCs w:val="22"/>
          <w:rtl w:val="1"/>
        </w:rPr>
        <w:t xml:space="preserve"> Kim, R.E. &amp; Bosselmann, K., “International Environmental Law in the Anthropocene: Towards a Purposive System of Multilateral Environmental Agreements”, Transnational Environmental Law, 2(2), 285–309 (2013).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B Nazani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B Nazan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B Nazani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Text"/>
    <w:pPr>
      <w:spacing w:after="0"/>
    </w:pPr>
    <w:rPr>
      <w:rFonts w:ascii="Times New Roman" w:hAnsi="Times New Roman"/>
      <w:sz w:val="22"/>
    </w:rPr>
  </w:style>
  <w:style w:type="character" w:customStyle="1" w:styleId="FootnoteReference">
    <w:name w:val="FootnoteReference"/>
    <w:rPr>
      <w:sz w:val="22"/>
      <w:vertAlign w:val="superscript"/>
    </w:rPr>
  </w:style>
  <w:style w:type="paragraph" w:customStyle="1" w:styleId="GPEHeading1">
    <w:name w:val="GPEHeading1"/>
    <w:basedOn w:val="Normal"/>
    <w:next w:val="Normal"/>
    <w:pPr>
      <w:keepNext/>
      <w:bidi w:val="1"/>
      <w:jc w:val="right"/>
    </w:pPr>
    <w:rPr>
      <w:rtl w:val="1"/>
      <w:b/>
      <w:bCs/>
    </w:rPr>
  </w:style>
  <w:style w:type="paragraph" w:customStyle="1" w:styleId="GPEHeading2">
    <w:name w:val="GPEHeading2"/>
    <w:basedOn w:val="Normal"/>
    <w:next w:val="Normal"/>
    <w:pPr>
      <w:keepNext/>
      <w:bidi w:val="1"/>
      <w:jc w:val="right"/>
    </w:pPr>
    <w:rPr>
      <w:rtl w:val="1"/>
      <w:b/>
      <w:bCs/>
    </w:rPr>
  </w:style>
  <w:style w:type="paragraph" w:customStyle="1" w:styleId="GPEHeading3">
    <w:name w:val="GPEHeading3"/>
    <w:basedOn w:val="Normal"/>
    <w:next w:val="Normal"/>
    <w:pPr>
      <w:keepNext/>
      <w:bidi w:val="1"/>
      <w:jc w:val="right"/>
    </w:pPr>
    <w:rPr>
      <w:rtl w:val="1"/>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