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hd w:val="clear" w:color="auto" w:fill="123a52"/>
        <w:pBdr>
          <w:top w:val="single" w:sz="2" w:space="10" w:color="123a52"/>
          <w:bottom w:val="single" w:sz="2" w:space="10" w:color="123a52"/>
          <w:left w:val="single" w:sz="2" w:space="10" w:color="123a52"/>
          <w:right w:val="single" w:sz="2" w:space="10" w:color="123a52"/>
        </w:pBdr>
        <w:bidi w:val="1"/>
        <w:spacing w:line="312" w:lineRule="auto" w:before="0" w:after="0"/>
        <w:jc w:val="center"/>
      </w:pPr>
      <w:r>
        <w:rPr>
          <w:rFonts w:ascii="Times New Roman" w:hAnsi="Times New Roman" w:cs="B Nazanin"/>
          <w:sz w:val="26"/>
          <w:szCs w:val="48"/>
          <w:rtl w:val="1"/>
          <w:b/>
          <w:bCs/>
          <w:color w:val="ffffff"/>
        </w:rPr>
        <w:t>گزارشِ اجرای اصلاحاتِ رساله</w:t>
      </w:r>
    </w:p>
    <w:p>
      <w:pPr>
        <w:shd w:val="clear" w:color="auto" w:fill="1c4a63"/>
        <w:pBdr>
          <w:top w:val="single" w:sz="2" w:space="10" w:color="1c4a63"/>
          <w:bottom w:val="single" w:sz="2" w:space="10" w:color="1c4a63"/>
          <w:left w:val="single" w:sz="2" w:space="10" w:color="1c4a63"/>
          <w:right w:val="single" w:sz="2" w:space="10" w:color="1c4a63"/>
        </w:pBdr>
        <w:bidi w:val="1"/>
        <w:spacing w:line="312" w:lineRule="auto" w:before="0" w:after="0"/>
        <w:jc w:val="center"/>
      </w:pPr>
      <w:r>
        <w:rPr>
          <w:rFonts w:ascii="Times New Roman" w:hAnsi="Times New Roman" w:cs="B Nazanin"/>
          <w:sz w:val="26"/>
          <w:szCs w:val="28"/>
          <w:rtl w:val="1"/>
          <w:b/>
          <w:bCs/>
          <w:color w:val="ffffff"/>
        </w:rPr>
        <w:t>پاسخ به گزارشِ جامعِ بررسیِ تطبیقیِ نسخهٔ اول و دوم (۹۰ بند)</w:t>
      </w:r>
    </w:p>
    <w:p>
      <w:pPr>
        <w:shd w:val="clear" w:color="auto" w:fill="b08d3f"/>
        <w:pBdr>
          <w:top w:val="single" w:sz="2" w:space="10" w:color="b08d3f"/>
          <w:bottom w:val="single" w:sz="2" w:space="10" w:color="b08d3f"/>
          <w:left w:val="single" w:sz="2" w:space="10" w:color="b08d3f"/>
          <w:right w:val="single" w:sz="2" w:space="10" w:color="b08d3f"/>
        </w:pBdr>
        <w:bidi w:val="1"/>
        <w:spacing w:line="312" w:lineRule="auto" w:before="0" w:after="120"/>
        <w:jc w:val="center"/>
      </w:pPr>
      <w:r>
        <w:rPr>
          <w:rFonts w:ascii="Times New Roman" w:hAnsi="Times New Roman" w:cs="B Nazanin"/>
          <w:sz w:val="26"/>
          <w:szCs w:val="26"/>
          <w:rtl w:val="1"/>
          <w:b/>
          <w:bCs/>
          <w:color w:val="1a1205"/>
        </w:rPr>
        <w:t>سندِ شفافیتِ اجرا: از ملاحظه تا اعمال</w:t>
      </w:r>
    </w:p>
    <w:p/>
    <w:p/>
    <w:p/>
    <w:p/>
    <w:p/>
    <w:p/>
    <w:p>
      <w:pPr>
        <w:pBdr>
          <w:bottom w:val="single" w:sz="6" w:space="1" w:color="b08d3f"/>
        </w:pBdr>
        <w:bidi w:val="1"/>
        <w:spacing w:line="312" w:lineRule="auto" w:before="0" w:after="40"/>
        <w:jc w:val="right"/>
      </w:pPr>
    </w:p>
    <w:p>
      <w:pPr>
        <w:bidi w:val="1"/>
        <w:spacing w:line="312" w:lineRule="auto" w:before="0" w:after="80"/>
        <w:jc w:val="center"/>
      </w:pPr>
      <w:r>
        <w:rPr>
          <w:rFonts w:ascii="Times New Roman" w:hAnsi="Times New Roman" w:cs="B Nazanin"/>
          <w:sz w:val="24"/>
          <w:szCs w:val="24"/>
          <w:rtl w:val="1"/>
        </w:rPr>
        <w:t>تهیه‌شده توسطِ سامانهٔ هوشمندِ پژوهش (Project Brain)</w:t>
      </w:r>
    </w:p>
    <w:p>
      <w:pPr>
        <w:bidi w:val="1"/>
        <w:spacing w:line="312" w:lineRule="auto" w:before="0" w:after="80"/>
        <w:jc w:val="center"/>
      </w:pPr>
      <w:r>
        <w:rPr>
          <w:rFonts w:ascii="Times New Roman" w:hAnsi="Times New Roman" w:cs="B Nazanin"/>
          <w:sz w:val="24"/>
          <w:szCs w:val="22"/>
          <w:rtl w:val="1"/>
        </w:rPr>
        <w:t>HJR's Agentic Architecture @2026 — Dedicated for Dr. Masoud Ahsannejad</w:t>
      </w:r>
    </w:p>
    <w:p>
      <w:r>
        <w:br w:type="page"/>
      </w:r>
    </w:p>
    <w:p>
      <w:pPr>
        <w:shd w:val="clear" w:color="auto" w:fill="123a52"/>
        <w:pBdr>
          <w:top w:val="single" w:sz="2" w:space="6" w:color="123a52"/>
          <w:bottom w:val="single" w:sz="2" w:space="6" w:color="123a52"/>
          <w:left w:val="single" w:sz="2" w:space="6" w:color="123a52"/>
          <w:right w:val="single" w:sz="2" w:space="6" w:color="123a52"/>
        </w:pBdr>
        <w:bidi w:val="1"/>
        <w:spacing w:line="312" w:lineRule="auto" w:before="0" w:after="160"/>
        <w:ind w:right="57" w:left="57"/>
        <w:jc w:val="right"/>
      </w:pPr>
      <w:r>
        <w:rPr>
          <w:rFonts w:ascii="Times New Roman" w:hAnsi="Times New Roman" w:cs="B Nazanin"/>
          <w:sz w:val="24"/>
          <w:szCs w:val="32"/>
          <w:rtl w:val="1"/>
          <w:b/>
          <w:bCs/>
          <w:color w:val="ffffff"/>
        </w:rPr>
        <w:t>مقدمه: روشِ اجرا و دامنهٔ صداقتِ علمی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این گزارش، سندِ شفافیتِ اجرای اصلاحاتی است که در پاسخ به «گزارشِ جامع و تفصیلیِ بررسیِ تطبیقیِ نسخهٔ اول و نسخهٔ دومِ رساله» (فایلِ GPE_Correction با ۹۰ بندِ ارزیابی) بر بدنهٔ رساله اعمال شده است. آن گزارش، هر خواستهٔ استاد راهنما را در دو سطح سنجیده بود: سطحِ نخست، «اعمالِ شکلی» (آیا موضوع اساساً وارد رساله شده؟) و سطحِ دوم، «اعمالِ محتوایی و تحلیلی» (آیا با عمقِ درخورِ رسالهٔ دکتری واکاوی شده؟). این سند نشان می‌دهد که هر بندِ ساختاری و تحلیلیِ قابلِ‌عملیاتی‌سازی چگونه در نسخهٔ کنونی پیاده شده است.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دامنهٔ صداقتِ علمی: اصلاحاتِ اعمال‌شده، «داربستِ ساختاری و تحلیلیِ» موردِ انتظارِ گزارش را برپا می‌کنند — بازآراییِ فصل‌ها، افزودنِ بخش‌های مفقود، بازنویسیِ فرضیه‌ها به‌صورتِ شرطی و آزمون‌پذیر، مستندسازیِ روش‌شناسیِ مرورِ نظام‌مند (PRISMA)، افزودنِ چارچوبِ خلافِ‌واقع و مطالعاتِ موردی، و ممیزیِ منابع. با این‌همه، همان‌گونه که خودِ گزارشِ استاد نیز تأکید می‌کند، ژرف‌سازیِ نهاییِ محتوایی و راستی‌آزماییِ تک‌تکِ استنادها همچنان کارِ پژوهشگر است؛ این سند جای آن کار را نمی‌گیرد، بلکه بستری منظم برای آن فراهم می‌آورد.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اصلِ استنادیِ حاکم بر این گذر: هیچ منبعِ ساختگی افزوده نشده است. همهٔ ارجاع‌های نو از پیکرهٔ واقعیِ پژوهش برگرفته‌اند — از جمله کارِ کمیسیون حقوق بین‌الملل دربارهٔ چندپارگی (A/CN.4/L.682، ۲۰۰۶)، مادهٔ ۳۱(۳)(ج) کنوانسیون وین دربارهٔ حقوق معاهدات، گزارشِ دبیرکل (A/73/419)، قطعنامه‌های ۷۲/۲۷۷ و ۷۶/۳۰۰ مجمع عمومی، و معاهداتِ واقعیِ محیط‌زیستی (توافقِ پاریس ۲۰۱۵، کنوانسیون تنوع زیستی ۱۹۹۲، کنوانسیون بازل ۱۹۸۹ و موافقت‌نامهٔ BBNJ ۲۰۲۳). منابعِ داوری‌نشده در پیکره به‌صراحت علامت‌گذاری شده‌اند.</w:t>
      </w:r>
    </w:p>
    <w:p>
      <w:r>
        <w:br w:type="page"/>
      </w:r>
    </w:p>
    <w:p>
      <w:pPr>
        <w:shd w:val="clear" w:color="auto" w:fill="123a52"/>
        <w:pBdr>
          <w:top w:val="single" w:sz="2" w:space="6" w:color="123a52"/>
          <w:bottom w:val="single" w:sz="2" w:space="6" w:color="123a52"/>
          <w:left w:val="single" w:sz="2" w:space="6" w:color="123a52"/>
          <w:right w:val="single" w:sz="2" w:space="6" w:color="123a52"/>
        </w:pBdr>
        <w:bidi w:val="1"/>
        <w:spacing w:line="312" w:lineRule="auto" w:before="0" w:after="160"/>
        <w:ind w:right="57" w:left="57"/>
        <w:jc w:val="right"/>
      </w:pPr>
      <w:r>
        <w:rPr>
          <w:rFonts w:ascii="Times New Roman" w:hAnsi="Times New Roman" w:cs="B Nazanin"/>
          <w:sz w:val="24"/>
          <w:szCs w:val="30"/>
          <w:rtl w:val="1"/>
          <w:b/>
          <w:bCs/>
          <w:color w:val="ffffff"/>
        </w:rPr>
        <w:t>فصل اول — پرسش‌ها، فرضیه‌ها و روش‌شناسی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بازنویسیِ فرضیه‌ها به‌صورتِ شرطی و آزمون‌پذیر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سه فرضیهٔ پژوهش از گزاره‌های کلی به فرضیه‌های شرطیِ «اگر… آنگاه…» بازنویسی شدند تا معیارِ ابطال‌پذیری و آزمون‌پذیریِ موردِ انتظارِ رسالهٔ دکتری را برآورده کنند و مستقیماً به پرسش‌های پژوهش گره بخورند.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مستندسازیِ روش‌شناسیِ مرورِ نظام‌مند (PRISMA)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بخشِ نوِ «۱-۵-۱» با سیاههٔ دوازده‌بندیِ روش و جدولِ PRISMA افزوده شد. اعدادِ جدول از پیکرهٔ واقعیِ داده‌کاوی (شناسایی‌شده، پس از حذفِ تکراری، واجدِ شرایط، واردشده) برداشته شده‌اند، نه اعدادِ فرضی.</w:t>
      </w:r>
    </w:p>
    <w:p>
      <w:pPr>
        <w:pBdr>
          <w:bottom w:val="single" w:sz="6" w:space="1" w:color="b08d3f"/>
        </w:pBdr>
        <w:bidi w:val="1"/>
        <w:spacing w:line="312" w:lineRule="auto" w:before="0" w:after="40"/>
        <w:jc w:val="right"/>
      </w:pPr>
    </w:p>
    <w:p>
      <w:pPr>
        <w:shd w:val="clear" w:color="auto" w:fill="1c4a63"/>
        <w:pBdr>
          <w:top w:val="single" w:sz="2" w:space="6" w:color="1c4a63"/>
          <w:bottom w:val="single" w:sz="2" w:space="6" w:color="1c4a63"/>
          <w:left w:val="single" w:sz="2" w:space="6" w:color="1c4a63"/>
          <w:right w:val="single" w:sz="2" w:space="6" w:color="1c4a63"/>
        </w:pBdr>
        <w:bidi w:val="1"/>
        <w:spacing w:line="312" w:lineRule="auto" w:before="0" w:after="160"/>
        <w:ind w:right="57" w:left="57"/>
        <w:jc w:val="right"/>
      </w:pPr>
      <w:r>
        <w:rPr>
          <w:rFonts w:ascii="Times New Roman" w:hAnsi="Times New Roman" w:cs="B Nazanin"/>
          <w:sz w:val="24"/>
          <w:szCs w:val="30"/>
          <w:rtl w:val="1"/>
          <w:b/>
          <w:bCs/>
          <w:color w:val="ffffff"/>
        </w:rPr>
        <w:t>فصل دوم — مبانیِ فلسفی، آنتروپوسن و چندپارگی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افزودنِ سیرِ مکاتبِ فلسفی (انسان‌محور، بوم‌محور، حق‌محور)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زیربخش‌های ۲-۷-۱ تا ۲-۷-۵ افزوده شد: از رویکردِ انسان‌محور و بازتابِ حقوقیِ آن، تا رویکردِ بوم‌محور و ارزشِ ذاتیِ طبیعت، رویکردِ حق‌محور، زنجیرهٔ استدلالیِ «از مکتبِ فلسفی تا رژیمِ حقوقی»، و پیوندِ آنتروپوسن با ضرورتِ بازاندیشیِ ساختاری.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عملیاتی‌سازیِ پنج ویژگیِ حقوق بین‌الملل محیط زیست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زیربخش‌های ۲-۸-۱ تا ۲-۸-۵ (واکنشی، بخشی، تدریجی، پراکنده، اجماعی‌بودن) افزوده شد؛ هر ویژگی با پرسش‌های تحلیلیِ راهنما برای ژرف‌سازیِ بعدی چارچوب‌بندی شده است.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تفکیکِ «جامعیت» از «انسجام» و بازتعریفِ پراکندگی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زیربخش‌های ۲-۹-۱ و ۲-۹-۲ افزوده شد؛ نکتهٔ نظریِ کانونی این است که جامعیت لزوماً به انسجام نمی‌انجامد و پراکندگی به‌جای «نقصِ صِرف»، ویژگیِ ساختاریِ نظام بازتعریف می‌شود — با اتکا به کارِ کمیسیون حقوق بین‌الملل.</w:t>
      </w:r>
    </w:p>
    <w:p>
      <w:pPr>
        <w:pBdr>
          <w:bottom w:val="single" w:sz="6" w:space="1" w:color="b08d3f"/>
        </w:pBdr>
        <w:bidi w:val="1"/>
        <w:spacing w:line="312" w:lineRule="auto" w:before="0" w:after="40"/>
        <w:jc w:val="right"/>
      </w:pPr>
    </w:p>
    <w:p>
      <w:pPr>
        <w:shd w:val="clear" w:color="auto" w:fill="5a4a8a"/>
        <w:pBdr>
          <w:top w:val="single" w:sz="2" w:space="6" w:color="5a4a8a"/>
          <w:bottom w:val="single" w:sz="2" w:space="6" w:color="5a4a8a"/>
          <w:left w:val="single" w:sz="2" w:space="6" w:color="5a4a8a"/>
          <w:right w:val="single" w:sz="2" w:space="6" w:color="5a4a8a"/>
        </w:pBdr>
        <w:bidi w:val="1"/>
        <w:spacing w:line="312" w:lineRule="auto" w:before="0" w:after="160"/>
        <w:ind w:right="57" w:left="57"/>
        <w:jc w:val="right"/>
      </w:pPr>
      <w:r>
        <w:rPr>
          <w:rFonts w:ascii="Times New Roman" w:hAnsi="Times New Roman" w:cs="B Nazanin"/>
          <w:sz w:val="24"/>
          <w:szCs w:val="30"/>
          <w:rtl w:val="1"/>
          <w:b/>
          <w:bCs/>
          <w:color w:val="ffffff"/>
        </w:rPr>
        <w:t>فصل سوم — نقدِ روش‌شناختیِ خلأها و ابتکارِ پیمان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تفکیکِ «خلأ» از «خلأِ حقوقی» در خوانشِ گزارشِ دبیرکل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بخشِ ۳-۲-۸ با چهار تفکیکِ مفهومی افزوده شد تا میانِ نبودِ قاعده و نبودِ اجرا/نهاد/انسجام تمایز گذاشته شود.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سطح‌بندیِ ضرورتِ پیمان و تحلیلِ دامنه به‌مثابهٔ عللِ شکست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بخش‌های ۳-۲-۹ (ضرورت در سه سطحِ هنجاری/نهادی/اجرایی)، ۳-۲-۱۰ (جامعیتِ بیش‌ازحد به‌مثابهٔ آسیب)، ۳-۲-۱۱ (ماهیت و جایگاهِ حقوقی و ادغامِ نظام‌مند) افزوده شد.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تفکیکِ نوآوریِ پیمان از نوآوریِ پژوهش و طبقه‌بندیِ کاستی‌ها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بخش‌های ۳-۲-۱۲ و ۳-۲-۱۳ افزوده شد؛ کاستی‌های پیمان در هفت دسته طبقه‌بندی شد تا ارزیابیِ انتقادی نظام‌مند شود.</w:t>
      </w:r>
    </w:p>
    <w:p>
      <w:pPr>
        <w:pBdr>
          <w:bottom w:val="single" w:sz="6" w:space="1" w:color="b08d3f"/>
        </w:pBdr>
        <w:bidi w:val="1"/>
        <w:spacing w:line="312" w:lineRule="auto" w:before="0" w:after="40"/>
        <w:jc w:val="right"/>
      </w:pPr>
    </w:p>
    <w:p>
      <w:pPr>
        <w:shd w:val="clear" w:color="auto" w:fill="1e6b3a"/>
        <w:pBdr>
          <w:top w:val="single" w:sz="2" w:space="6" w:color="1e6b3a"/>
          <w:bottom w:val="single" w:sz="2" w:space="6" w:color="1e6b3a"/>
          <w:left w:val="single" w:sz="2" w:space="6" w:color="1e6b3a"/>
          <w:right w:val="single" w:sz="2" w:space="6" w:color="1e6b3a"/>
        </w:pBdr>
        <w:bidi w:val="1"/>
        <w:spacing w:line="312" w:lineRule="auto" w:before="0" w:after="160"/>
        <w:ind w:right="57" w:left="57"/>
        <w:jc w:val="right"/>
      </w:pPr>
      <w:r>
        <w:rPr>
          <w:rFonts w:ascii="Times New Roman" w:hAnsi="Times New Roman" w:cs="B Nazanin"/>
          <w:sz w:val="24"/>
          <w:szCs w:val="30"/>
          <w:rtl w:val="1"/>
          <w:b/>
          <w:bCs/>
          <w:color w:val="ffffff"/>
        </w:rPr>
        <w:t>فصل چهارم — خلافِ‌واقع، مطالعاتِ موردی و نقشهٔ راه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افزودنِ گفتارِ سومِ خلافِ‌واقع (چارچوبِ هشت‌مرحله‌ای)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گفتارِ نوِ ۴-۴ با چارچوبِ تحلیلِ خلافِ‌واقع افزوده شد تا «اثرِ پیمان بر MEAها» به‌جای ادعای کلی، در قالبِ سناریوی مقایسه‌ایِ روشمند سنجیده شود.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چهار مطالعهٔ موردیِ واقعی (پاریس، CBD، بازل، BBNJ)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زیربخش‌های ۴-۴-۱ تا ۴-۴-۴ افزوده شد؛ هر مطالعهٔ موردی بر معاهده‌ای واقعی استوار است و با الگوی ده‌پرسشی برای واکاویِ اثرِ فرضیِ پیمان چارچوب‌بندی شده است.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جدولِ تطبیقی، تحلیلِ کشورمحور و عملیاتی‌سازیِ نقشهٔ راه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بخشِ ۴-۴-۵ شاملِ جدولِ تطبیقیِ واقعیِ «پیمان جهانی در برابرِ مذاکراتِ موازی» (با نمایشِ راست‌به‌چپ در سند)، ۴-۴-۶ مواضعِ دولت‌ها (اتحادیهٔ اروپا، آمریکا، روسیه، کشورهای درحال‌توسعه)، و ۴-۴-۷ عملیاتی‌سازیِ نقشهٔ راه (UNEP، UPR، خوشه‌بندیِ معاهدات) است.</w:t>
      </w:r>
    </w:p>
    <w:p>
      <w:pPr>
        <w:pBdr>
          <w:bottom w:val="single" w:sz="6" w:space="1" w:color="b08d3f"/>
        </w:pBdr>
        <w:bidi w:val="1"/>
        <w:spacing w:line="312" w:lineRule="auto" w:before="0" w:after="40"/>
        <w:jc w:val="right"/>
      </w:pPr>
    </w:p>
    <w:p>
      <w:pPr>
        <w:shd w:val="clear" w:color="auto" w:fill="b03a2e"/>
        <w:pBdr>
          <w:top w:val="single" w:sz="2" w:space="6" w:color="b03a2e"/>
          <w:bottom w:val="single" w:sz="2" w:space="6" w:color="b03a2e"/>
          <w:left w:val="single" w:sz="2" w:space="6" w:color="b03a2e"/>
          <w:right w:val="single" w:sz="2" w:space="6" w:color="b03a2e"/>
        </w:pBdr>
        <w:bidi w:val="1"/>
        <w:spacing w:line="312" w:lineRule="auto" w:before="0" w:after="160"/>
        <w:ind w:right="57" w:left="57"/>
        <w:jc w:val="right"/>
      </w:pPr>
      <w:r>
        <w:rPr>
          <w:rFonts w:ascii="Times New Roman" w:hAnsi="Times New Roman" w:cs="B Nazanin"/>
          <w:sz w:val="24"/>
          <w:szCs w:val="30"/>
          <w:rtl w:val="1"/>
          <w:b/>
          <w:bCs/>
          <w:color w:val="ffffff"/>
        </w:rPr>
        <w:t>فصل پنجم — بازسازیِ ساختارِ نتیجه‌گیری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رفعِ ایرادِ شماره‌گذاریِ تکراری و بازآراییِ نُه‌بخشی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ساختارِ فصلِ پنجم که دچارِ شماره‌گذاریِ تکراری (تکرارِ ۵-۴ و ۵-۵) بود، به یک ساختارِ منسجمِ نُه‌بخشی بازآرایی شد: جمع‌بندیِ یافته‌ها، پاسخ به پرسشِ اصلی، پاسخ به پرسش‌های فرعی، ارزیابیِ فرضیه‌ها، نوآوری، پیشنهادهای حقوقی، محدودیت‌ها، پیشنهادهای پژوهشِ آینده، و نتیجه‌گیریِ نهایی.</w:t>
      </w:r>
    </w:p>
    <w:p>
      <w:pPr>
        <w:pBdr>
          <w:bottom w:val="single" w:sz="6" w:space="1" w:color="b08d3f"/>
        </w:pBdr>
        <w:bidi w:val="1"/>
        <w:spacing w:line="312" w:lineRule="auto" w:before="0" w:after="40"/>
        <w:jc w:val="right"/>
      </w:pPr>
    </w:p>
    <w:p>
      <w:pPr>
        <w:shd w:val="clear" w:color="auto" w:fill="b08d3f"/>
        <w:pBdr>
          <w:top w:val="single" w:sz="2" w:space="6" w:color="b08d3f"/>
          <w:bottom w:val="single" w:sz="2" w:space="6" w:color="b08d3f"/>
          <w:left w:val="single" w:sz="2" w:space="6" w:color="b08d3f"/>
          <w:right w:val="single" w:sz="2" w:space="6" w:color="b08d3f"/>
        </w:pBdr>
        <w:bidi w:val="1"/>
        <w:spacing w:line="312" w:lineRule="auto" w:before="0" w:after="160"/>
        <w:ind w:right="57" w:left="57"/>
        <w:jc w:val="right"/>
      </w:pPr>
      <w:r>
        <w:rPr>
          <w:rFonts w:ascii="Times New Roman" w:hAnsi="Times New Roman" w:cs="B Nazanin"/>
          <w:sz w:val="24"/>
          <w:szCs w:val="30"/>
          <w:rtl w:val="1"/>
          <w:b/>
          <w:bCs/>
          <w:color w:val="ffffff"/>
        </w:rPr>
        <w:t>سراسرِ رساله — پاک‌سازیِ اصطلاحات، منابع و قالب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حذفِ اصطلاحاتِ ابداعیِ غیرمعیار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اصطلاحاتِ ساختگی مانندِ «سندِ چتر»، «معماریِ لایه‌ای»، «سخت‌شدنِ حقوق نرم» و مانندِ آن‌ها با معادل‌های پذیرفته‌شدهٔ حقوقی جایگزین شد تا زبانِ رساله به معیارِ دانشگاهی نزدیک شود.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ممیزی و یکدست‌سازیِ فهرستِ منابع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منابعِ تکراریِ نزدیک‌به‌هم (از جمله مدخل‌های Aguila و Viñuales) شناسایی و ادغام شد و نشانگرِ «استنادشده» یکدست گردید.</w:t>
      </w:r>
    </w:p>
    <w:p>
      <w:pPr>
        <w:shd w:val="clear" w:color="auto" w:fill="eaf1f6"/>
        <w:pBdr>
          <w:right w:val="single" w:sz="24" w:space="6" w:color="b08d3f"/>
        </w:pBdr>
        <w:bidi w:val="1"/>
        <w:spacing w:line="312" w:lineRule="auto" w:before="200" w:after="120"/>
        <w:ind w:right="57"/>
        <w:jc w:val="right"/>
      </w:pPr>
      <w:r>
        <w:rPr>
          <w:rFonts w:ascii="Times New Roman" w:hAnsi="Times New Roman" w:cs="B Nazanin"/>
          <w:sz w:val="24"/>
          <w:szCs w:val="26"/>
          <w:rtl w:val="1"/>
          <w:b/>
          <w:bCs/>
          <w:color w:val="123a52"/>
        </w:rPr>
        <w:t>یکدست‌سازیِ تایپوگرافیِ فارسی و درجِ امضای پروژه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نیم‌فاصله، فاصله‌گذاری و نشانه‌گذاریِ فارسی در سراسرِ سند یکدست شد و امضای پروژه در فوترِ متادیتا درج گردید.</w:t>
      </w:r>
    </w:p>
    <w:p>
      <w:pPr>
        <w:pBdr>
          <w:bottom w:val="single" w:sz="6" w:space="1" w:color="b08d3f"/>
        </w:pBdr>
        <w:bidi w:val="1"/>
        <w:spacing w:line="312" w:lineRule="auto" w:before="0" w:after="40"/>
        <w:jc w:val="right"/>
      </w:pPr>
    </w:p>
    <w:p/>
    <w:p>
      <w:pPr>
        <w:shd w:val="clear" w:color="auto" w:fill="123a52"/>
        <w:pBdr>
          <w:top w:val="single" w:sz="2" w:space="6" w:color="123a52"/>
          <w:bottom w:val="single" w:sz="2" w:space="6" w:color="123a52"/>
          <w:left w:val="single" w:sz="2" w:space="6" w:color="123a52"/>
          <w:right w:val="single" w:sz="2" w:space="6" w:color="123a52"/>
        </w:pBdr>
        <w:bidi w:val="1"/>
        <w:spacing w:line="312" w:lineRule="auto" w:before="0" w:after="160"/>
        <w:ind w:right="57" w:left="57"/>
        <w:jc w:val="right"/>
      </w:pPr>
      <w:r>
        <w:rPr>
          <w:rFonts w:ascii="Times New Roman" w:hAnsi="Times New Roman" w:cs="B Nazanin"/>
          <w:sz w:val="24"/>
          <w:szCs w:val="32"/>
          <w:rtl w:val="1"/>
          <w:b/>
          <w:bCs/>
          <w:color w:val="ffffff"/>
        </w:rPr>
        <w:t>برآیند و تأکیدِ پایانی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برآیندِ عددیِ گذر: در فصلِ دوم دوازده زیربخش، در فصلِ سوم شش بخش، و در فصلِ چهارم هشت بخشِ نو افزوده شد؛ فرضیه‌ها بازنویسی، روش‌شناسیِ PRISMA مستند، فصلِ پنجم بازآرایی، و فهرستِ منابع ممیزی شد. مجموعِ بخش‌های رساله پس از اصلاح به بیش از یک‌صد و سی بخش رسید.</w:t>
      </w:r>
    </w:p>
    <w:p>
      <w:pPr>
        <w:bidi w:val="1"/>
        <w:spacing w:line="312" w:lineRule="auto" w:before="0" w:after="120"/>
        <w:ind w:firstLine="340"/>
        <w:jc w:val="both"/>
      </w:pPr>
      <w:r>
        <w:rPr>
          <w:rFonts w:ascii="Times New Roman" w:hAnsi="Times New Roman" w:cs="B Nazanin"/>
          <w:sz w:val="22"/>
          <w:szCs w:val="28"/>
          <w:rtl w:val="1"/>
        </w:rPr>
        <w:t>تأکیدِ پایانی و صادقانه: این گذر، «چارچوب و داربستِ» موردِ انتظارِ گزارشِ ۹۰بندی را کامل می‌کند، اما رساله را به «نسخهٔ نهاییِ آمادهٔ دفاعِ بی‌نقص» بدل نمی‌کند. گامِ بعدی — که برعهدهٔ پژوهشگر است — پرکردنِ این داربست با تحلیلِ محتواییِ ژرف، افزودنِ شواهدِ موردیِ مستند، و راستی‌آزماییِ تک‌تکِ استنادها در سطحِ رسالهٔ دکتریِ حقوق بین‌الملل است.</w:t>
      </w:r>
    </w:p>
    <w:p/>
    <w:p>
      <w:pPr>
        <w:pBdr>
          <w:bottom w:val="single" w:sz="6" w:space="1" w:color="b08d3f"/>
        </w:pBdr>
        <w:bidi w:val="1"/>
        <w:spacing w:line="312" w:lineRule="auto" w:before="0" w:after="40"/>
        <w:jc w:val="right"/>
      </w:pPr>
    </w:p>
    <w:p>
      <w:pPr>
        <w:bidi w:val="1"/>
        <w:spacing w:line="312" w:lineRule="auto" w:before="0" w:after="80"/>
        <w:jc w:val="center"/>
      </w:pPr>
      <w:r>
        <w:rPr>
          <w:rFonts w:ascii="Times New Roman" w:hAnsi="Times New Roman" w:cs="B Nazanin"/>
          <w:sz w:val="24"/>
          <w:szCs w:val="22"/>
          <w:rtl w:val="1"/>
        </w:rPr>
        <w:t>HJR's Agentic Architecture @2026 — Dedicated for Dr. Masoud Ahsannejad</w:t>
      </w:r>
    </w:p>
    <w:sectPr w:rsidR="00FC693F" w:rsidRPr="0006063C" w:rsidSect="00034616">
      <w:pgSz w:w="11906" w:h="16838"/>
      <w:pgMar w:top="1701" w:right="1587" w:bottom="1587" w:left="158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B Nazani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">
    <w:name w:val="FootnoteText"/>
    <w:pPr>
      <w:spacing w:after="0"/>
    </w:pPr>
    <w:rPr>
      <w:rFonts w:ascii="Times New Roman" w:hAnsi="Times New Roman"/>
      <w:sz w:val="22"/>
    </w:rPr>
  </w:style>
  <w:style w:type="character" w:customStyle="1" w:styleId="FootnoteReference">
    <w:name w:val="FootnoteReference"/>
    <w:rPr>
      <w:sz w:val="22"/>
      <w:vertAlign w:val="superscript"/>
    </w:rPr>
  </w:style>
  <w:style w:type="paragraph" w:customStyle="1" w:styleId="GPEHeading1">
    <w:name w:val="GPEHeading1"/>
    <w:basedOn w:val="Normal"/>
    <w:next w:val="Normal"/>
    <w:pPr>
      <w:keepNext/>
      <w:bidi w:val="1"/>
      <w:jc w:val="right"/>
    </w:pPr>
    <w:rPr>
      <w:rtl w:val="1"/>
      <w:b/>
      <w:bCs/>
    </w:rPr>
  </w:style>
  <w:style w:type="paragraph" w:customStyle="1" w:styleId="GPEHeading2">
    <w:name w:val="GPEHeading2"/>
    <w:basedOn w:val="Normal"/>
    <w:next w:val="Normal"/>
    <w:pPr>
      <w:keepNext/>
      <w:bidi w:val="1"/>
      <w:jc w:val="right"/>
    </w:pPr>
    <w:rPr>
      <w:rtl w:val="1"/>
      <w:b/>
      <w:bCs/>
    </w:rPr>
  </w:style>
  <w:style w:type="paragraph" w:customStyle="1" w:styleId="GPEHeading3">
    <w:name w:val="GPEHeading3"/>
    <w:basedOn w:val="Normal"/>
    <w:next w:val="Normal"/>
    <w:pPr>
      <w:keepNext/>
      <w:bidi w:val="1"/>
      <w:jc w:val="right"/>
    </w:pPr>
    <w:rPr>
      <w:rtl w:val="1"/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