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12" w:lineRule="auto" w:before="480" w:after="120"/>
        <w:jc w:val="center"/>
      </w:pPr>
      <w:r>
        <w:rPr>
          <w:rFonts w:ascii="Times New Roman" w:hAnsi="Times New Roman" w:cs="B Nazanin"/>
          <w:sz w:val="24"/>
          <w:szCs w:val="32"/>
          <w:rtl w:val="1"/>
          <w:b/>
          <w:bCs/>
        </w:rPr>
        <w:t>دانشگاه آزاد اسلامی، واحد تهران جنوب</w:t>
      </w:r>
    </w:p>
    <w:p>
      <w:pPr>
        <w:bidi w:val="1"/>
        <w:spacing w:line="312" w:lineRule="auto" w:before="0" w:after="600"/>
        <w:jc w:val="center"/>
      </w:pPr>
      <w:r>
        <w:rPr>
          <w:rFonts w:ascii="Times New Roman" w:hAnsi="Times New Roman" w:cs="B Nazanin"/>
          <w:sz w:val="24"/>
          <w:szCs w:val="26"/>
          <w:rtl w:val="1"/>
        </w:rPr>
        <w:t>رسالهٔ دکتری تخصصی — حقوق بین‌الملل عمومی</w:t>
      </w:r>
    </w:p>
    <w:p>
      <w:pPr>
        <w:bidi w:val="1"/>
        <w:spacing w:line="312" w:lineRule="auto" w:before="0" w:after="120"/>
        <w:jc w:val="center"/>
      </w:pPr>
      <w:r>
        <w:rPr>
          <w:rFonts w:ascii="Times New Roman" w:hAnsi="Times New Roman" w:cs="B Nazanin"/>
          <w:sz w:val="24"/>
          <w:szCs w:val="26"/>
          <w:rtl w:val="1"/>
          <w:b/>
          <w:bCs/>
        </w:rPr>
        <w:t>عنوان:</w:t>
      </w:r>
    </w:p>
    <w:p>
      <w:pPr>
        <w:bidi w:val="1"/>
        <w:spacing w:line="312" w:lineRule="auto" w:before="0" w:after="200"/>
        <w:jc w:val="center"/>
      </w:pPr>
      <w:r>
        <w:rPr>
          <w:rFonts w:ascii="Times New Roman" w:hAnsi="Times New Roman" w:cs="B Nazanin"/>
          <w:sz w:val="24"/>
          <w:szCs w:val="36"/>
          <w:rtl w:val="1"/>
          <w:b/>
          <w:bCs/>
        </w:rPr>
        <w:t>شکل‌گیری پیمان جهانی محیط زیست و تأثیرات آن بر موافقت‌نامه‌های چندجانبهٔ محیط‌زیستی</w:t>
      </w:r>
    </w:p>
    <w:p>
      <w:pPr>
        <w:bidi w:val="1"/>
        <w:spacing w:line="312" w:lineRule="auto" w:before="0" w:after="600"/>
        <w:jc w:val="center"/>
      </w:pPr>
      <w:r>
        <w:rPr>
          <w:rFonts w:ascii="Times New Roman" w:hAnsi="Times New Roman" w:cs="Times New Roman"/>
          <w:sz w:val="24"/>
          <w:szCs w:val="24"/>
        </w:rPr>
        <w:t>The Formation of the Global Pact for the Environment and Its Effects on Multilateral Environmental Agreements</w:t>
      </w:r>
    </w:p>
    <w:p>
      <w:pPr>
        <w:bidi w:val="1"/>
        <w:spacing w:line="312" w:lineRule="auto" w:before="0" w:after="120"/>
        <w:jc w:val="center"/>
      </w:pPr>
      <w:r>
        <w:rPr>
          <w:rFonts w:ascii="Times New Roman" w:hAnsi="Times New Roman" w:cs="B Nazanin"/>
          <w:sz w:val="24"/>
          <w:szCs w:val="28"/>
          <w:rtl w:val="1"/>
          <w:b/>
          <w:bCs/>
        </w:rPr>
        <w:t>استاد راهنما: دکتر مسعود احسان‌نژاد</w:t>
      </w:r>
    </w:p>
    <w:p>
      <w:pPr>
        <w:bidi w:val="1"/>
        <w:spacing w:line="312" w:lineRule="auto" w:before="0" w:after="120"/>
        <w:jc w:val="center"/>
      </w:pPr>
      <w:r>
        <w:rPr>
          <w:rFonts w:ascii="Times New Roman" w:hAnsi="Times New Roman" w:cs="B Nazanin"/>
          <w:sz w:val="24"/>
          <w:szCs w:val="26"/>
          <w:rtl w:val="1"/>
        </w:rPr>
        <w:t>سال تحصیلی ۱۴۰۴–۱۴۰۵</w:t>
      </w:r>
    </w:p>
    <w:p>
      <w:r>
        <w:br w:type="page"/>
      </w:r>
    </w:p>
    <w:p>
      <w:pPr>
        <w:bidi w:val="1"/>
        <w:spacing w:line="312" w:lineRule="auto" w:before="800" w:after="800"/>
        <w:jc w:val="center"/>
      </w:pPr>
      <w:r>
        <w:rPr>
          <w:rFonts w:ascii="Times New Roman" w:hAnsi="Times New Roman" w:cs="B Nazanin"/>
          <w:sz w:val="24"/>
          <w:szCs w:val="32"/>
          <w:rtl w:val="1"/>
          <w:b/>
          <w:bCs/>
        </w:rPr>
        <w:t>بِسْمِ اللَّهِ الرَّحْمَٰنِ الرَّحِيمِ</w:t>
      </w:r>
    </w:p>
    <w:p>
      <w:r>
        <w:br w:type="page"/>
      </w:r>
    </w:p>
    <w:p>
      <w:pPr>
        <w:bidi w:val="1"/>
        <w:spacing w:line="312" w:lineRule="auto" w:before="600" w:after="200"/>
        <w:jc w:val="center"/>
      </w:pPr>
      <w:r>
        <w:rPr>
          <w:rFonts w:ascii="Times New Roman" w:hAnsi="Times New Roman" w:cs="B Nazanin"/>
          <w:sz w:val="24"/>
          <w:szCs w:val="28"/>
          <w:rtl w:val="1"/>
          <w:b/>
          <w:bCs/>
        </w:rPr>
        <w:t>تقدیم</w:t>
      </w:r>
    </w:p>
    <w:p>
      <w:pPr>
        <w:bidi w:val="1"/>
        <w:spacing w:line="312" w:lineRule="auto" w:before="0" w:after="120"/>
        <w:jc w:val="center"/>
      </w:pPr>
      <w:r>
        <w:rPr>
          <w:rFonts w:ascii="Times New Roman" w:hAnsi="Times New Roman" w:cs="B Nazanin"/>
          <w:sz w:val="24"/>
          <w:szCs w:val="26"/>
          <w:rtl w:val="1"/>
        </w:rPr>
        <w:t>این بخش (تقدیم‌نامه) مطابق سلیقهٔ نگارنده تکمیل می‌شود.</w:t>
      </w:r>
    </w:p>
    <w:p>
      <w:r>
        <w:br w:type="page"/>
      </w:r>
    </w:p>
    <w:p>
      <w:pPr>
        <w:bidi w:val="1"/>
        <w:spacing w:line="312" w:lineRule="auto" w:before="0" w:after="160"/>
        <w:jc w:val="center"/>
      </w:pPr>
      <w:r>
        <w:rPr>
          <w:rFonts w:ascii="Times New Roman" w:hAnsi="Times New Roman" w:cs="B Nazanin"/>
          <w:sz w:val="22"/>
          <w:szCs w:val="24"/>
          <w:rtl w:val="1"/>
          <w:b/>
          <w:bCs/>
        </w:rPr>
        <w:t>چکیده</w:t>
      </w:r>
    </w:p>
    <w:p>
      <w:pPr>
        <w:bidi w:val="1"/>
        <w:spacing w:line="312" w:lineRule="auto" w:before="0" w:after="160"/>
        <w:jc w:val="both"/>
      </w:pPr>
      <w:r>
        <w:rPr>
          <w:rFonts w:ascii="Times New Roman" w:hAnsi="Times New Roman" w:cs="B Nazanin"/>
          <w:sz w:val="22"/>
          <w:szCs w:val="24"/>
          <w:rtl w:val="1"/>
        </w:rPr>
        <w:t>این رساله فرایندِ شکل‌گیریِ «پیمان جهانی محیط زیست» (۲۰۱۷–۲۰۲۲) و تأثیرِ آن بر موافقت‌نامه‌های چندجانبهٔ محیط‌زیستی (MEAs) را بررسی می‌کند. با روشِ توصیفی‑تحلیلیِ حقوقی و با تکیه بر سندِ چندپارگیِ کمیسیون حقوق بین‌الملل (۲۰۰۶) به‌عنوان چارچوبِ نظری، استدلال می‌شود که هدفِ پیمان — گردآوریِ اصولِ بنیادین در یک سندِ چترِ الزام‌آور و گذارِ تدریجیِ اصول از حقوق نرم به حقوق سخت از رهگذرِ «یکپارچه‌سازیِ نظام‌مند» (مادهٔ ۳۱(۳)(ج) کنوانسیون وین) — موجه بود، اما ابزارِ برگزیده (معاهدهٔ فراگیرِ اجماع‌محورِ واحد) با سرشتِ واکنشی، بخشی و تدریجیِ حقوق بین‌الملل محیط زیست ناسازگار افتاد و مذاکرات در ۲۰۲۲ به معاهده نینجامید. یافتهٔ کانونی این است که تأثیرِ واقعیِ پیمان نه از تصویبِ آن، بلکه از فرایندِ شکل‌گیری و ناکامیِ آن برخاست: تقویتِ گفتمانِ انسجام‌بخشی و زمینه‌سازی برای شناساییِ حقِ جهانی بر محیط‌زیستِ سالم در قطعنامهٔ ۷۶/۳۰۰ مجمع عمومی. رساله در پایان نقشهٔ راهی شش‌ستونه برای تحققِ همان هدف از مسیرهای واقع‌بینانه‌تر (توسعهٔ قضایی، تقویتِ نهادیِ برنامهٔ محیط زیست ملل متحد، بازنگریِ دوره‌ای، خوشه‌بندیِ معاهدات، کاربستِ راهبردیِ حقوق نرم و تفسیرِ یکسانِ اصول) پیشنهاد می‌کند و دلالت‌های آن را برای ایران بازمی‌نماید.</w:t>
      </w:r>
    </w:p>
    <w:p>
      <w:pPr>
        <w:bidi w:val="1"/>
        <w:spacing w:line="312" w:lineRule="auto" w:before="0" w:after="120"/>
        <w:jc w:val="both"/>
      </w:pPr>
      <w:r>
        <w:rPr>
          <w:rFonts w:ascii="Times New Roman" w:hAnsi="Times New Roman" w:cs="B Nazanin"/>
          <w:sz w:val="22"/>
          <w:szCs w:val="24"/>
          <w:rtl w:val="1"/>
          <w:b/>
          <w:bCs/>
        </w:rPr>
        <w:t xml:space="preserve">واژگان کلیدی: </w:t>
      </w:r>
      <w:r>
        <w:rPr>
          <w:rFonts w:ascii="Times New Roman" w:hAnsi="Times New Roman" w:cs="B Nazanin"/>
          <w:sz w:val="22"/>
          <w:szCs w:val="24"/>
          <w:rtl w:val="1"/>
        </w:rPr>
        <w:t>پیمان جهانی محیط زیست، موافقت‌نامه‌های چندجانبهٔ محیط‌زیستی، چندپارگیِ حقوق بین‌الملل، یکپارچه‌سازیِ نظام‌مند، حق بر محیط‌زیستِ سالم، سند چتر.</w:t>
      </w:r>
    </w:p>
    <w:p>
      <w:r>
        <w:br w:type="page"/>
      </w:r>
    </w:p>
    <w:p>
      <w:pPr>
        <w:bidi w:val="1"/>
        <w:spacing w:line="312" w:lineRule="auto" w:before="0" w:after="120"/>
        <w:jc w:val="center"/>
      </w:pPr>
      <w:r>
        <w:rPr>
          <w:rFonts w:ascii="Times New Roman" w:hAnsi="Times New Roman" w:cs="B Nazanin"/>
          <w:sz w:val="24"/>
          <w:szCs w:val="28"/>
          <w:rtl w:val="1"/>
          <w:b/>
          <w:bCs/>
        </w:rPr>
        <w:t>فهرست مطالب</w:t>
      </w:r>
    </w:p>
    <w:p>
      <w:pPr>
        <w:bidi w:val="1"/>
        <w:spacing w:line="312" w:lineRule="auto" w:before="0" w:after="120"/>
        <w:jc w:val="right"/>
      </w:pPr>
      <w:r>
        <w:fldChar w:fldCharType="begin"/>
        <w:instrText xml:space="preserve">TOC \o "1-3" \h \z \u</w:instrText>
        <w:fldChar w:fldCharType="separate"/>
        <w:t>برای به‌روزرسانی فهرست، کلید F9 را فشار دهید.</w:t>
        <w:fldChar w:fldCharType="end"/>
      </w:r>
    </w:p>
    <w:p>
      <w:r>
        <w:br w:type="page"/>
      </w:r>
    </w:p>
    <w:p>
      <w:pPr>
        <w:pStyle w:val="Heading1"/>
        <w:bidi w:val="1"/>
        <w:spacing w:line="312" w:lineRule="auto" w:before="200" w:after="120"/>
        <w:jc w:val="right"/>
      </w:pPr>
      <w:r>
        <w:rPr>
          <w:rFonts w:ascii="Times New Roman" w:hAnsi="Times New Roman" w:cs="B Nazanin"/>
          <w:sz w:val="24"/>
          <w:szCs w:val="28"/>
          <w:rtl w:val="1"/>
          <w:b/>
          <w:bCs/>
          <w:color w:val="000000"/>
        </w:rPr>
        <w:t>فصل فصل ۱: چارچوب پژوهش</w:t>
      </w:r>
    </w:p>
    <w:p>
      <w:pPr>
        <w:bidi w:val="1"/>
        <w:spacing w:line="312" w:lineRule="auto" w:before="0" w:after="160"/>
        <w:jc w:val="both"/>
      </w:pPr>
      <w:r>
        <w:rPr>
          <w:rFonts w:ascii="Times New Roman" w:hAnsi="Times New Roman" w:cs="B Nazanin"/>
          <w:sz w:val="22"/>
          <w:szCs w:val="24"/>
          <w:rtl w:val="1"/>
        </w:rPr>
        <w:t>فصل نخست، چارچوب روش‌شناختی و مفهومی رساله را تثبیت می‌کند: بیان مسئله، پرسش‌ها و فرضیه‌های ارتقایافته، اهداف، روش‌شناسی، پیشینه و ساختار. این فصل، تنشِ زمانیِ ناشی از شکست ۲۰۲۲ را با بازقاب‌بندی «تأثیر بالقوه + تحلیل خلافِ‌واقع + نقشهٔ راه آینده» حل می‌کند.</w:t>
      </w:r>
    </w:p>
    <w:p>
      <w:pPr>
        <w:pStyle w:val="Heading2"/>
        <w:bidi w:val="1"/>
        <w:spacing w:line="312" w:lineRule="auto" w:before="200" w:after="120"/>
        <w:jc w:val="right"/>
      </w:pPr>
      <w:r>
        <w:rPr>
          <w:rFonts w:ascii="Times New Roman" w:hAnsi="Times New Roman" w:cs="B Nazanin"/>
          <w:sz w:val="24"/>
          <w:szCs w:val="24"/>
          <w:rtl w:val="1"/>
          <w:b/>
          <w:bCs/>
          <w:color w:val="000000"/>
        </w:rPr>
        <w:t>۱-۱ بیان مسئله و اهمیت پژوهش</w:t>
      </w:r>
    </w:p>
    <w:p>
      <w:pPr>
        <w:bidi w:val="1"/>
        <w:spacing w:line="312" w:lineRule="auto" w:before="0" w:after="120"/>
        <w:ind w:firstLine="454"/>
        <w:jc w:val="both"/>
      </w:pPr>
      <w:r>
        <w:rPr>
          <w:rFonts w:ascii="Times New Roman" w:hAnsi="Times New Roman" w:cs="B Nazanin"/>
          <w:sz w:val="22"/>
          <w:szCs w:val="28"/>
          <w:rtl w:val="1"/>
        </w:rPr>
        <w:t>حقوق بین‌الملل محیط زیست طی بیش از پنج دهه از کنفرانس استکهلم ۱۹۷۲ تاکنون، به‌صورت واکنشی، بخشی (sectoral) و پراکنده رشد کرده است؛ نتیجهٔ این مسیرِ تکاملی، انبوهی از موافقت‌نامه‌های چندجانبهٔ محیط‌زیستی (MEAs) است که هریک به یک مسئلهٔ خاص پاسخ می‌دهند، بی‌آنکه مجموعه‌ای از اصول عمومیِ مشترک و قابل‌استناد، آن‌ها را به‌هم پیوند دهد.</w:t>
      </w:r>
      <w:r>
        <w:rPr>
          <w:rStyle w:val="FootnoteReference"/>
          <w:rtl w:val="1"/>
        </w:rPr>
        <w:footnoteReference w:id="1"/>
      </w:r>
    </w:p>
    <w:p>
      <w:pPr>
        <w:bidi w:val="1"/>
        <w:spacing w:line="312" w:lineRule="auto" w:before="0" w:after="120"/>
        <w:ind w:firstLine="454"/>
        <w:jc w:val="both"/>
      </w:pPr>
      <w:r>
        <w:rPr>
          <w:rFonts w:ascii="Times New Roman" w:hAnsi="Times New Roman" w:cs="B Nazanin"/>
          <w:sz w:val="22"/>
          <w:szCs w:val="28"/>
          <w:rtl w:val="1"/>
        </w:rPr>
        <w:t>دبیرکل سازمان ملل در گزارش A/73/419 (۲۰۱۸) این وضعیت را در سه دستهٔ خلأ صورت‌بندی کرد: خلأهای هنجاری/محتوایی، خلأهای ساختاری/حکمرانی، و خلأهای اجرا و اثربخشی. ابتکار «پیمان جهانی محیط زیست» (۲۰۱۷) دقیقاً برای پاسخ به همین خلأها و به‌ویژه فقدانِ یک سند چترِ (umbrella instrument) الزام‌آورِ حاوی اصول بنیادین طراحی شد.</w:t>
      </w:r>
      <w:r>
        <w:rPr>
          <w:rStyle w:val="FootnoteReference"/>
          <w:rtl w:val="1"/>
        </w:rPr>
        <w:footnoteReference w:id="2"/>
      </w:r>
    </w:p>
    <w:p>
      <w:pPr>
        <w:bidi w:val="1"/>
        <w:spacing w:line="312" w:lineRule="auto" w:before="0" w:after="120"/>
        <w:ind w:firstLine="454"/>
        <w:jc w:val="both"/>
      </w:pPr>
      <w:r>
        <w:rPr>
          <w:rFonts w:ascii="Times New Roman" w:hAnsi="Times New Roman" w:cs="B Nazanin"/>
          <w:sz w:val="22"/>
          <w:szCs w:val="28"/>
          <w:rtl w:val="1"/>
        </w:rPr>
        <w:t>مسئلهٔ محوری این است که فرآیند پیمان در سال ۲۰۲۲ به اعلامیهٔ سیاسیِ استکهلم+۵۰ تنزل یافت و از هدفِ الزام‌آوریِ خود بازماند. بنابراین پرسش پژوهش نه فقط «پیمان چه تأثیری خواهد داشت؟» بلکه «تأثیر بالقوهٔ آن بر MEAها چه بود، چرا محقق نشد، و پیامدهای حقوقیِ این شکست و راهکارهای جایگزین کدام‌اند؟» است.</w:t>
      </w:r>
    </w:p>
    <w:p>
      <w:pPr>
        <w:bidi w:val="1"/>
        <w:spacing w:line="312" w:lineRule="auto" w:before="0" w:after="120"/>
        <w:ind w:firstLine="454"/>
        <w:jc w:val="both"/>
      </w:pPr>
      <w:r>
        <w:rPr>
          <w:rFonts w:ascii="Times New Roman" w:hAnsi="Times New Roman" w:cs="B Nazanin"/>
          <w:sz w:val="22"/>
          <w:szCs w:val="28"/>
          <w:rtl w:val="1"/>
        </w:rPr>
        <w:t>اهمیت پژوهش دوگانه است: نظری، از حیث پرکردن خلأ ادبیاتِ فارسی و توسعهٔ نظریهٔ «سند چتر» در حقوق بین‌الملل محیط زیست؛ و کاربردی، از حیث ارائهٔ نقشهٔ راهی واقع‌بینانه برای پرکردن خلأهای هنجاری پس از شکست پیمان.</w:t>
      </w:r>
    </w:p>
    <w:p>
      <w:pPr>
        <w:pStyle w:val="Heading2"/>
        <w:bidi w:val="1"/>
        <w:spacing w:line="312" w:lineRule="auto" w:before="200" w:after="120"/>
        <w:jc w:val="right"/>
      </w:pPr>
      <w:r>
        <w:rPr>
          <w:rFonts w:ascii="Times New Roman" w:hAnsi="Times New Roman" w:cs="B Nazanin"/>
          <w:sz w:val="24"/>
          <w:szCs w:val="24"/>
          <w:rtl w:val="1"/>
          <w:b/>
          <w:bCs/>
          <w:color w:val="000000"/>
        </w:rPr>
        <w:t>۱-۲ پرسش‌های پژوهش</w:t>
      </w:r>
    </w:p>
    <w:p>
      <w:pPr>
        <w:bidi w:val="1"/>
        <w:spacing w:line="312" w:lineRule="auto" w:before="0" w:after="120"/>
        <w:ind w:firstLine="454"/>
        <w:jc w:val="both"/>
      </w:pPr>
      <w:r>
        <w:rPr>
          <w:rFonts w:ascii="Times New Roman" w:hAnsi="Times New Roman" w:cs="B Nazanin"/>
          <w:sz w:val="22"/>
          <w:szCs w:val="28"/>
          <w:rtl w:val="1"/>
        </w:rPr>
        <w:t>پرسش اصلی (نسخهٔ ارتقایافته): شکل‌گیریِ (و متقابلاً شکستِ) پیمان جهانی محیط زیست چه تأثیر بالقوه و بالفعلی بر انسجام، کارآمدی و حکمرانیِ موافقت‌نامه‌های چندجانبهٔ محیط‌زیستی داشته و خواهد داشت؟</w:t>
      </w:r>
    </w:p>
    <w:p>
      <w:pPr>
        <w:bidi w:val="1"/>
        <w:spacing w:line="312" w:lineRule="auto" w:before="0" w:after="120"/>
        <w:ind w:firstLine="454"/>
        <w:jc w:val="both"/>
      </w:pPr>
      <w:r>
        <w:rPr>
          <w:rFonts w:ascii="Times New Roman" w:hAnsi="Times New Roman" w:cs="B Nazanin"/>
          <w:sz w:val="22"/>
          <w:szCs w:val="28"/>
          <w:rtl w:val="1"/>
        </w:rPr>
        <w:t>پرسش فرعی ۱: شکل‌گیری پیمان چه ارزش افزوده‌ای برای حقوق بین‌الملل محیط زیست به‌همراه می‌آورد؟</w:t>
      </w:r>
    </w:p>
    <w:p>
      <w:pPr>
        <w:bidi w:val="1"/>
        <w:spacing w:line="312" w:lineRule="auto" w:before="0" w:after="120"/>
        <w:ind w:firstLine="454"/>
        <w:jc w:val="both"/>
      </w:pPr>
      <w:r>
        <w:rPr>
          <w:rFonts w:ascii="Times New Roman" w:hAnsi="Times New Roman" w:cs="B Nazanin"/>
          <w:sz w:val="22"/>
          <w:szCs w:val="28"/>
          <w:rtl w:val="1"/>
        </w:rPr>
        <w:t>پرسش فرعی ۲: مواضع کشورها نسبت به پیش‌نویس پیمان و استدلال‌های آن‌ها چگونه بوده است؟</w:t>
      </w:r>
    </w:p>
    <w:p>
      <w:pPr>
        <w:bidi w:val="1"/>
        <w:spacing w:line="312" w:lineRule="auto" w:before="0" w:after="120"/>
        <w:ind w:firstLine="454"/>
        <w:jc w:val="both"/>
      </w:pPr>
      <w:r>
        <w:rPr>
          <w:rFonts w:ascii="Times New Roman" w:hAnsi="Times New Roman" w:cs="B Nazanin"/>
          <w:sz w:val="22"/>
          <w:szCs w:val="28"/>
          <w:rtl w:val="1"/>
        </w:rPr>
        <w:t>پرسش فرعی ۳: نقش پیمان بر اجرا (implementation)، پایبندی (compliance)، ضمانت اجرا (enforcement) و حاکمیت قانون (rule of law) در حقوق بین‌الملل محیط زیست چگونه ارزیابی می‌شود؟</w:t>
      </w:r>
    </w:p>
    <w:p>
      <w:pPr>
        <w:bidi w:val="1"/>
        <w:spacing w:line="312" w:lineRule="auto" w:before="0" w:after="120"/>
        <w:ind w:firstLine="454"/>
        <w:jc w:val="both"/>
      </w:pPr>
      <w:r>
        <w:rPr>
          <w:rFonts w:ascii="Times New Roman" w:hAnsi="Times New Roman" w:cs="B Nazanin"/>
          <w:sz w:val="22"/>
          <w:szCs w:val="28"/>
          <w:rtl w:val="1"/>
        </w:rPr>
        <w:t>پرسش فرعی ۴: نقش پیمان بر انسجام (coherence)، کارآمدی (effectiveness) و حکمرانی (governance) موافقت‌نامه‌های چندجانبه چگونه ارزیابی می‌شود؟</w:t>
      </w:r>
    </w:p>
    <w:p>
      <w:pPr>
        <w:bidi w:val="1"/>
        <w:spacing w:line="312" w:lineRule="auto" w:before="0" w:after="120"/>
        <w:ind w:firstLine="454"/>
        <w:jc w:val="both"/>
      </w:pPr>
      <w:r>
        <w:rPr>
          <w:rFonts w:ascii="Times New Roman" w:hAnsi="Times New Roman" w:cs="B Nazanin"/>
          <w:sz w:val="22"/>
          <w:szCs w:val="28"/>
          <w:rtl w:val="1"/>
        </w:rPr>
        <w:t>پرسش فرعی ۵ (افزوده): با توجه به شکست ۲۰۲۲، پیامدهای حقوقیِ این شکست بر MEAها چیست و چه راهکار جایگزینی برای پرکردن خلأهای ناشی از آن قابل‌تصور است؟</w:t>
      </w:r>
    </w:p>
    <w:p>
      <w:pPr>
        <w:pStyle w:val="Heading2"/>
        <w:bidi w:val="1"/>
        <w:spacing w:line="312" w:lineRule="auto" w:before="200" w:after="120"/>
        <w:jc w:val="right"/>
      </w:pPr>
      <w:r>
        <w:rPr>
          <w:rFonts w:ascii="Times New Roman" w:hAnsi="Times New Roman" w:cs="B Nazanin"/>
          <w:sz w:val="24"/>
          <w:szCs w:val="24"/>
          <w:rtl w:val="1"/>
          <w:b/>
          <w:bCs/>
          <w:color w:val="000000"/>
        </w:rPr>
        <w:t>۱-۳ فرضیه‌های پژوهش</w:t>
      </w:r>
    </w:p>
    <w:p>
      <w:pPr>
        <w:bidi w:val="1"/>
        <w:spacing w:line="312" w:lineRule="auto" w:before="0" w:after="120"/>
        <w:ind w:firstLine="454"/>
        <w:jc w:val="both"/>
      </w:pPr>
      <w:r>
        <w:rPr>
          <w:rFonts w:ascii="Times New Roman" w:hAnsi="Times New Roman" w:cs="B Nazanin"/>
          <w:sz w:val="22"/>
          <w:szCs w:val="28"/>
          <w:rtl w:val="1"/>
        </w:rPr>
        <w:t>فرضیهٔ اصلی: با وجود پراکندگی و خلأهای هنجاری و فقدان سند الزام‌آورِ حاویِ اصول بنیادین، پیمان جهانی محیط زیست ظرفیتِ ایجاد نظم و توسعهٔ هنجاری و تبدیل حقوق نرم به سخت را داشت؛ اما به‌دلیل موانع ژئوپلیتیک و ساختاری، این ظرفیت بالفعل نشد و اثر آن به سطح گفتمانی/اعلامی فروکاست.</w:t>
      </w:r>
    </w:p>
    <w:p>
      <w:pPr>
        <w:bidi w:val="1"/>
        <w:spacing w:line="312" w:lineRule="auto" w:before="0" w:after="120"/>
        <w:ind w:firstLine="454"/>
        <w:jc w:val="both"/>
      </w:pPr>
      <w:r>
        <w:rPr>
          <w:rFonts w:ascii="Times New Roman" w:hAnsi="Times New Roman" w:cs="B Nazanin"/>
          <w:sz w:val="22"/>
          <w:szCs w:val="28"/>
          <w:rtl w:val="1"/>
        </w:rPr>
        <w:t>فرضیهٔ فرعی ۱: پیمان درصدد ایجاد یک سند چترِ الزام‌آور بود تا اصول عمومی را بر MEAها بگستراند و در موارد سکوت و خلأ قابل‌رجوع باشد.</w:t>
      </w:r>
    </w:p>
    <w:p>
      <w:pPr>
        <w:bidi w:val="1"/>
        <w:spacing w:line="312" w:lineRule="auto" w:before="0" w:after="120"/>
        <w:ind w:firstLine="454"/>
        <w:jc w:val="both"/>
      </w:pPr>
      <w:r>
        <w:rPr>
          <w:rFonts w:ascii="Times New Roman" w:hAnsi="Times New Roman" w:cs="B Nazanin"/>
          <w:sz w:val="22"/>
          <w:szCs w:val="28"/>
          <w:rtl w:val="1"/>
        </w:rPr>
        <w:t>فرضیهٔ فرعی ۲: مواضع کشورها در دو گروه موافق (عمدتاً اتحادیهٔ اروپا) و مخالف (آمریکا و روسیه در رأس، و بخشی از کشورهای در حال توسعه) صف‌بندی شد.</w:t>
      </w:r>
    </w:p>
    <w:p>
      <w:pPr>
        <w:bidi w:val="1"/>
        <w:spacing w:line="312" w:lineRule="auto" w:before="0" w:after="120"/>
        <w:ind w:firstLine="454"/>
        <w:jc w:val="both"/>
      </w:pPr>
      <w:r>
        <w:rPr>
          <w:rFonts w:ascii="Times New Roman" w:hAnsi="Times New Roman" w:cs="B Nazanin"/>
          <w:sz w:val="22"/>
          <w:szCs w:val="28"/>
          <w:rtl w:val="1"/>
        </w:rPr>
        <w:t>فرضیهٔ فرعی ۳: پیمان با تبیین استانداردهای شفاف و سازوکارهای نظارتی، می‌توانست وضعیت اجرا/پایبندی/ضمانت اجرا/حاکمیت قانون را ارتقا دهد.</w:t>
      </w:r>
    </w:p>
    <w:p>
      <w:pPr>
        <w:bidi w:val="1"/>
        <w:spacing w:line="312" w:lineRule="auto" w:before="0" w:after="120"/>
        <w:ind w:firstLine="454"/>
        <w:jc w:val="both"/>
      </w:pPr>
      <w:r>
        <w:rPr>
          <w:rFonts w:ascii="Times New Roman" w:hAnsi="Times New Roman" w:cs="B Nazanin"/>
          <w:sz w:val="22"/>
          <w:szCs w:val="28"/>
          <w:rtl w:val="1"/>
        </w:rPr>
        <w:t>فرضیهٔ فرعی ۴: پیمان با درج اصول کلی در سندی الزام‌آور، انسجام و کارآمدی و حکمرانی MEAها را تقویت می‌کرد.</w:t>
      </w:r>
    </w:p>
    <w:p>
      <w:pPr>
        <w:bidi w:val="1"/>
        <w:spacing w:line="312" w:lineRule="auto" w:before="0" w:after="120"/>
        <w:ind w:firstLine="454"/>
        <w:jc w:val="both"/>
      </w:pPr>
      <w:r>
        <w:rPr>
          <w:rFonts w:ascii="Times New Roman" w:hAnsi="Times New Roman" w:cs="B Nazanin"/>
          <w:sz w:val="22"/>
          <w:szCs w:val="28"/>
          <w:rtl w:val="1"/>
        </w:rPr>
        <w:t>فرضیهٔ فرعی ۵ (افزوده): پس از شکست، راهکار واقع‌بینانه نه یک معاهدهٔ واحد، بلکه راهبردِ «گذارِ تدریجیِ هنجاری به‌سوی سند چتر» است که از قطعنامهٔ حق بر محیط‌زیست سالم ۲۰۲۲ به‌مثابه میراث زندهٔ ابتکار بهره می‌گیرد.</w:t>
      </w:r>
    </w:p>
    <w:p>
      <w:pPr>
        <w:pStyle w:val="Heading2"/>
        <w:bidi w:val="1"/>
        <w:spacing w:line="312" w:lineRule="auto" w:before="200" w:after="120"/>
        <w:jc w:val="right"/>
      </w:pPr>
      <w:r>
        <w:rPr>
          <w:rFonts w:ascii="Times New Roman" w:hAnsi="Times New Roman" w:cs="B Nazanin"/>
          <w:sz w:val="24"/>
          <w:szCs w:val="24"/>
          <w:rtl w:val="1"/>
          <w:b/>
          <w:bCs/>
          <w:color w:val="000000"/>
        </w:rPr>
        <w:t>۱-۴ اهداف پژوهش</w:t>
      </w:r>
    </w:p>
    <w:p>
      <w:pPr>
        <w:bidi w:val="1"/>
        <w:spacing w:line="312" w:lineRule="auto" w:before="0" w:after="120"/>
        <w:ind w:firstLine="454"/>
        <w:jc w:val="both"/>
      </w:pPr>
      <w:r>
        <w:rPr>
          <w:rFonts w:ascii="Times New Roman" w:hAnsi="Times New Roman" w:cs="B Nazanin"/>
          <w:sz w:val="22"/>
          <w:szCs w:val="28"/>
          <w:rtl w:val="1"/>
        </w:rPr>
        <w:t>هدف کلی: تبیین جامعِ فرآیند شکل‌گیری و شکستِ پیمان جهانی محیط زیست و تحلیلِ تأثیر بالقوهٔ آن بر موافقت‌نامه‌های چندجانبهٔ محیط‌زیستی، و ارائهٔ نقشهٔ راهِ آینده.</w:t>
      </w:r>
    </w:p>
    <w:p>
      <w:pPr>
        <w:bidi w:val="1"/>
        <w:spacing w:line="312" w:lineRule="auto" w:before="0" w:after="120"/>
        <w:ind w:firstLine="454"/>
        <w:jc w:val="both"/>
      </w:pPr>
      <w:r>
        <w:rPr>
          <w:rFonts w:ascii="Times New Roman" w:hAnsi="Times New Roman" w:cs="B Nazanin"/>
          <w:sz w:val="22"/>
          <w:szCs w:val="28"/>
          <w:rtl w:val="1"/>
        </w:rPr>
        <w:t>اهداف جزئی: (۱) بازخوانی خلأهای سه‌گانه در پرتو A/73/419؛ (۲) تحلیل حقوقیِ سازوکارِ اثر پیمان بر MEAها با تکیه بر سند پراکندگیِ کمیسیون حقوق بین‌الملل A/CN.4/L.682؛ (۳) تحلیل تطبیقیِ شکست پیمان با شکستِ ابتکارهای پیشین (سازمان جهانی محیط زیست، دیوان بین‌المللی محیط زیست، میثاق محیط زیست و توسعه)؛ (۴) طراحی راهکار جایگزین پس از شکست.</w:t>
      </w:r>
    </w:p>
    <w:p>
      <w:pPr>
        <w:pStyle w:val="Heading2"/>
        <w:bidi w:val="1"/>
        <w:spacing w:line="312" w:lineRule="auto" w:before="200" w:after="120"/>
        <w:jc w:val="right"/>
      </w:pPr>
      <w:r>
        <w:rPr>
          <w:rFonts w:ascii="Times New Roman" w:hAnsi="Times New Roman" w:cs="B Nazanin"/>
          <w:sz w:val="24"/>
          <w:szCs w:val="24"/>
          <w:rtl w:val="1"/>
          <w:b/>
          <w:bCs/>
          <w:color w:val="000000"/>
        </w:rPr>
        <w:t>۱-۵ روش‌شناسی پژوهش</w:t>
      </w:r>
    </w:p>
    <w:p>
      <w:pPr>
        <w:bidi w:val="1"/>
        <w:spacing w:line="312" w:lineRule="auto" w:before="0" w:after="120"/>
        <w:ind w:firstLine="454"/>
        <w:jc w:val="both"/>
      </w:pPr>
      <w:r>
        <w:rPr>
          <w:rFonts w:ascii="Times New Roman" w:hAnsi="Times New Roman" w:cs="B Nazanin"/>
          <w:sz w:val="22"/>
          <w:szCs w:val="28"/>
          <w:rtl w:val="1"/>
        </w:rPr>
        <w:t>روش پژوهش توصیفی‑تحلیلی و انتقادی است و داده‌ها به‌شیوهٔ کتابخانه‌ای و از اسناد سازمان ملل، معاهدات، رویهٔ قضایی و ادبیات دانشگاهی گردآوری شده‌اند. برای تضمین قابلیت بازتولید، جست‌وجوی منابع در پایگاه‌های Westlaw، HeinOnline و Scopus بر پایهٔ چارچوب PRISMA و با ثبتِ شفافِ عبارات جست‌وجو، فیلترها و بازهٔ زمانی انجام شده است (رجوع به بخش «پایگاه‌های استنادی»).</w:t>
      </w:r>
    </w:p>
    <w:p>
      <w:pPr>
        <w:bidi w:val="1"/>
        <w:spacing w:line="312" w:lineRule="auto" w:before="0" w:after="120"/>
        <w:ind w:firstLine="454"/>
        <w:jc w:val="both"/>
      </w:pPr>
      <w:r>
        <w:rPr>
          <w:rFonts w:ascii="Times New Roman" w:hAnsi="Times New Roman" w:cs="B Nazanin"/>
          <w:sz w:val="22"/>
          <w:szCs w:val="28"/>
          <w:rtl w:val="1"/>
        </w:rPr>
        <w:t>برای پرسشِ پیامدهای شکست، از تحلیل خلافِ‌واقع (counterfactual) و رویکرد آینده‌پژوهی (سناریونگاری تا ۲۰۵۰) استفاده می‌شود تا از تنشِ زمانیِ ناشی از فعلِ «خواهد داشت» در برابر واقعیتِ شکست ۲۰۲۲ پرهیز شود.</w:t>
      </w:r>
    </w:p>
    <w:p>
      <w:pPr>
        <w:pStyle w:val="Heading2"/>
        <w:bidi w:val="1"/>
        <w:spacing w:line="312" w:lineRule="auto" w:before="200" w:after="120"/>
        <w:jc w:val="right"/>
      </w:pPr>
      <w:r>
        <w:rPr>
          <w:rFonts w:ascii="Times New Roman" w:hAnsi="Times New Roman" w:cs="B Nazanin"/>
          <w:sz w:val="24"/>
          <w:szCs w:val="24"/>
          <w:rtl w:val="1"/>
          <w:b/>
          <w:bCs/>
          <w:color w:val="000000"/>
        </w:rPr>
        <w:t>۱-۶ پیشینهٔ پژوهش</w:t>
      </w:r>
    </w:p>
    <w:p>
      <w:pPr>
        <w:bidi w:val="1"/>
        <w:spacing w:line="312" w:lineRule="auto" w:before="0" w:after="120"/>
        <w:ind w:firstLine="454"/>
        <w:jc w:val="both"/>
      </w:pPr>
      <w:r>
        <w:rPr>
          <w:rFonts w:ascii="Times New Roman" w:hAnsi="Times New Roman" w:cs="B Nazanin"/>
          <w:sz w:val="22"/>
          <w:szCs w:val="28"/>
          <w:rtl w:val="1"/>
        </w:rPr>
        <w:t>ادبیات موجود سه جریان دارد: (۱) موافقانِ نظریهٔ سند چتر و اصول بنیادین (Aguila &amp; Viñuales 2019؛ Kotzé &amp; French 2018)؛ (۲) منتقدانی که پیمان را فاقد جاه‌طلبیِ هنجاری و ناتوان از پرکردنِ خلأهای مقرراتی می‌دانند (Kotzé &amp; French 2018؛ Tiller 2018)؛ و (۳) جریان حکمرانیِ محیط‌زیستی و اصلاحِ ساختار (Ivanova 2021). خلأ مشهود در ادبیات فارسی، نبودِ تحلیلِ منسجمِ حقوقی از سازوکارِ اثر پیمان بر MEAها و پیامدهای شکست است که این رساله آن را پر می‌کند.</w:t>
      </w:r>
      <w:r>
        <w:rPr>
          <w:rStyle w:val="FootnoteReference"/>
          <w:rtl w:val="1"/>
        </w:rPr>
        <w:footnoteReference w:id="3"/>
      </w:r>
    </w:p>
    <w:p>
      <w:pPr>
        <w:pStyle w:val="Heading2"/>
        <w:bidi w:val="1"/>
        <w:spacing w:line="312" w:lineRule="auto" w:before="200" w:after="120"/>
        <w:jc w:val="right"/>
      </w:pPr>
      <w:r>
        <w:rPr>
          <w:rFonts w:ascii="Times New Roman" w:hAnsi="Times New Roman" w:cs="B Nazanin"/>
          <w:sz w:val="24"/>
          <w:szCs w:val="24"/>
          <w:rtl w:val="1"/>
          <w:b/>
          <w:bCs/>
          <w:color w:val="000000"/>
        </w:rPr>
        <w:t>۱-۷ تعریف مفاهیم و ساختار رساله</w:t>
      </w:r>
    </w:p>
    <w:p>
      <w:pPr>
        <w:bidi w:val="1"/>
        <w:spacing w:line="312" w:lineRule="auto" w:before="0" w:after="120"/>
        <w:ind w:firstLine="454"/>
        <w:jc w:val="both"/>
      </w:pPr>
      <w:r>
        <w:rPr>
          <w:rFonts w:ascii="Times New Roman" w:hAnsi="Times New Roman" w:cs="B Nazanin"/>
          <w:sz w:val="22"/>
          <w:szCs w:val="28"/>
          <w:rtl w:val="1"/>
        </w:rPr>
        <w:t>مفاهیم کلیدیِ رساله در «واژه‌نامهٔ مستند» (پیوست) با تعریف و منبعِ معتبر آمده‌اند: پیمان، جهانی، محیط زیست، موافقت‌نامهٔ چندجانبهٔ محیط‌زیستی (MEA)، الزام‌آوری، پراکندگی، حقوق نرم و سخت، سند چتر، گذارِ هنجاری، و آینده‌پژوهی. تأکید می‌شود که «پیمان برای آینده» (Pact for the Future) هیچ ارتباطی با «پیمان جهانی محیط زیست» ندارد و در سراسر رساله از خلط این دو پرهیز می‌شود.</w:t>
      </w:r>
    </w:p>
    <w:p>
      <w:pPr>
        <w:bidi w:val="1"/>
        <w:spacing w:line="312" w:lineRule="auto" w:before="0" w:after="120"/>
        <w:ind w:firstLine="454"/>
        <w:jc w:val="both"/>
      </w:pPr>
      <w:r>
        <w:rPr>
          <w:rFonts w:ascii="Times New Roman" w:hAnsi="Times New Roman" w:cs="B Nazanin"/>
          <w:sz w:val="22"/>
          <w:szCs w:val="28"/>
          <w:rtl w:val="1"/>
        </w:rPr>
        <w:t>ساختار رساله در پنج فصل سامان یافته است: چارچوب پژوهش؛ تحول IEL و شکل‌گیری پیمان (۱۹۷۲–۲۰۲۲)؛ از خلأها تا ابتکار پیمان؛ تأثیر بالقوه بر MEAها و پیامدهای شکست با آینده‌پژوهی؛ و نتیجه‌گیری.</w:t>
      </w:r>
    </w:p>
    <w:p>
      <w:r>
        <w:br w:type="page"/>
      </w:r>
    </w:p>
    <w:p>
      <w:pPr>
        <w:pStyle w:val="Heading1"/>
        <w:bidi w:val="1"/>
        <w:spacing w:line="312" w:lineRule="auto" w:before="200" w:after="120"/>
        <w:jc w:val="right"/>
      </w:pPr>
      <w:r>
        <w:rPr>
          <w:rFonts w:ascii="Times New Roman" w:hAnsi="Times New Roman" w:cs="B Nazanin"/>
          <w:sz w:val="24"/>
          <w:szCs w:val="28"/>
          <w:rtl w:val="1"/>
          <w:b/>
          <w:bCs/>
          <w:color w:val="000000"/>
        </w:rPr>
        <w:t>فصل فصل ۲: شکل‌گیری حقوق بین‌الملل محیط زیست و پیمان جهانی محیط زیست (۱۹۷۲–۲۰۲۲)</w:t>
      </w:r>
    </w:p>
    <w:p>
      <w:pPr>
        <w:bidi w:val="1"/>
        <w:spacing w:line="312" w:lineRule="auto" w:before="0" w:after="160"/>
        <w:jc w:val="both"/>
      </w:pPr>
      <w:r>
        <w:rPr>
          <w:rFonts w:ascii="Times New Roman" w:hAnsi="Times New Roman" w:cs="B Nazanin"/>
          <w:sz w:val="22"/>
          <w:szCs w:val="24"/>
          <w:rtl w:val="1"/>
        </w:rPr>
        <w:t>متنِ واقعیِ پیش‌نویسِ نگارنده (۵۷ صفحه، ۸۶ پانویس) به‌صورت ساختارمند و قابل‌ناوبری. روایتِ گذارِ حقوق نرم به سخت، تاریخچهٔ ابتکارهای ناکام و دیپلماسیِ فرانسه. نقدها در بخش «نقد و سناریو» آمده است. افزون بر متنِ واقعیِ پیش‌نویس، بخش‌های فلسفهٔ IEL و انتروپوسن، خصایصِ پنج‌گانه، کارِ کمیسیون حقوق بین‌الملل دربارهٔ پراکندگی و نتیجه‌گیریِ مستقلِ فصل افزوده شده است.</w:t>
      </w:r>
    </w:p>
    <w:p>
      <w:pPr>
        <w:pStyle w:val="Heading3"/>
        <w:bidi w:val="1"/>
        <w:spacing w:line="312" w:lineRule="auto" w:before="200" w:after="120"/>
        <w:jc w:val="right"/>
      </w:pPr>
      <w:r>
        <w:rPr>
          <w:rFonts w:ascii="Times New Roman" w:hAnsi="Times New Roman" w:cs="B Nazanin"/>
          <w:sz w:val="24"/>
          <w:szCs w:val="24"/>
          <w:rtl w:val="1"/>
          <w:b/>
          <w:bCs/>
          <w:color w:val="000000"/>
        </w:rPr>
        <w:t>مقدمه</w:t>
      </w:r>
    </w:p>
    <w:p>
      <w:pPr>
        <w:bidi w:val="1"/>
        <w:spacing w:line="312" w:lineRule="auto" w:before="0" w:after="120"/>
        <w:ind w:firstLine="454"/>
        <w:jc w:val="both"/>
      </w:pPr>
      <w:r>
        <w:rPr>
          <w:rFonts w:ascii="Times New Roman" w:hAnsi="Times New Roman" w:cs="B Nazanin"/>
          <w:sz w:val="22"/>
          <w:szCs w:val="28"/>
          <w:rtl w:val="1"/>
        </w:rPr>
        <w:t xml:space="preserve">در دنیای امروز، چالش‌های محیط زیستی به‌عنوان یکی از بزرگ‌ترین تهدیدهای بشر، ابعاد گسترده‌ای به خود گرفته‌اند. به همین دلیل، حقوق بین‌الملل محیط‌زیست به‌عنوان یک چارچوب حقوقی جامع، به‌منظور حفاظت از محیط‌زیست و متعاقباً تضمین توسعه پایدار در سطح جهانی شکل گرفته است. از آن جایی که حقوق نرم و حقوق سخت هر کدام نقشی حیاتی در تکوین و اجرای سیاست‌های محیط زیستی ایفا نموده اند، در بخش اول، به شکل‌گیری حقوق بین‌الملل محیط‌زیست و روند توسعه آن و تکوین حقوق بین الملل محیط زیست از گذار حقوق نرم به حقوق سخت خواهیم پرداخت. این شامل نگاهی به مهم‌ترین اسناد حقوق نرم، از جمله اعلامیه استکهلم 1972، منشور جهانی طبیعت 1982، و دیگر اسناد و نشست های مهم می‌باشد که هریک به نوبه خود، به ارتقاء آگاهی جهانی در زمینه حفاظت از محیط‌زیست کمک کرده‌اند. اسناد حقوق نرم، به عنوان ابزارهایی برای ایجاد توافقات و اصول محیط زیستی مورد استفاده قرار می‌گیرند و پایه‌گذار حقوق سخت و موافقت‌نامه‌های الزام‌آور می‌شوند. </w:t>
      </w:r>
    </w:p>
    <w:p>
      <w:pPr>
        <w:bidi w:val="1"/>
        <w:spacing w:line="312" w:lineRule="auto" w:before="0" w:after="120"/>
        <w:ind w:firstLine="454"/>
        <w:jc w:val="both"/>
      </w:pPr>
      <w:r>
        <w:rPr>
          <w:rFonts w:ascii="Times New Roman" w:hAnsi="Times New Roman" w:cs="B Nazanin"/>
          <w:sz w:val="22"/>
          <w:szCs w:val="28"/>
          <w:rtl w:val="1"/>
        </w:rPr>
        <w:t>بخش بعدی به شکل گیری پیمان جهانی محیط‌زیست می‌پردازد و سیر تاریخی این فرآیند را از ابتکارهای ناکام آغازین تا تلاش‌های دیپلماتیک مؤثر مانند ابتکار فرانسه، گزارش دبیرکل و قطعنامه‌های مربوطه مورد بررسی قرار می‌دهد. این بخش به ما کمک می‌کند تا درک بهتری از فرایند شکل‌گیری این پیمان و مذاکرات صورت گرفته داشته باشیم. در نهایت، به بررسی مفاهیم کلیدی مرتبط با حقوق بین‌الملل محیط‌زیست در حیطه این رساله خواهیم پرداخت، از جمله پیمان جهانی محیط‌زیست و موافقت نامه های چندجانبه محیط زیستی. با توجه به تحول مستمر این حوزه و ضرورت آینده‌پژوهی در زمینه تعدیل و بهبود چارچوب‌های موجود، در پایان اشاره ای به تببین رویکرد آینده پژوهی نیز خواهیم داشت.</w:t>
      </w:r>
    </w:p>
    <w:p>
      <w:pPr>
        <w:pStyle w:val="Heading2"/>
        <w:bidi w:val="1"/>
        <w:spacing w:line="312" w:lineRule="auto" w:before="200" w:after="120"/>
        <w:jc w:val="right"/>
      </w:pPr>
      <w:r>
        <w:rPr>
          <w:rFonts w:ascii="Times New Roman" w:hAnsi="Times New Roman" w:cs="B Nazanin"/>
          <w:sz w:val="24"/>
          <w:szCs w:val="24"/>
          <w:rtl w:val="1"/>
          <w:b/>
          <w:bCs/>
          <w:color w:val="000000"/>
        </w:rPr>
        <w:t>۲-۱ شکل گیری حقوق بین الملل محیط زیست</w:t>
      </w:r>
    </w:p>
    <w:p>
      <w:pPr>
        <w:bidi w:val="1"/>
        <w:spacing w:line="312" w:lineRule="auto" w:before="0" w:after="120"/>
        <w:ind w:firstLine="454"/>
        <w:jc w:val="both"/>
      </w:pPr>
      <w:r>
        <w:rPr>
          <w:rFonts w:ascii="Times New Roman" w:hAnsi="Times New Roman" w:cs="B Nazanin"/>
          <w:sz w:val="22"/>
          <w:szCs w:val="28"/>
          <w:rtl w:val="1"/>
        </w:rPr>
        <w:t xml:space="preserve">حقوق بینالملل محیط زیست را از منظری میتوان محصول ترقی فناورانه و غلبه انسان بر قدرتهای محیطی قلمداد کرد. انسانِ سرخوش از پیشرفت صنعتی در سایه دستیابی به فوائد مثبت و غیرقابل انکار صنعت، بیآنکه به لحاظ سایر ابعاد پیشرفت خود بپردازد، روزی به خود آمد که فجایع زیست محیطی در زمینههای مختلف از قبیل آلودگی آب، هوا، مواد زائد جامد و خطرناک به مسئله روز او بدل گشته بود. (سما فرخنده نژاد و دیگران، 1397، 248) گویی موهبت طبیعت که روزی، رزق، رونق و رفاه انسان را رقم میزد، با بهرهکشی بیحد انسان از آن، سعی در یادآوری اناطه حق حیات او و نسلهای بعدش به حفاظت از محیط زیست داشت و با قهر خود خواست تا مهار نفس طغیان گر انسان را به دست آورد تا او را به استفاده صحیح از فناوری و مسئولانه از محیط زیست وادار سازد. </w:t>
      </w:r>
    </w:p>
    <w:p>
      <w:pPr>
        <w:bidi w:val="1"/>
        <w:spacing w:line="312" w:lineRule="auto" w:before="0" w:after="120"/>
        <w:ind w:firstLine="454"/>
        <w:jc w:val="both"/>
      </w:pPr>
      <w:r>
        <w:rPr>
          <w:rFonts w:ascii="Times New Roman" w:hAnsi="Times New Roman" w:cs="B Nazanin"/>
          <w:sz w:val="22"/>
          <w:szCs w:val="28"/>
          <w:rtl w:val="1"/>
        </w:rPr>
        <w:t>شدت عمل انسانی و آسیبهای شدید محیط زیستی را میتوان عناصر اصلی شکلگیری و توسعه سریع حقوق بینالملل محیط زیست نسبت به سایر شاخههای حقوقی دانست. گرچه سایر شاخههای علم حقوق نیز متأثر از علم و دانش انسانی هستند، ولی حقوق بینالملل محیط زیست به گونهای دیگر با آن در ارتباط است. در سایر شاخههای حقوق تأثیر علم بر موضوعی و بُعدی از حیات انسان است که به نظم حقوقی درآورده میشود درحالی که تأثیر علم بر محیط زیست از آن رو در حقوق بینالملل محیط زیست به نظم در آورده میشود که به طور مستقیم حیات بشری را متأثر میسازد. علاوه بر این، در تعریف فلسفه حقوق بینالملل محیط زیست آوردهاند «نگاه کلی حاکم بر چرایی بایدها و نبایدهای متوجه اعضای حقیقی و حقوقی جامعه در خصوص رعایت مقررات مربوط به مجموعه به هم پیوسته از عوامل بیرونی که رشد و حیات موجودات زنده انسانی و جانوری و گیاهی متأثر از  آن است». (عزیزاله فهیمی، 1387، 111) توسعه سریع حقوق بینالملل محیط زیست از طرفی موازنه سنتی حاکم بر روابط میان دولت ها در قالب حقوق بینالملل را نیز بر هم زده است. قواعد حقوق بینالملل رفتار دولت ها در قبال یکدیگر را به قاعده در آورده و از لحاظ تاریخی به آن ها در قلمروهای داخلی و ملیشان آزادی عمل اعطاء میکند. در حالی که پیدایش حقوق بینالملل محیط زیست این موازنه را به هم زده و دولت ها را در قبال اقداماتشان در رابطه با محیطزیستهای داخلی و محیط زیست جهانی مسئول ساخته است و از این رو فرسایش حاکمیتهای ملی را سبب گشته و بازتعریف آن را لازم ساخته است.  (Agius,1998,269)</w:t>
      </w:r>
    </w:p>
    <w:p>
      <w:pPr>
        <w:pStyle w:val="Heading3"/>
        <w:bidi w:val="1"/>
        <w:spacing w:line="312" w:lineRule="auto" w:before="200" w:after="120"/>
        <w:jc w:val="right"/>
      </w:pPr>
      <w:r>
        <w:rPr>
          <w:rFonts w:ascii="Times New Roman" w:hAnsi="Times New Roman" w:cs="B Nazanin"/>
          <w:sz w:val="24"/>
          <w:szCs w:val="24"/>
          <w:rtl w:val="1"/>
          <w:b/>
          <w:bCs/>
          <w:color w:val="000000"/>
        </w:rPr>
        <w:t>۲-۱-۱ حقوق نرم</w:t>
      </w:r>
    </w:p>
    <w:p>
      <w:pPr>
        <w:bidi w:val="1"/>
        <w:spacing w:line="312" w:lineRule="auto" w:before="0" w:after="120"/>
        <w:ind w:firstLine="454"/>
        <w:jc w:val="both"/>
      </w:pPr>
      <w:r>
        <w:rPr>
          <w:rFonts w:ascii="Times New Roman" w:hAnsi="Times New Roman" w:cs="B Nazanin"/>
          <w:sz w:val="22"/>
          <w:szCs w:val="28"/>
          <w:rtl w:val="1"/>
        </w:rPr>
        <w:t xml:space="preserve">«حقوق نرم مجموعه تعهدات و پیمانهایی است که توسط طرفین مذاکره کننده ایجاد شده است و قانوناً الزامآور نیست و به جای باید از شاید استفاده میکند که نشاندهنده انعطاف آن در قبال رفتار و عملکرد دولتها است». (جعفری و توتونچیان،1400، 241) در واقع، در حقوق نرم هدف از  قواعد مدونه یا مورد قبول، نه الزام تابع بلکه هدایت او است. حقوق نرم تقریباً از هر حیث از این صفت برخوردار است. به عبارت دیگر، مانند منابع کلاسیک حقوق بینالملل نه از تشریفات لازم و طی شونده برای لازمالاجرا شدن برخوردار است، نه الزامآور است و نه ضمانت اجرای ناشی از نقض آن مشابه قواعد حقوق سخت است. با این حال وجه اشتراک هر دو دسته از قواعد این است که هر دو منابع حقوق بینالملل را شکل میدهند. ماهیت افقی حقوق بینالملل بیش از هر عنصر دیگری در پدیداری حقوق نرم در ساحت خود مؤثر واقع شده است. بهطوری که اثر این دسته از قواعد را در شاخههای مختلف حقوق بینالملل، در رویۀ تابعان اصلی آن، در تصمیمات مراجع قضایی و شبه قضایی بینالمللی نیز میتوان مورد ملاحظه قرار داد. با این حال محل اصلی طرح حقوق نرم، حوزه قواعد حقوق بین الملل است که متضمن حقها و تعهدات دولتها میباشد. اما از آنجا که گاهی در رابطه با موضوع حقوق و تکالیف دولتها، وجود حق و تکلیف ضروری و مورد توافق قرار می گیرد ولی حدود آن گرچه مشخص ولی غیرقابل توافق مینماید، در این موارد حقوق نرم توصیه به اکتفاء به حداقلهای غیرالزامآور میکند و با امید نیل به توافق نهایی به انتظار مینشیند. به تعبیری دیگر، حقوق نرم را میتوان این گونه تعریف کرد «هنجارهای بین المللی که عمداً ماهیت غیرالزام آوری دارند اما هم چنان دارای اهمیت حقوقی هستند و به تعبیری مابین حقوق و سیاست قرار دارند. مهم ترین مثال های آن قطعنامه های سازمان های بین المللی، برنامه های اقدام و رفتارنامه هاست.» (Birger Skjarseth and others,2006,104) </w:t>
      </w:r>
    </w:p>
    <w:p>
      <w:pPr>
        <w:bidi w:val="1"/>
        <w:spacing w:line="312" w:lineRule="auto" w:before="0" w:after="120"/>
        <w:ind w:firstLine="454"/>
        <w:jc w:val="both"/>
      </w:pPr>
      <w:r>
        <w:rPr>
          <w:rFonts w:ascii="Times New Roman" w:hAnsi="Times New Roman" w:cs="B Nazanin"/>
          <w:sz w:val="22"/>
          <w:szCs w:val="28"/>
          <w:rtl w:val="1"/>
        </w:rPr>
        <w:t>منافع گرهخورده دولتها به محیطزیست و تقلّای آنها برای حفظ اریکه قدرت به هر نحو امکانپذیر، سبب شده که عرصه حقوق بینالملل محیط زیست مملوّ از اسناد حقوق نرم گردد. فقدان الزامآوری در ماهیت این دسته از حقوق، به معنای انتفای هرگونه اثرگذاری آنها نیست. در واقع در حقوق نرم سعی بر جایگزینی قدرت سیاسی به جای قدرت حقوقی است. نمونهای بارز در این خصوص اعلامیه ریو 1992 است. به عنوان یک سند حقوق نرم غیرالزامآور، امکان تصویب از سوی دولتها را ندارد، با این همه به اثبات رسیده است که در زمره تأثیرگذارترین اسناد در حوزه حقوق بینالملل محیطزیست میباشد. که در ادامه به آن خواهیم پرداخت.</w:t>
      </w:r>
    </w:p>
    <w:p>
      <w:pPr>
        <w:pStyle w:val="Heading3"/>
        <w:bidi w:val="1"/>
        <w:spacing w:line="312" w:lineRule="auto" w:before="200" w:after="120"/>
        <w:jc w:val="right"/>
      </w:pPr>
      <w:r>
        <w:rPr>
          <w:rFonts w:ascii="Times New Roman" w:hAnsi="Times New Roman" w:cs="B Nazanin"/>
          <w:sz w:val="24"/>
          <w:szCs w:val="24"/>
          <w:rtl w:val="1"/>
          <w:b/>
          <w:bCs/>
          <w:color w:val="000000"/>
        </w:rPr>
        <w:t>۲-۱-۱-۱ اعلامیه استکلهم 1972</w:t>
      </w:r>
    </w:p>
    <w:p>
      <w:pPr>
        <w:bidi w:val="1"/>
        <w:spacing w:line="312" w:lineRule="auto" w:before="0" w:after="120"/>
        <w:ind w:firstLine="454"/>
        <w:jc w:val="both"/>
      </w:pPr>
      <w:r>
        <w:rPr>
          <w:rFonts w:ascii="Times New Roman" w:hAnsi="Times New Roman" w:cs="B Nazanin"/>
          <w:sz w:val="22"/>
          <w:szCs w:val="28"/>
          <w:rtl w:val="1"/>
        </w:rPr>
        <w:t>در پاسخ به افزایش خطرات زیست محیطی در سطح جهانی، مجمع عمومی ملل متحد به موجب قطعنامه ای</w:t>
      </w:r>
      <w:r>
        <w:rPr>
          <w:rStyle w:val="FootnoteReference"/>
          <w:rtl w:val="1"/>
        </w:rPr>
        <w:footnoteReference w:id="4"/>
      </w:r>
      <w:r>
        <w:rPr>
          <w:rFonts w:ascii="Times New Roman" w:hAnsi="Times New Roman" w:cs="B Nazanin"/>
          <w:sz w:val="22"/>
          <w:szCs w:val="28"/>
          <w:rtl w:val="1"/>
        </w:rPr>
        <w:t xml:space="preserve"> در سال 1968 پیشنهاد تشکیل کنفرانس جهانی درباره محیط زیست انسانی را به منظور بررسی روابط بین مسائل محیط زیستی، اجتماعی و اقتصادی تصویب کرد که حدود 4 سال بعد در ژوئن 1972، کنفرانس ملل متحد در مورد محیط زیست انسانی در شهر استکهلم ، سوئد تشکیل شد. در حالی که ریشه های حقوق بین الملل محیط زیست را می توان در پایان قرن نوزدهم یافت، تکامل این حوزه تخصصی را به طور جدی می توان با این کنفرانس دانست. کنفرانس استکهلم معمولاً به عنوان یک رویداد مهم در نظر گرفته می شود که به آغاز دوره جدیدی از دیپلماسی و قانون گذاری فشرده بین المللی محیط زیست کمک کرد. زیرا در آن برای اولین بار مسائل محیط زیستی به طور رسمی در سطح جهانی مطرح شد. اکثریت قریب به اتفاق موافقت نامه های چندجانبه محیط زیستی پس از کنفرانس استکهلم به تصویب رسیده اند. در حال حاضر هر ساله پنجم ژوئن 1972، روز افتتاحیه کنفرانس نامبرده، به عنوان روز جهانی محیط زیست جشن گرفته می شود. این اقدام، سرآغاز دوره مدرن حقوق بین الملل محیط زیست قلمداد می شود. </w:t>
      </w:r>
    </w:p>
    <w:p>
      <w:pPr>
        <w:bidi w:val="1"/>
        <w:spacing w:line="312" w:lineRule="auto" w:before="0" w:after="120"/>
        <w:ind w:firstLine="454"/>
        <w:jc w:val="both"/>
      </w:pPr>
      <w:r>
        <w:rPr>
          <w:rFonts w:ascii="Times New Roman" w:hAnsi="Times New Roman" w:cs="B Nazanin"/>
          <w:sz w:val="22"/>
          <w:szCs w:val="28"/>
          <w:rtl w:val="1"/>
        </w:rPr>
        <w:t>در این کنفرانس چند سند مهم به تصویب رسید که از جمله میتوان به اعلامیه کنفرانس ملل متحد در مورد محیط زیست انسانی</w:t>
      </w:r>
      <w:r>
        <w:rPr>
          <w:rStyle w:val="FootnoteReference"/>
          <w:rtl w:val="1"/>
        </w:rPr>
        <w:footnoteReference w:id="5"/>
      </w:r>
      <w:r>
        <w:rPr>
          <w:rFonts w:ascii="Times New Roman" w:hAnsi="Times New Roman" w:cs="B Nazanin"/>
          <w:sz w:val="22"/>
          <w:szCs w:val="28"/>
          <w:rtl w:val="1"/>
        </w:rPr>
        <w:t xml:space="preserve"> در 26 اصل در راستای حفاظت از محیط زیست و یک برنامه اقدام بلند مدت مشتمل بر 109 توصیه در مورد تمهیدات هماهنگ برای مقابله با مشکلات محیط زیستی اشاره کرد. این کنفرانس نتایج دیگری را نیز هم چون تاسیس برنامه محیط زیست ملل متحد و صندوق محیط زیست را به دنبال داشت. اعلامیه استکهلم اولین سند جهانی با اهمیت در خصوص موضوعات محیط زیستی است. اعلامیه استکهلم قبل از هر چیز بر ماموریت و مسئولیت تاریخی بشر برای حفاظت و انتقال زمین به نسل های آینده و مناسب برای زندگی تاکید می کند. این اعلامیه همچنین برای اولین بار، حق زندگی یک فرد را تحت شرایط محیطی مساعد اعلام می کند. مفاد آن به مواردی هم چون موضوعات زیر اشاره نموده و متعاقباً در اسناد بعدی حقوق بین الملل محیط زیست از جمله در موافقت نامه های چند جانبه محیط زیستی نفوذ کردند: منافع نسل حاضر و آینده، منابع تجدیدپذیر در مقابل منابع غیرقابل تجدیدپذیر، اکوسیستم ها، آسیب جدی یا غیرقابل برگشت، توسعه اقتصادی و اجتماعی، انتقال کمک های مالی و تکنولوژی به کشورهای در حال توسعه و نیاز به ظرفیت سازی، ادغام توسعه و محیط زیست، نیاز به همکاری بین المللی و حق حاکمیتی برای بهره برداری از منابع داخلی. دیوان بین المللی دادگستری بعداً تایید نمود که «حق حاکمیتی برای بهره برداری از منابع داخلی» در قلمرو حقوق بین الملل عرفی صرف نظر از درج این اصل در موافقت نامه های چند جانبه محیط زیستی دیگر قرار دارد.(UNEP,2024,23) </w:t>
      </w:r>
    </w:p>
    <w:p>
      <w:pPr>
        <w:bidi w:val="1"/>
        <w:spacing w:line="312" w:lineRule="auto" w:before="0" w:after="120"/>
        <w:ind w:firstLine="454"/>
        <w:jc w:val="both"/>
      </w:pPr>
      <w:r>
        <w:rPr>
          <w:rFonts w:ascii="Times New Roman" w:hAnsi="Times New Roman" w:cs="B Nazanin"/>
          <w:sz w:val="22"/>
          <w:szCs w:val="28"/>
          <w:rtl w:val="1"/>
        </w:rPr>
        <w:t xml:space="preserve">اعلامیه استکهلم توانست ضمن جمعآوری برخی از اصول عرفی پراکنده در یک متن حقوقی غیرالزام-آور، باعث توسعه محتوای حقوق بین الملل محیط زیست در طول دهه های گذشته و ظهور شمار زیادی از موافقت نامه های چندجانبه محیط زیستی، اصول، مفاهیم و هنجارهای حقوقی شود. برای اولینبار این اعلامیه توانست با صراحت بین محیطزیست و حقوق بشر پیوند و ارتباط ناگسستنی ایجاد کند. به گونهای که بدون محیط زیست سالم، حقوق پایهای بشر مثل حق حیات نیز مخدوش و متزلزل خواهد شد. در واقع آنچه محیط زیست در پی آن است این است که انسان ها حق دارند که محیط زیست آن ها از شرایط مناسب برای زندگی سعادتمندانه توأم با امنیت و سلامت برخوردار باشد. به طور کلی این اعلامیه نگاهی مثبت به فعالیت های انسانی برای نیل به توسعه دارد، اما اگر فعالیتی به ضرر سلامت جسمی و روانی بشر و باعث آسیبرسانی به محیط زیست از طریق آلوده کردن آب، هوا، خاک و به هم خوردن تعادل اکولوژیکی شود، آن را رد میکند. </w:t>
      </w:r>
    </w:p>
    <w:p>
      <w:pPr>
        <w:pStyle w:val="Heading3"/>
        <w:bidi w:val="1"/>
        <w:spacing w:line="312" w:lineRule="auto" w:before="200" w:after="120"/>
        <w:jc w:val="right"/>
      </w:pPr>
      <w:r>
        <w:rPr>
          <w:rFonts w:ascii="Times New Roman" w:hAnsi="Times New Roman" w:cs="B Nazanin"/>
          <w:sz w:val="24"/>
          <w:szCs w:val="24"/>
          <w:rtl w:val="1"/>
          <w:b/>
          <w:bCs/>
          <w:color w:val="000000"/>
        </w:rPr>
        <w:t>۲-۱-۱-۲ منشور جهانی طبیعت 1982</w:t>
      </w:r>
    </w:p>
    <w:p>
      <w:pPr>
        <w:bidi w:val="1"/>
        <w:spacing w:line="312" w:lineRule="auto" w:before="0" w:after="120"/>
        <w:ind w:firstLine="454"/>
        <w:jc w:val="both"/>
      </w:pPr>
      <w:r>
        <w:rPr>
          <w:rFonts w:ascii="Times New Roman" w:hAnsi="Times New Roman" w:cs="B Nazanin"/>
          <w:sz w:val="22"/>
          <w:szCs w:val="28"/>
          <w:rtl w:val="1"/>
        </w:rPr>
        <w:t>پس از کنفرانس استکهلم و در پی افزایش نگرانی‌ها درباره وضعیت محیط زیست، ایده تدوین یک منشور جهانی برای طبیعت</w:t>
      </w:r>
      <w:r>
        <w:rPr>
          <w:rStyle w:val="FootnoteReference"/>
          <w:rtl w:val="1"/>
        </w:rPr>
        <w:footnoteReference w:id="6"/>
      </w:r>
      <w:r>
        <w:rPr>
          <w:rFonts w:ascii="Times New Roman" w:hAnsi="Times New Roman" w:cs="B Nazanin"/>
          <w:sz w:val="22"/>
          <w:szCs w:val="28"/>
          <w:rtl w:val="1"/>
        </w:rPr>
        <w:t xml:space="preserve"> به وجود آمد. این ایده به منظور ارتقاء اصول اخلاقی و قانونی برای حفاظت از جهان طبیعی و تنوع زیستی شکل گرفت. کشورهای در حال توسعه، و به ویژه کشور زئیر (جمهوری دموکراتیک کنگو فعلی)، نقش کلیدی در تدوین منشور جهانی طبیعت ایفا کردند. رئیس‌جمهور موبوتو از زئیر</w:t>
      </w:r>
      <w:r>
        <w:rPr>
          <w:rStyle w:val="FootnoteReference"/>
          <w:rtl w:val="1"/>
        </w:rPr>
        <w:footnoteReference w:id="7"/>
      </w:r>
      <w:r>
        <w:rPr>
          <w:rFonts w:ascii="Times New Roman" w:hAnsi="Times New Roman" w:cs="B Nazanin"/>
          <w:sz w:val="22"/>
          <w:szCs w:val="28"/>
          <w:rtl w:val="1"/>
        </w:rPr>
        <w:t xml:space="preserve"> در سپتامبر 1975 ایده منشور جهانی طبیعت را به دوازدهمین مجمع عمومی اتحادیه بین‌المللی حفاظت از طبیعت</w:t>
      </w:r>
      <w:r>
        <w:rPr>
          <w:rStyle w:val="FootnoteReference"/>
          <w:rtl w:val="1"/>
        </w:rPr>
        <w:footnoteReference w:id="8"/>
      </w:r>
      <w:r>
        <w:rPr>
          <w:rFonts w:ascii="Times New Roman" w:hAnsi="Times New Roman" w:cs="B Nazanin"/>
          <w:sz w:val="22"/>
          <w:szCs w:val="28"/>
          <w:rtl w:val="1"/>
        </w:rPr>
        <w:t xml:space="preserve"> پیشنهاد داد. پیشنهاد وی در مجمع اتحادیه تایید و پیش نویس منشور در نوامبر 1979 تهیه شد. در ژوئن 1980، کشور زئیر پیش‌نویس منشور جهانی طبیعت را به دبیرکل سازمان ملل متحد ارائه نمود. در اکتبر 1980، مجمع عمومی از کشورهای عضو دعوت کرد تا نظرات خود را درباره پیش‌نویس با کمک یک گروه کارشناسی موقت که توسط برنامه محیط زیست سازمان ملل تشکیل شده بود، با یکدیگر به اشتراک بگذارند. مجمع عمومی در نهایت منشور را در اکتبر سال 1982 با 111 رأی در برابر 1 رأی تصویب کرد</w:t>
      </w:r>
      <w:r>
        <w:rPr>
          <w:rStyle w:val="FootnoteReference"/>
          <w:rtl w:val="1"/>
        </w:rPr>
        <w:footnoteReference w:id="9"/>
      </w:r>
      <w:r>
        <w:rPr>
          <w:rFonts w:ascii="Times New Roman" w:hAnsi="Times New Roman" w:cs="B Nazanin"/>
          <w:sz w:val="22"/>
          <w:szCs w:val="28"/>
          <w:rtl w:val="1"/>
        </w:rPr>
        <w:t xml:space="preserve"> که در این رأی‌گیری ایالات متحده تنها رأی مخالف را به خود اختصاص داد. (W.Wood,1985,978-979)   </w:t>
      </w:r>
    </w:p>
    <w:p>
      <w:pPr>
        <w:bidi w:val="1"/>
        <w:spacing w:line="312" w:lineRule="auto" w:before="0" w:after="120"/>
        <w:ind w:firstLine="454"/>
        <w:jc w:val="both"/>
      </w:pPr>
      <w:r>
        <w:rPr>
          <w:rFonts w:ascii="Times New Roman" w:hAnsi="Times New Roman" w:cs="B Nazanin"/>
          <w:sz w:val="22"/>
          <w:szCs w:val="28"/>
          <w:rtl w:val="1"/>
        </w:rPr>
        <w:t>منشور جهانی طبیعت شامل چهار بخش مقدمه، اصول کلی، عملکرد و اجرا می باشد. نکته قابل توجه در خصوص منشور جهانی طبیعت این است که علی رغم اینکه از اسناد حقوق نرم محسوب میشود، از همان نخستین نسخه، از عبارت دستوری shall  در تنظیم قواعد آن به جای should که ماهیت غیردستوری دارد، استفاده شده است. همین موضوع در زمان تصویب نیز محل بحث بود. گروه کارشناسی موقت زبان الزامی اصلی متن پیش‌نویس را حفظ کرد. گروه در گزارش خود، خاطرنشان کرد که "به‌طور طبیعی"، منشور نمی‌تواند هیچ‌گونه الزام قانونی داشته باشد و علاوه براین مکانیسم پایبندی به آن متصل نیست . منشور، هرچند که از نظر تأثیر کاملاً غیرالزام‌آور است، ویژگی اعلامیه ای دارد که دولت‌ها باید آن ها را رعایت کنند. (Ibid,982) در آن زمان بسیاری از قطعنامه های سازمان ملل از ادبیات الزامی استفاده می کردند، در حالی که اساساً الزام آور نبودند. مثال بارز آن، اعلامیه جهانی حقوق بشر بود که در آن نیز shall به کاررفته است. در بخش اجرا، منشور به مسئولیت های محیط زیستی نه تنها دولت ها، بلکه سازمان های بین المللی، شرکت ها، گروه ها و حتی افراد پرداخته است. البته این امر مورد انتقاد برخی از کشورها قرار گرفت. اگر منشور را همانند اعلامیه جهانی حقوق بشر یک آیین نامه اخلاقی</w:t>
      </w:r>
      <w:r>
        <w:rPr>
          <w:rStyle w:val="FootnoteReference"/>
          <w:rtl w:val="1"/>
        </w:rPr>
        <w:footnoteReference w:id="10"/>
      </w:r>
      <w:r>
        <w:rPr>
          <w:rFonts w:ascii="Times New Roman" w:hAnsi="Times New Roman" w:cs="B Nazanin"/>
          <w:sz w:val="22"/>
          <w:szCs w:val="28"/>
          <w:rtl w:val="1"/>
        </w:rPr>
        <w:t xml:space="preserve"> در نظر بگیریم، حوزه به کارگیری آن لزوماً باید گسترده باشد. اهداف منشور برای نوع بشر است و نه صرفاٌ برای سازوکارهای سیاسی. از این رو همه سازوکارهای انسانی- اجتماعی در قبال آسیب های محیط زیستی و پتانسیل بهبود محیط زیست، مسئولیت مشترک دارند. (Ibid,990)</w:t>
      </w:r>
    </w:p>
    <w:p>
      <w:pPr>
        <w:bidi w:val="1"/>
        <w:spacing w:line="312" w:lineRule="auto" w:before="0" w:after="120"/>
        <w:ind w:firstLine="454"/>
        <w:jc w:val="both"/>
      </w:pPr>
      <w:r>
        <w:rPr>
          <w:rFonts w:ascii="Times New Roman" w:hAnsi="Times New Roman" w:cs="B Nazanin"/>
          <w:sz w:val="22"/>
          <w:szCs w:val="28"/>
          <w:rtl w:val="1"/>
        </w:rPr>
        <w:t xml:space="preserve">در مقام تحلیل می توان گفت، هدف از تدوین منشور جهانی طبیعت در قالب قطعنامه غیرالزام آور مجمع عمومی، ارائه "آرزوها" است. از این منظر نیز می توان منشور جهانی طبیعت را با اعلامیه جهانی حقوق بشر مقایسه نمود که هر دو شامل چندین بخش آرزومندانه هستند که هیچ‌گاه به‌طور مستقیم اجرا نشده‌اند. منشور، به عنوان یک سند بین‌المللی غیرالزام‌آور، هیچ گونه تعهدی را به کشورهای عضو تحمیل نمی‌کند و بنابراین، تأثیر آن بیشتر براساس پذیرش عمومی و آثار اخلاقی آن در سطح جهانی بوده است. با این حال، با توجه به حمایت گسترده‌ای که از سوی دولت‌ها در زمان تصویب آن صورت گرفت، نمی‌توان آن را صرفاً یک اقدام نمادین دانست. در واقع، منشور جهانی طبیعت به عنوان یک سند حقوق نرم شناخته می‌شود که اصولی را برای حفاظت از طبیعت و منابع طبیعی تعیین می‌کند، اما اجرای آن بستگی به قوانین و رویه‌های ملی دارد. اگرچه منشور جهانی طبیعت ممکن است آرزوهایی را مطرح کند که تحقق آن‌ها دشوار باشد، اما هدف آن ترویج آگاهی و مسئولیت‌های اخلاقی در قبال محیط زیست است. مفاد آرزومندانه منشور جهانی طبیعت استانداردهایی را تعیین می‌کنند که بسیاری از کشورها هنوز به آن‌ها نرسیده‌اند، اما باید برای دستیابی به آن‌ها تلاش کنند. این مفاد به‌عنوان راهنمایی برای کشورها عمل می‌کند تا حفاظت از محیط زیست را در برنامه‌های توسعه و فرآیندهای تصمیم‌گیری خود ادغام کنند. </w:t>
      </w:r>
    </w:p>
    <w:p>
      <w:pPr>
        <w:bidi w:val="1"/>
        <w:spacing w:line="312" w:lineRule="auto" w:before="0" w:after="120"/>
        <w:ind w:firstLine="454"/>
        <w:jc w:val="both"/>
      </w:pPr>
      <w:r>
        <w:rPr>
          <w:rFonts w:ascii="Times New Roman" w:hAnsi="Times New Roman" w:cs="B Nazanin"/>
          <w:sz w:val="22"/>
          <w:szCs w:val="28"/>
          <w:rtl w:val="1"/>
        </w:rPr>
        <w:t>در آن برهه زمانی، منشورجهانی طبیعت به عنوان اولین اعلامیه بین المللی در خصوص مسئولیت های بشر در قبال طبیعت مستحق توجه رهبران سیاسی، تجاری و اجتماعی زمانه بود. اقدامی هر چند نمادین، اما گام مهمی در جهت حفاظت از منابع طبیعی ارزیابی می گردد. « منشور جهانی طبیعت به طور ناگهانی جهان را تغییر نخواهد داد. اعلامیه جهانی حقوق بشر نیز چنین بود. اما این یک گام بزرگ و رو به جلو است که مقوله حفاظت از طبیعت در میان عالی ترین اصول سازمان ملل متحد گنجانده شود.» (Ibid,991).</w:t>
      </w:r>
    </w:p>
    <w:p>
      <w:pPr>
        <w:pStyle w:val="Heading3"/>
        <w:bidi w:val="1"/>
        <w:spacing w:line="312" w:lineRule="auto" w:before="200" w:after="120"/>
        <w:jc w:val="right"/>
      </w:pPr>
      <w:r>
        <w:rPr>
          <w:rFonts w:ascii="Times New Roman" w:hAnsi="Times New Roman" w:cs="B Nazanin"/>
          <w:sz w:val="24"/>
          <w:szCs w:val="24"/>
          <w:rtl w:val="1"/>
          <w:b/>
          <w:bCs/>
          <w:color w:val="000000"/>
        </w:rPr>
        <w:t>۲-۱-۱-۳ برنامه مونته ویدئو 1982</w:t>
      </w:r>
    </w:p>
    <w:p>
      <w:pPr>
        <w:bidi w:val="1"/>
        <w:spacing w:line="312" w:lineRule="auto" w:before="0" w:after="120"/>
        <w:ind w:firstLine="454"/>
        <w:jc w:val="both"/>
      </w:pPr>
      <w:r>
        <w:rPr>
          <w:rFonts w:ascii="Times New Roman" w:hAnsi="Times New Roman" w:cs="B Nazanin"/>
          <w:sz w:val="22"/>
          <w:szCs w:val="28"/>
          <w:rtl w:val="1"/>
        </w:rPr>
        <w:t>برنامه محیط زیست سازمان ملل از سال 1982 مبادرت به اتخاذ فعالیت های حقوق محیط زیستی براساس برنامه های ده ساله متوالی به نام «برنامه مونته ویدئو» به منظور توسعه و ارزیابی دوره ای از حقوق محیط زیست نمود. این برنامه، برنامه ای بین دولتی در خصوص ترویج و اجرای حقوق محیط زیست است که برنامه محیط زیست ملل متحد به عنوان دبیرخانه آن عمل می کند. این برنامه به واقع در توسعه قوانین محیط زیست داخلی و قواعد بین المللی در دهه های گذشته نقش اساسی داشته است. برنامه مونته ویدئو جامعه بین المللی را در توسعه حقوق بین الملل محیط زیست به گونه ای که سیاست های مبتنی بر علم</w:t>
      </w:r>
      <w:r>
        <w:rPr>
          <w:rStyle w:val="FootnoteReference"/>
          <w:rtl w:val="1"/>
        </w:rPr>
        <w:footnoteReference w:id="11"/>
      </w:r>
      <w:r>
        <w:rPr>
          <w:rFonts w:ascii="Times New Roman" w:hAnsi="Times New Roman" w:cs="B Nazanin"/>
          <w:sz w:val="22"/>
          <w:szCs w:val="28"/>
          <w:rtl w:val="1"/>
        </w:rPr>
        <w:t xml:space="preserve"> را به قواعد و استانداردهای مبتنی بر عمل</w:t>
      </w:r>
      <w:r>
        <w:rPr>
          <w:rStyle w:val="FootnoteReference"/>
          <w:rtl w:val="1"/>
        </w:rPr>
        <w:footnoteReference w:id="12"/>
      </w:r>
      <w:r>
        <w:rPr>
          <w:rFonts w:ascii="Times New Roman" w:hAnsi="Times New Roman" w:cs="B Nazanin"/>
          <w:sz w:val="22"/>
          <w:szCs w:val="28"/>
          <w:rtl w:val="1"/>
        </w:rPr>
        <w:t xml:space="preserve"> تبدیل می کند، راهبری می کند. علاوه بر این، برخی از موافقت نامه های چند جانبه محیط زیستی، مانند کنوانسیون وین در مورد حفاظت از لایه اوزن و کنوانسیون بازل در مورد جابجایی فرامرزی زباله های خطرناک، که تحت نظارت برنامه محیط زیست ملل متحد مذاکره شده اند، ریشه های خود را در فعالیت هایی که براساس برنامه مونته ویدئو اتخاذ و تقویت شده اند، پیدا می کنند. اهداف کلان برنامه مونته ویدئو عبارت است از : حمایت از توسعه قانونگذاری و چارچوب های قانونی محیط زیستی کافی و مؤثر در همه سطوح برای رسیدگی به مسائل محیط زیستی؛ تقویت اجرای مؤثر قوانین محیط زیست در سطح ملی؛ تقویت ظرفیت سازی برای اثربخشی بیشتر حقوق محیط زیست برای همه ذی نفعان و در همه سطوح؛ حمایت از دولت های ملی بنا به درخواست آن ها در توسعه و اجرای قوانین محیط زیستی و ارتقاء نقش حقوق محیط زیست در زمینه حکمرانی موثر محیط زیستی؛ اولین، دومین، سومین و چهارمین برنامه مونته ویدئو به ترتیب در سال های 1982، 1993، 2001 و 2009 پذیرفته شد. در مارس 2019 مجمع محیط زیست ملل متحد پنجمین برنامه مونته ویدئو را برای بازه زمانی ژانویه 2020 لغایت دسامبر 2029 با تمرکز بر تغییر اقلیم، تاب آوری در برابر بلایا، اکوسیستم های سالم و سازنده، حکمرانی محیط زیست، مواد شیمایی و زباله وکیفیت هوا و بهره وری منابع تصویب نمود. (www.unep.org,14Dec.2024)</w:t>
      </w:r>
    </w:p>
    <w:p>
      <w:pPr>
        <w:pStyle w:val="Heading3"/>
        <w:bidi w:val="1"/>
        <w:spacing w:line="312" w:lineRule="auto" w:before="200" w:after="120"/>
        <w:jc w:val="right"/>
      </w:pPr>
      <w:r>
        <w:rPr>
          <w:rFonts w:ascii="Times New Roman" w:hAnsi="Times New Roman" w:cs="B Nazanin"/>
          <w:sz w:val="24"/>
          <w:szCs w:val="24"/>
          <w:rtl w:val="1"/>
          <w:b/>
          <w:bCs/>
          <w:color w:val="000000"/>
        </w:rPr>
        <w:t>۲-۱-۱-۴ اعلامیه ریو 1992</w:t>
      </w:r>
    </w:p>
    <w:p>
      <w:pPr>
        <w:bidi w:val="1"/>
        <w:spacing w:line="312" w:lineRule="auto" w:before="0" w:after="120"/>
        <w:ind w:firstLine="454"/>
        <w:jc w:val="both"/>
      </w:pPr>
      <w:r>
        <w:rPr>
          <w:rFonts w:ascii="Times New Roman" w:hAnsi="Times New Roman" w:cs="B Nazanin"/>
          <w:sz w:val="22"/>
          <w:szCs w:val="28"/>
          <w:rtl w:val="1"/>
        </w:rPr>
        <w:t>بعد از تصویب اعلامیه استکهلم، منشور جهانی طبیعت به دنبال تدوین اصول لازم برای حفاظت از منابع طبیعی به ابتکار کشورهای در حال توسعه بود. متاسفانه اقدامات بعد تصویب منشور جهانی طبیعت حاکی از عقب نشینی از اهداف منشور جهانی طبیعت بودند. تنها در سال 1987 گزارشی تحت عنوان «آینده مشترک ما» از سوی کمیسیون جهانی محیط زیست و توسعه</w:t>
      </w:r>
      <w:r>
        <w:rPr>
          <w:rStyle w:val="FootnoteReference"/>
          <w:rtl w:val="1"/>
        </w:rPr>
        <w:footnoteReference w:id="13"/>
      </w:r>
      <w:r>
        <w:rPr>
          <w:rFonts w:ascii="Times New Roman" w:hAnsi="Times New Roman" w:cs="B Nazanin"/>
          <w:sz w:val="22"/>
          <w:szCs w:val="28"/>
          <w:rtl w:val="1"/>
        </w:rPr>
        <w:t xml:space="preserve"> منتشر شد که این گزارش با نام رئیس وقت کمیسیون خانم گرو هارلم بروندلند</w:t>
      </w:r>
      <w:r>
        <w:rPr>
          <w:rStyle w:val="FootnoteReference"/>
          <w:rtl w:val="1"/>
        </w:rPr>
        <w:footnoteReference w:id="14"/>
      </w:r>
      <w:r>
        <w:rPr>
          <w:rFonts w:ascii="Times New Roman" w:hAnsi="Times New Roman" w:cs="B Nazanin"/>
          <w:sz w:val="22"/>
          <w:szCs w:val="28"/>
          <w:rtl w:val="1"/>
        </w:rPr>
        <w:t xml:space="preserve"> (نخست وزیر سابق نروژ) به گزارش بروندلند معروف شد و به صورت بنیادین اصول راهنمای توسعه پایدار را تدوین نمود و خلاصه ای از اصول حقوقی پیشنهادی برای حفاظت از محیط زیست و توسعه پایدار را جمع آوری کرد که الهام بخش اعلان رسمی پیشنهادهایی راجع به ساختار حقوقی حقوق بین الملل محیط زیست گردید. (Canovas,2020 ,13) گزارش بروندلند نقش قابل توجهی را در تحولات آتی حقوق بین الملل محیط زیست و موافقت نامه های چندجانبه محیط زیستی ایفا نموده است. این گزارش بیان نمود که مشکلات حیاتی محیط زیست جهانی در درجه اول نتیجه فقر عظیم کشورهای جنوب و الگوهای غیرپایدار مصرف و تولید در شمال است. این کمیسیون خواستار راهبردی شد که توسعه و محیط زیست را متحد کند - که با اصطلاح رایج "توسعه پایدار" توصیف می شود. براساس گزارش، توسعه پایدار توسعه ای است که نیازهای زمان حال را بدون به خطر انداختن توانایی نسل های آینده برای برآوردن نیازهای خود، برآورده می کند. کمیسیون جهانی محیط زیست و توسعه پیشنهاد کرد که مجمع عمومی خود را متعهد به تهیه یک اعلامیه جهانی و بعداً کنوانسیون حفاظت از محیط زیست و توسعه پایدار کند. این گزارش در سال 1989 در مجمع عمومی سازمان ملل متحد مورد بحث قرار گرفت و کنفرانس سازمان ملل در مورد محیط زیست و توسعه معروف به «نشست زمین»</w:t>
      </w:r>
      <w:r>
        <w:rPr>
          <w:rStyle w:val="FootnoteReference"/>
          <w:rtl w:val="1"/>
        </w:rPr>
        <w:footnoteReference w:id="15"/>
      </w:r>
      <w:r>
        <w:rPr>
          <w:rFonts w:ascii="Times New Roman" w:hAnsi="Times New Roman" w:cs="B Nazanin"/>
          <w:sz w:val="22"/>
          <w:szCs w:val="28"/>
          <w:rtl w:val="1"/>
        </w:rPr>
        <w:t xml:space="preserve"> در ژوئن سال 1992 در شهر ریودوژانیرو برزیل برگزار گردید. (Riath,2018,5) بنابراین، این گزارش مبنای اصلی کنفرانس ریو قرار گرفت و باعث شد که تمرکز کنفرانس از محیط زیست انسانی به موضوعات توسعه ای فراتر رود. کنفرانس ریو پایه ریز مفهوم «توسعه پایدار» در حقوق بین الملل گردید. «نتایج این کنفرانس به شرح زیر می باشد: پذیرش اعلامیه ریو در خصوص محیط زیست و توسعه، آغاز فرایند امضا کنوانسیون چارچوبی سازمان ملل متحد در خصوص تغییر اقلیم و کنوانسیون تنوع زیستی، تداوم مذاکره در خصوص کنوانسیون سازمان ملل متحد به منظور مقابله با بیابان زایی، پذیرش برنامه اقدام به نام دستور کار 21، بیانیه غیرالزام آور اصول اجماعی در خصوص مدیریت، حفاظت و استفاده پایدار از تمام انواع جنگل ها و در نهایت، تاسیس کمیسیون توسعه پایدار» (UNEP,2024,24)</w:t>
      </w:r>
    </w:p>
    <w:p>
      <w:pPr>
        <w:bidi w:val="1"/>
        <w:spacing w:line="312" w:lineRule="auto" w:before="0" w:after="120"/>
        <w:ind w:firstLine="454"/>
        <w:jc w:val="both"/>
      </w:pPr>
      <w:r>
        <w:rPr>
          <w:rFonts w:ascii="Times New Roman" w:hAnsi="Times New Roman" w:cs="B Nazanin"/>
          <w:sz w:val="22"/>
          <w:szCs w:val="28"/>
          <w:rtl w:val="1"/>
        </w:rPr>
        <w:t>اعلامیه های استکهلم و ریو نتیجه کنفرانس هایی هستند که زیر نظر سازمان ملل متحد برگزار شدند و به عنوان نخستین گام ها در جهت توسعه تدریجی حقوق بین الملل محیطزیست محسوب می شوند. همانطور که از  نام آن ها پیداست در قالب «اعلامیه» تنظیم شده اند. اساساً محتوای اعلامیه ها دارای آثار حقوقی الزام آور همانند سایر اسناد بین المللی نیست و به زعم اکثر آموزه های حقوقی مفاد این اسناد جزء حقوق قوام نایافته است. هرچند که این دو اعلامیه جملگی جزء اسناد حقوقی الزام آور محسوب نمی شوند ولی مبین ظهور اصولی هستند که در عملکرد دولت ها مورد توجه قرار گرفته و مبانی شکل گیری سایر کنوانسیون های بین المللی محیط زیستی را شکل داده اند. باید توجه داشت که محتوای اصول مذکور در این دو سند دارای ارزش حقوقی یکسانی نیستند؛ بعضی از این اصول در بردارنده ماهیتی اعلامی و بعضی در بردارنده تعهدات بین المللی برای دولت ها هستند. این موضوع سبب ایجاد رویکردهای دوگانه نسبت به ماهیت و ارزش حقوقی این اعلامیه ها در نظام بین المللی گردید.( Bosselmann,2004,60-64)</w:t>
      </w:r>
    </w:p>
    <w:p>
      <w:pPr>
        <w:bidi w:val="1"/>
        <w:spacing w:line="312" w:lineRule="auto" w:before="0" w:after="120"/>
        <w:ind w:firstLine="454"/>
        <w:jc w:val="both"/>
      </w:pPr>
      <w:r>
        <w:rPr>
          <w:rFonts w:ascii="Times New Roman" w:hAnsi="Times New Roman" w:cs="B Nazanin"/>
          <w:sz w:val="22"/>
          <w:szCs w:val="28"/>
          <w:rtl w:val="1"/>
        </w:rPr>
        <w:t xml:space="preserve">اعلامیه ریو با تاکید بر توسعه پایدار به عنوان یک راه حل موثر برای مشکلات محیط زیستی، شامل 27 اصل جهت پیشبرد اهداف محیط زیستی و اجتماعی و با رویکرد همکاری بین المللی و تعهد کشورهای توسعه یافته در جهت کمک به کشورهای در حال توسعه و هم چنین پذیرش نیاز به تعادل میان توسعه اقتصادی و حفاظت از محیط زیست نهایی شد. عمدتاً این سند با اعلامیه استکهلم به عنوان یک سندی که بیشتر جنبه عمومی و اخلاقی داشت و در مقام تمرکز بر حق بشر بر محیط زیست سالم ، مخاطب قرار دادن کشورهای توسعه یافته و غفلت از توجه کافی به نیازهای کشورهای در حال توسعه و چالش آن ها، پیشگیری، بهبود شرایط زندگی (اشاره به محتوای مفهوم توسعه پایدار)، همکاری بین المللی، آموزش و آگاهی، تحقیق و توسعه فناوری های مناسب برای حفظ محیط زیست و حفاظت از منابع طبیعی بود، تفاوت هایی در اصول مندرج دارد. اعلامیه ریو مبادرت طرح موضوعات نوین هم چون توسعه پایدار، حق توسعه، اهمیت مشارکت عمومی و جوامع مدنی، توجه به وضعیت خاص و نیاز کشورهای در حال توسعه به ویژه کشورهای کمتر توسعه یافته، اصل تاریخی مسئولیت مشترک اما متفاوت، حمایت از تنوع زیستی به عنوان بخشی از توسعه پایدار، اصل احتیاط، اصل پرداخت آلوده کننده، ارزیابی تأثیرات محیط زیستی و همکاری کشورها در توسعه بیشتر حقوق بین‌الملل در زمینه توسعه پایدار نمود. این اصول به طور کلی نشان‌دهنده یک تغییر به سوی رویکردی یکپارچه‌ در حکمرانی محیط زیستی هستند که توسعه اقتصادی را با پایداری اکولوژیکی متوازن می‌کند. </w:t>
      </w:r>
    </w:p>
    <w:p>
      <w:pPr>
        <w:bidi w:val="1"/>
        <w:spacing w:line="312" w:lineRule="auto" w:before="0" w:after="120"/>
        <w:ind w:firstLine="454"/>
        <w:jc w:val="both"/>
      </w:pPr>
      <w:r>
        <w:rPr>
          <w:rFonts w:ascii="Times New Roman" w:hAnsi="Times New Roman" w:cs="B Nazanin"/>
          <w:sz w:val="22"/>
          <w:szCs w:val="28"/>
          <w:rtl w:val="1"/>
        </w:rPr>
        <w:t>کنفرانس ریو به توسعه حقوق داخلی و بین المللی محیط زیست کمک شایان توجهی کرد. تمرکز بر توسعه پایدار به پل زدن اختلافات دیرینه بین کشورهای توسعه یافته و در حال توسعه کمک نمود. حتی قبل از کنفرانس استکهلم، کشورهای در حال توسعه بر نیازهای توسعه ای خود، ظرفیت پایین آنها برای اقدام در جهت حفاظت از محیط زیست و مسئولیت تاریخی کشورهای توسعه یافته در قبال مشکلات محیط زیست جهانی تأکید کردند. آنها همچنین استدلال می کردند که اگر کشورهای توسعه یافته می خواهند کشورهای در حال توسعه استفاده از برخی فناوری های آلاینده را کنار بگذارند، باید حمایت مالی و فناوری ارائه کنند. در مجموع، اعلامیه استکهلم 1972 و اعلامیه ریو 1992 هر دو نقاط عطف مهمی در تاریخ حقوق بین الملل محیط‌ زیست هستند و به نوعی نمایانگر تغییرات اساسی در رویکرد جهانی به مسائل محیط زیستی محسوب می‌شوند.</w:t>
      </w:r>
    </w:p>
    <w:p>
      <w:pPr>
        <w:pStyle w:val="Heading3"/>
        <w:bidi w:val="1"/>
        <w:spacing w:line="312" w:lineRule="auto" w:before="200" w:after="120"/>
        <w:jc w:val="right"/>
      </w:pPr>
      <w:r>
        <w:rPr>
          <w:rFonts w:ascii="Times New Roman" w:hAnsi="Times New Roman" w:cs="B Nazanin"/>
          <w:sz w:val="24"/>
          <w:szCs w:val="24"/>
          <w:rtl w:val="1"/>
          <w:b/>
          <w:bCs/>
          <w:color w:val="000000"/>
        </w:rPr>
        <w:t>۲-۱-۱-۵ منشور زمین 2000</w:t>
      </w:r>
    </w:p>
    <w:p>
      <w:pPr>
        <w:bidi w:val="1"/>
        <w:spacing w:line="312" w:lineRule="auto" w:before="0" w:after="120"/>
        <w:ind w:firstLine="454"/>
        <w:jc w:val="both"/>
      </w:pPr>
      <w:r>
        <w:rPr>
          <w:rFonts w:ascii="Times New Roman" w:hAnsi="Times New Roman" w:cs="B Nazanin"/>
          <w:sz w:val="22"/>
          <w:szCs w:val="28"/>
          <w:rtl w:val="1"/>
        </w:rPr>
        <w:t>متعاقب گزارش بروندلند، فراخوان شکل گیری منشور جدیدی مطرح شد. با برگزاری کنفرانس ریو، زمان مناسبی برای مذاکره در خصوص منشور جدید دیده نشد. تا اینکه در سال 1994 موریس استرانگ (دبیر کل کنفرانس ریو) و میخائیل گورباچف با همکاری برخی از سازمان های غیردولتی، ابتکاری را با حمایت دولت هلند به منظور تدوین «منشور زمین»</w:t>
      </w:r>
      <w:r>
        <w:rPr>
          <w:rStyle w:val="FootnoteReference"/>
          <w:rtl w:val="1"/>
        </w:rPr>
        <w:footnoteReference w:id="16"/>
      </w:r>
      <w:r>
        <w:rPr>
          <w:rFonts w:ascii="Times New Roman" w:hAnsi="Times New Roman" w:cs="B Nazanin"/>
          <w:sz w:val="22"/>
          <w:szCs w:val="28"/>
          <w:rtl w:val="1"/>
        </w:rPr>
        <w:t xml:space="preserve"> به عنوان ابتکاری از جانب جامعه مدنی راه اندازی کردند. روند اولیه تهیه پیش نویس و مشاوره ها براساس بررسی صدها سند بین المللی موجود صورت گرفت و تلاش ها در پی حصول اجماع جهانی بر سر یک سند ادامه داشت. در مارس 1997 اولین پیش نویس منشور زمین منتشر شد. پس از انتشار پیش نویس های متعدد و تلاش جهت درج نظرات مردم از تمام مناطق جهان، کمیسیون منشور زمین در خصوص متن نهایی در مارس 2000 به اجماع رسیدند. به صورت رسمی منشور زمین در مراسمی ویژه در 29 ژوئن 2000 در کاخ صلح در لاهه، هلند رونمایی شد. طی پنج سال بعد، بیش از 2000 سازمان غیردولتی اعم از بین المللی و ملی هم چون یونسکو، اتحادیه بین المللی حفاظت از طبیعت و ... منشور زمین را تایید کردند. (www.erathcharter.org,16 Dec.2024)</w:t>
      </w:r>
    </w:p>
    <w:p>
      <w:pPr>
        <w:bidi w:val="1"/>
        <w:spacing w:line="312" w:lineRule="auto" w:before="0" w:after="120"/>
        <w:ind w:firstLine="454"/>
        <w:jc w:val="both"/>
      </w:pPr>
      <w:r>
        <w:rPr>
          <w:rFonts w:ascii="Times New Roman" w:hAnsi="Times New Roman" w:cs="B Nazanin"/>
          <w:sz w:val="22"/>
          <w:szCs w:val="28"/>
          <w:rtl w:val="1"/>
        </w:rPr>
        <w:t xml:space="preserve">منشور زمین سندی با شانزده اصل است که یک جنبش جهانی را تقویت می کند. این سند، ارزش ها و اصولی را بیان می کند که با آنها می توان به توسعه پایدار دست یافت و پایه اخلاقی برای اتخاذ اقدامات لازم به منظور ایجاد یک جامعه جهانی عادلانه تر، پایدارتر و صلح آمیزتر در قرن بیست و یکم به حساب می آمد. این منشور نتیجه یکی از فراگیرترین و مشارکتی‌ترین فرآیندهای مشاوره‌ای است که تاکنون با یک سند بین‌المللی مرتبط بوده است. محصول یک گفتگوی چندساله ی جهانی و بین فرهنگی در مورد اهداف مشترک و ارزش های مشترک است. به عنوان مرجع و سندی در تدوین سیاستها، برنامه ریزی ها و تصمیم گیری ها ارائه گردید. این منشور به دنبال الهام‌بخشی به مردم برای احساس وابستگی جهانی و مسئولیت مشترک نسبت به رفاه، خانواده انسانی و جامعه بزرگ‌تر جهانی و چشم اندازی از امید و فراخوانی برای اقدام است. سند منشور زمین با مقدمه شروع می شود و به دنبال آن چهار ستون «احترام و مراقبت از اجتماع زندگی»، «یکپارچگی محیط زیست»، «عدالت اجتماعی و اقتصادی، دموکراسی، عدم خشونت، و صلح» و با بند «مسیر آینده» به پایان می رسد. منشور زمین بر این باور است که حفاظت از محیط زیست، حقوق بشر، توسعه انسانی عادلانه و صلح به طور متقابل وابسته و غیرقابل تفکیک هستند. این سند به عنوان یک راهنما برای تفکر در مورد مسائل جهانی و محلی طراحی شده است و هدف آن ایجاد یک همکاری جهانی در زمان حساسی از تاریخ بشر برای حفاظت از محیط زیست است.  </w:t>
      </w:r>
    </w:p>
    <w:p>
      <w:pPr>
        <w:bidi w:val="1"/>
        <w:spacing w:line="312" w:lineRule="auto" w:before="0" w:after="120"/>
        <w:ind w:firstLine="454"/>
        <w:jc w:val="both"/>
      </w:pPr>
      <w:r>
        <w:rPr>
          <w:rFonts w:ascii="Times New Roman" w:hAnsi="Times New Roman" w:cs="B Nazanin"/>
          <w:sz w:val="22"/>
          <w:szCs w:val="28"/>
          <w:rtl w:val="1"/>
        </w:rPr>
        <w:t xml:space="preserve"> از نظر اصول حقوق بین‌الملل، منشور زمین به‌طور ظاهری یک سند چندجانبه بین المللی محسوب می‌شود که علاوه بر سازمان های بین المللی دولتی و غیردولتی، چندین دولت نیز آن را تایید نموده اند. بیشتر اصول مندرج در این سند، در موافقت نامه های چندجانبه محیط زیستی نیز تکرار شده است. در حال حاضر «ابتکار منشور زمین» در اکثر کشورها به عنوان یک سازوکار غیردولتی با محوریت سند منشور زمین کار خود را ادامه می دهد. در خصوص سند منشور زمین، می توان گفت اگرچه هنوز به‌عنوان یک سند «حقوق نرم» در میان دولت ها شناخته نشده است، اما تمام ویژگی‌های لازم برای نزدیک شدن به این وضعیت را دارد. در فصل آتی به ارتباط نزدیک منشور زمین و پیش نویس پیمان جهانی محیط زیست خواهیم پرداخت.</w:t>
      </w:r>
    </w:p>
    <w:p>
      <w:pPr>
        <w:pStyle w:val="Heading3"/>
        <w:bidi w:val="1"/>
        <w:spacing w:line="312" w:lineRule="auto" w:before="200" w:after="120"/>
        <w:jc w:val="right"/>
      </w:pPr>
      <w:r>
        <w:rPr>
          <w:rFonts w:ascii="Times New Roman" w:hAnsi="Times New Roman" w:cs="B Nazanin"/>
          <w:sz w:val="24"/>
          <w:szCs w:val="24"/>
          <w:rtl w:val="1"/>
          <w:b/>
          <w:bCs/>
          <w:color w:val="000000"/>
        </w:rPr>
        <w:t>۲-۱-۱-۶ اهداف توسعه هزاره 2000</w:t>
      </w:r>
    </w:p>
    <w:p>
      <w:pPr>
        <w:bidi w:val="1"/>
        <w:spacing w:line="312" w:lineRule="auto" w:before="0" w:after="120"/>
        <w:ind w:firstLine="454"/>
        <w:jc w:val="both"/>
      </w:pPr>
      <w:r>
        <w:rPr>
          <w:rFonts w:ascii="Times New Roman" w:hAnsi="Times New Roman" w:cs="B Nazanin"/>
          <w:sz w:val="22"/>
          <w:szCs w:val="28"/>
          <w:rtl w:val="1"/>
        </w:rPr>
        <w:t>یکی از گردهمایی های بزرگ رهبران جهان که نقش تعیین کننده ای در پیشبرد توسعه پایدار داشت، نشست هزاره ملل متحد بود. تشکیل این نشست ناشی از تداوم روندی بود که با کنفرانس سازمان ملل درباره محیط زیست و توسعه (نشست زمین) در سال 1992 آغاز شده بود. رهبران جهان در نشست هزاره که از 6 تا 8 سپتامبر 2000 در نیویورک و به دعوت سازمان ملل متحد تشکیل شد، درمورد مجموعه ای از هدف های قابل نیل در زمانی محدود و مشخص و هدف هایی برای مبارزه با فقر،گرسنگی، بی سوادی، ترویج برابری جنسیتی و توانمندسازی زنان، کاهش مرگ و میر کودکان، بهبود سلامت مادران، مبارزه با برخی بیماریها، تضمین محیط زیست پایدار و مشارکت جهانی برای توسعه پایدار معروف به اهداف توسعه هزاره</w:t>
      </w:r>
      <w:r>
        <w:rPr>
          <w:rStyle w:val="FootnoteReference"/>
          <w:rtl w:val="1"/>
        </w:rPr>
        <w:footnoteReference w:id="17"/>
      </w:r>
      <w:r>
        <w:rPr>
          <w:rFonts w:ascii="Times New Roman" w:hAnsi="Times New Roman" w:cs="B Nazanin"/>
          <w:sz w:val="22"/>
          <w:szCs w:val="28"/>
          <w:rtl w:val="1"/>
        </w:rPr>
        <w:t xml:space="preserve"> توافق کردند. نتیجه این اجلاس تصویب اعلامیه هزاره</w:t>
      </w:r>
      <w:r>
        <w:rPr>
          <w:rStyle w:val="FootnoteReference"/>
          <w:rtl w:val="1"/>
        </w:rPr>
        <w:footnoteReference w:id="18"/>
      </w:r>
      <w:r>
        <w:rPr>
          <w:rFonts w:ascii="Times New Roman" w:hAnsi="Times New Roman" w:cs="B Nazanin"/>
          <w:sz w:val="22"/>
          <w:szCs w:val="28"/>
          <w:rtl w:val="1"/>
        </w:rPr>
        <w:t xml:space="preserve"> ملل متحد که سندی راهنما برای سده جدید بود و در آن کشورها متعهد شدند که با یکدیگر در زمینه ارتقاء توسعه و کاهش فقر تا سال 2015 میلادی همکاری نمایند. در این اعلامیه به منظور نیل به توسعه پایدار، هشت آرمان، در قالب 18 هدف، و 48 شاخص تعریف شده است. آرمان هفتم این سند به مقوله «تضمین پایداری محیط زیست» پرداخته است. ذیل این آرمان، در مورد 4 هدف به شرح زیر توافق گردید: گنجاندن اصول توسعه ی پایدار در بین سیاست ها و برنامه های کشورها، آغاز روند معکوس اتلاف منابع محیط زیست؛ کاستن از روند کاهش تنوع زیستی، کاهش معنی دار در نرخ تلفات تا سال 2010؛ نصف شدن قسمتی از مردم که دسترسی پایدار به آب سالم آشامیدنی و تاسیسات بهداشتی اولیه ندارند و دست یافتن به  بهبود معنی دار و قابل توجه در زندگی حداقل 100 میلیون زاغه نشین. (www.un.org,17Dec.2024)</w:t>
      </w:r>
    </w:p>
    <w:p>
      <w:pPr>
        <w:pStyle w:val="Heading3"/>
        <w:bidi w:val="1"/>
        <w:spacing w:line="312" w:lineRule="auto" w:before="200" w:after="120"/>
        <w:jc w:val="right"/>
      </w:pPr>
      <w:r>
        <w:rPr>
          <w:rFonts w:ascii="Times New Roman" w:hAnsi="Times New Roman" w:cs="B Nazanin"/>
          <w:sz w:val="24"/>
          <w:szCs w:val="24"/>
          <w:rtl w:val="1"/>
          <w:b/>
          <w:bCs/>
          <w:color w:val="000000"/>
        </w:rPr>
        <w:t>۲-۱-۱-۷ اعلامیه ژوهانسبورگ 2002</w:t>
      </w:r>
    </w:p>
    <w:p>
      <w:pPr>
        <w:bidi w:val="1"/>
        <w:spacing w:line="312" w:lineRule="auto" w:before="0" w:after="120"/>
        <w:ind w:firstLine="454"/>
        <w:jc w:val="both"/>
      </w:pPr>
      <w:r>
        <w:rPr>
          <w:rFonts w:ascii="Times New Roman" w:hAnsi="Times New Roman" w:cs="B Nazanin"/>
          <w:sz w:val="22"/>
          <w:szCs w:val="28"/>
          <w:rtl w:val="1"/>
        </w:rPr>
        <w:t>در دسامبر 2000، مجمع عمومی سازمان ملل طی تصویب قطعنامهای تصمیم به بررسی 10 ساله کنفرانس ریو در سال 2002 گرفت.</w:t>
      </w:r>
      <w:r>
        <w:rPr>
          <w:rStyle w:val="FootnoteReference"/>
          <w:rtl w:val="1"/>
        </w:rPr>
        <w:footnoteReference w:id="19"/>
      </w:r>
      <w:r>
        <w:rPr>
          <w:rFonts w:ascii="Times New Roman" w:hAnsi="Times New Roman" w:cs="B Nazanin"/>
          <w:sz w:val="22"/>
          <w:szCs w:val="28"/>
          <w:rtl w:val="1"/>
        </w:rPr>
        <w:t xml:space="preserve"> هدف از این بازنگری پیگیری پیشرفت های انجام شده از زمان ریو و برداشتن گام هایی برای پیشبرد اقدامات جهانی در زمینه توسعه پایدار عنوان شد. اجلاس جهانی توسعه پایدار</w:t>
      </w:r>
      <w:r>
        <w:rPr>
          <w:rStyle w:val="FootnoteReference"/>
          <w:rtl w:val="1"/>
        </w:rPr>
        <w:footnoteReference w:id="20"/>
      </w:r>
      <w:r>
        <w:rPr>
          <w:rFonts w:ascii="Times New Roman" w:hAnsi="Times New Roman" w:cs="B Nazanin"/>
          <w:sz w:val="22"/>
          <w:szCs w:val="28"/>
          <w:rtl w:val="1"/>
        </w:rPr>
        <w:t xml:space="preserve"> در سال 2002 در ژوهانسبورگ، آفریقای جنوبی تشکیل شد. این اجلاس تمرکز را از توسعه هنجارهای محیط زیست بین المللی به سمت اجرا، با توسعه پایدار و فقرزدایی به عنوان موضوعات اصلی آن تغییر داد. این اجلاس منجر به تصویب اعلامیه سیاسی ژوهانسبورگ در مورد توسعه پایدار شد که در بند 5، سه رکن توسعه پایدار را تأیید می کند: توسعه اقتصادی، توسعه اجتماعی و حفاظت از محیط زیست. کشورها همچنین برنامه اجرایی ژوهانسبورگ را تصویب کردند که اولویت ها و اهدافی را در تعدادی از زمینه های مورد توجه تعیین می کند. متعاقباً اسناد این نشست طی قطعنامه مجمع عمومی به تصویب رسید.</w:t>
      </w:r>
      <w:r>
        <w:rPr>
          <w:rStyle w:val="FootnoteReference"/>
          <w:rtl w:val="1"/>
        </w:rPr>
        <w:footnoteReference w:id="21"/>
      </w:r>
    </w:p>
    <w:p>
      <w:pPr>
        <w:pStyle w:val="Heading3"/>
        <w:bidi w:val="1"/>
        <w:spacing w:line="312" w:lineRule="auto" w:before="200" w:after="120"/>
        <w:jc w:val="right"/>
      </w:pPr>
      <w:r>
        <w:rPr>
          <w:rFonts w:ascii="Times New Roman" w:hAnsi="Times New Roman" w:cs="B Nazanin"/>
          <w:sz w:val="24"/>
          <w:szCs w:val="24"/>
          <w:rtl w:val="1"/>
          <w:b/>
          <w:bCs/>
          <w:color w:val="000000"/>
        </w:rPr>
        <w:t>۲-۱-۱-۸ کنفرانس توسعه پایدار 2012</w:t>
      </w:r>
    </w:p>
    <w:p>
      <w:pPr>
        <w:bidi w:val="1"/>
        <w:spacing w:line="312" w:lineRule="auto" w:before="0" w:after="120"/>
        <w:ind w:firstLine="454"/>
        <w:jc w:val="both"/>
      </w:pPr>
      <w:r>
        <w:rPr>
          <w:rFonts w:ascii="Times New Roman" w:hAnsi="Times New Roman" w:cs="B Nazanin"/>
          <w:sz w:val="22"/>
          <w:szCs w:val="28"/>
          <w:rtl w:val="1"/>
        </w:rPr>
        <w:t>در مارس 2010، مجمع عمومی سازمان ملل طی تصویب قطعنامه ای تصمیم به بررسی روند 20 ساله پیشرفت اجرای نتایج اجلاس های بزرگ در زمینه توسعه پایدار گرفت.</w:t>
      </w:r>
      <w:r>
        <w:rPr>
          <w:rStyle w:val="FootnoteReference"/>
          <w:rtl w:val="1"/>
        </w:rPr>
        <w:footnoteReference w:id="22"/>
      </w:r>
      <w:r>
        <w:rPr>
          <w:rFonts w:ascii="Times New Roman" w:hAnsi="Times New Roman" w:cs="B Nazanin"/>
          <w:sz w:val="22"/>
          <w:szCs w:val="28"/>
          <w:rtl w:val="1"/>
        </w:rPr>
        <w:t xml:space="preserve">  از این رو، کنفرانس سازمان ملل متحد در مورد توسعه پایدار معروف به ریو+20، در سال 2012 در ریودوژانیرو، برزیل با دو هدف اصلی برگزار شد: تضمین تعهد سیاسی مجدد برای توسعه پایدار و ارزیابی خلاءهای باقی مانده در اجرا. نتیجه اصلی این نشست در قطعنامه مجمع عمومی سازمان ملل متحد تحت عنوان «آینده ای که می خواهیم» با تاکید بر توسعه، اجرا و لزوم تقویت برنامه محیط زیست ملل متحد منتشر شد.</w:t>
      </w:r>
      <w:r>
        <w:rPr>
          <w:rStyle w:val="FootnoteReference"/>
          <w:rtl w:val="1"/>
        </w:rPr>
        <w:footnoteReference w:id="23"/>
      </w:r>
      <w:r>
        <w:rPr>
          <w:rFonts w:ascii="Times New Roman" w:hAnsi="Times New Roman" w:cs="B Nazanin"/>
          <w:sz w:val="22"/>
          <w:szCs w:val="28"/>
          <w:rtl w:val="1"/>
        </w:rPr>
        <w:t xml:space="preserve"> کنفرانس همچنین 1) دستورالعمل‌هایی را در مورد سیاست‌های اقتصاد سبز تصویب کرد و یک فرآیند بین‌دولتی برای تهیه استراتژی به منظور تأمین مالی توسعه پایدار ایجاد کرد؛ 2) اتخاذ تصمیم‌ در خصوص شماری از حوزه‌های موضوعی که منجر به بیش از 700 تعهد داوطلبانه در مورد توسعه پایدار توسط فعالان مختلف گردید؛ و 3) فرآیندی را برای تدوین اهداف توسعه پایدار، مجموعه‌ای از اهداف و شاخص‌های جهانی برای پیگیری اقدامات بین‌المللی متمرکز و منسجم در مورد توسعه پایدار راه‌اندازی کرد. </w:t>
      </w:r>
    </w:p>
    <w:p>
      <w:pPr>
        <w:bidi w:val="1"/>
        <w:spacing w:line="312" w:lineRule="auto" w:before="0" w:after="120"/>
        <w:ind w:firstLine="454"/>
        <w:jc w:val="both"/>
      </w:pPr>
      <w:r>
        <w:rPr>
          <w:rFonts w:ascii="Times New Roman" w:hAnsi="Times New Roman" w:cs="B Nazanin"/>
          <w:sz w:val="22"/>
          <w:szCs w:val="28"/>
          <w:rtl w:val="1"/>
        </w:rPr>
        <w:t xml:space="preserve">در این سند پاراگراف های 87 لغایت 90 به عنصر محیط زیستی توسعه پایدار پرداخته است. در بند 87 به لزوم تقویت حکمرانی محیط زیستی بین المللی در چارچوب سیستم سازمان ملل و به منظور ارتقاء یکپارچگی ابعاد اقتصادی، اجتماعی و محیط زیستی توسعه پایدار تاکید می کند. در بند 88 در مقام تقویت نقش برنامه محیط زیست ملل متحد به عنوان مرجع محیط زیستی پیشرو جهانی مقرر می شود که 1) عضویت جهانی در شورای حکام برنامه محیط زیست ملل ؛ 2) اختصاص بودجه منظم از منابع مالی سازمان ملل و مشارکت های داوطلبانه؛ 3) تقویت مشارکت برنامه محیط زیست در ارکان اصلی سازمان ملل و توانمندسازی آن برای تدوین استراتژی های سیستم سازمان ملل در مورد محیط زیست در دستورکار قرار گیرد. نتیجه تدوین این بند، شکل گیری مجمع محیط زیست ملل متحد (یونیا) به‌عنوان بالاترین سطح تصمیم‌گیری جهان در مورد محیط‌زیست بود. مجمع محیط زیست ملل متحد به عنوان پارلمان بالفعل محیط زیست در جهان با حضور وزرای محیط زیست به صورت دو سالانه به منظور تنظیم دستورکار محیط زیست جهانی، بررسی چالش های محیط زیستی حیاتی پیش روی جهان، بررسی موضوعات مهم و نوظهور سیاست‌های محیط زیستی، کمک موثر به راه حل های جهانی از طریق توسعه حقوق بین الملل محیط زیست و ارائه رهنمودهای سیاستی فراگیر در مورد چالش های محیط زیستی عمل می کند. این مجمع، فعالیت ها و سیاست های محیط زیستی سازمان ملل را تدوین و هماهنگ می کند و حقوق بین الملل محیط زیست را توسعه می دهد. این مجمع با عضویت جهانی، همچنان اولین رکن بین المللی در حوزه مسائل محیط زیستی است، به ویژه مواردی که نیاز به اقدام جمعی جهانی دارند. در حالی که کشورهای عضو سازمان ملل متحد تنها اعضای دارای حق رأی در این مجمع هستند، صدای هزاران نماینده دولت، سازمان های بین المللی و جوامع مدنی را در برمی گیرد. طی جلسات مجمع قطعنامه های زیادی توسط کشورهای عضو پیشنهاد، مذاکره و تصویب می شود. گرچه این قطعنامه ها الزام آور نیستند، اما روند مسایل کلیدی و جهانی محیط زیست را تعیین  و گامی در فراخوان جهانی برای اقدام هماهنگ جمعی محسوب می شود. </w:t>
      </w:r>
    </w:p>
    <w:p>
      <w:pPr>
        <w:pStyle w:val="Heading3"/>
        <w:bidi w:val="1"/>
        <w:spacing w:line="312" w:lineRule="auto" w:before="200" w:after="120"/>
        <w:jc w:val="right"/>
      </w:pPr>
      <w:r>
        <w:rPr>
          <w:rFonts w:ascii="Times New Roman" w:hAnsi="Times New Roman" w:cs="B Nazanin"/>
          <w:sz w:val="24"/>
          <w:szCs w:val="24"/>
          <w:rtl w:val="1"/>
          <w:b/>
          <w:bCs/>
          <w:color w:val="000000"/>
        </w:rPr>
        <w:t>۲-۱-۱-۹ دستورکار 2030 برای توسعه پایدار و اهداف توسعه پایدار  2015</w:t>
      </w:r>
    </w:p>
    <w:p>
      <w:pPr>
        <w:bidi w:val="1"/>
        <w:spacing w:line="312" w:lineRule="auto" w:before="0" w:after="120"/>
        <w:ind w:firstLine="454"/>
        <w:jc w:val="both"/>
      </w:pPr>
      <w:r>
        <w:rPr>
          <w:rFonts w:ascii="Times New Roman" w:hAnsi="Times New Roman" w:cs="B Nazanin"/>
          <w:sz w:val="22"/>
          <w:szCs w:val="28"/>
          <w:rtl w:val="1"/>
        </w:rPr>
        <w:t>تدوین اهداف توسعه پایدار بر اساس اهداف توسعه هزاره صورت گرفت. تاریخ مقرر برای دستیابی به اهداف توسعه هزاره سال 2015 تعیین شده بود. در حالی که پیشرفت های خوبی در راستای اهداف حاصل شده بود، اما تا سال 2015 همه آن ها در سطح جهانی محقق نشدند. در سال 2010 مجمع عمومی سازمان ملل نیاز به پیشبرد دستورکار توسعه پس از انقضای اهداف توسعه هزاره را اعلام نمود. از این رو، در نشست ریو+20 در سال 2012، تدوام کار بر مبنای پیشرفت های حاصل شده ناشی از اهداف توسعه هزاره به همراه گسترده نمودن مجموعه اهداف در ارتباط با فقرزدایی، پایداری محیط زیست، صلح و مشارکت همگانی برای توسعه مورد توافق کشورها قرار گرفت. در سپتامبر 2015، نشست توسعه پایدار سازمان ملل، سند «تحول دنیای ما: دستورکار 2030 برای توسعه پایدار» را به تصویب رساند. این سند طی قطعنامه 1 /70 مجمع عمومی سازمان ملل تایید گردید.</w:t>
      </w:r>
      <w:r>
        <w:rPr>
          <w:rStyle w:val="FootnoteReference"/>
          <w:rtl w:val="1"/>
        </w:rPr>
        <w:footnoteReference w:id="24"/>
      </w:r>
      <w:r>
        <w:rPr>
          <w:rFonts w:ascii="Times New Roman" w:hAnsi="Times New Roman" w:cs="B Nazanin"/>
          <w:sz w:val="22"/>
          <w:szCs w:val="28"/>
          <w:rtl w:val="1"/>
        </w:rPr>
        <w:t xml:space="preserve"> اجرای دستورکار 2030 برای توسعه پایدار به صورت سالانه توسط مجمع سیاسی عالی رتبه توسعه پایدار</w:t>
      </w:r>
      <w:r>
        <w:rPr>
          <w:rStyle w:val="FootnoteReference"/>
          <w:rtl w:val="1"/>
        </w:rPr>
        <w:footnoteReference w:id="25"/>
      </w:r>
      <w:r>
        <w:rPr>
          <w:rFonts w:ascii="Times New Roman" w:hAnsi="Times New Roman" w:cs="B Nazanin"/>
          <w:sz w:val="22"/>
          <w:szCs w:val="28"/>
          <w:rtl w:val="1"/>
        </w:rPr>
        <w:t xml:space="preserve"> بررسی می گردد. تاریخ مقرر جهت دستیابی به اهداف توسعه پایدار سال 2030 میلادی تعیین گردیده است. اهداف توسعه پایدار شامل 17 آرمان جهانی است که هر یک، شاخص های دیگری را – مجموعاً 169 هدف- در بر دارد که از طریق 231 شاخص جزئی تر ارزیابی می گردد. </w:t>
      </w:r>
    </w:p>
    <w:p>
      <w:pPr>
        <w:bidi w:val="1"/>
        <w:spacing w:line="312" w:lineRule="auto" w:before="0" w:after="120"/>
        <w:ind w:firstLine="454"/>
        <w:jc w:val="both"/>
      </w:pPr>
      <w:r>
        <w:rPr>
          <w:rFonts w:ascii="Times New Roman" w:hAnsi="Times New Roman" w:cs="B Nazanin"/>
          <w:sz w:val="22"/>
          <w:szCs w:val="28"/>
          <w:rtl w:val="1"/>
        </w:rPr>
        <w:t>حفاظت از محیط زیست، شامل حفظ و احیاء منابع طبیعی و اکوسیستم ها، برای تحقق اهداف توسعه پایدار اساسی است.این موضوع به طور مستقیم بر آرمان 13 (اقدام اقلیمی) ، آرمان (زندگی زیر آب) و آرمان 15 (زندگی در خشکی) تأثیر می گذارد، که همگی بر نیاز فوری به کاهش تخریب محیط زیست، حفظ تنوع زیستی و تقویت استفاده پایدار از منابع طبیعی تاکید دارند. علاوه بر این، حفاظت از محیط زیست به طور ذاتی با آرمان 3 (سلامت و رفاه خوب) مرتبط است، زیرا یک محیط سالم خطرات ناشی از آلودگی و ناقلان بیماری را کاهش می دهد. همچنین با آرمان 6 (آب پاک و بهداشت) و آرمان 7 (انرژی مقرون به صرفه و پاک) با ترویج منابع آب پاک و انرژی های تجدیدپذیر مرتبط است. علاوه بر این، برای دستیابی به آرمان 12(مصرف و تولید مسئولانه)، تاکید بر نیاز به مصرف پایدار و الگوهای تولید که آسیب های محیط زیستی را محدود می کند، ضروری است.</w:t>
      </w:r>
    </w:p>
    <w:p>
      <w:pPr>
        <w:pStyle w:val="Heading3"/>
        <w:bidi w:val="1"/>
        <w:spacing w:line="312" w:lineRule="auto" w:before="200" w:after="120"/>
        <w:jc w:val="right"/>
      </w:pPr>
      <w:r>
        <w:rPr>
          <w:rFonts w:ascii="Times New Roman" w:hAnsi="Times New Roman" w:cs="B Nazanin"/>
          <w:sz w:val="24"/>
          <w:szCs w:val="24"/>
          <w:rtl w:val="1"/>
          <w:b/>
          <w:bCs/>
          <w:color w:val="000000"/>
        </w:rPr>
        <w:t>۲-۱-۱-۱۰ کنفرانس استکهلم 2022</w:t>
      </w:r>
    </w:p>
    <w:p>
      <w:pPr>
        <w:bidi w:val="1"/>
        <w:spacing w:line="312" w:lineRule="auto" w:before="0" w:after="120"/>
        <w:ind w:firstLine="454"/>
        <w:jc w:val="both"/>
      </w:pPr>
      <w:r>
        <w:rPr>
          <w:rFonts w:ascii="Times New Roman" w:hAnsi="Times New Roman" w:cs="B Nazanin"/>
          <w:sz w:val="22"/>
          <w:szCs w:val="28"/>
          <w:rtl w:val="1"/>
        </w:rPr>
        <w:t>پنجاه سال پس از کنفرانس سازمان ملل متحد در سال 1972 در مورد محیط زیست انسانی، کشورها بار دیگر در ژوئن 2022 در استکهلم، سوئد گرد هم آمدند تا وضعیت محیط زیست انسانی را با شعار «استکهلم+50:  سیاره ای سالم برای رفاه همه - مسئولیت ما، فرصت ما» بررسی کنند. این نشست که در دوران همه‌گیری کووید-19 و بحران سه گانه تغییر اقلیم، آلودگی و از دست دادن تنوع زیستی برگزار شد، در نظر داشت گفتگوی تعاملی سازنده ای با تمرکز بر سه دستورکار اصلی دستیابی به یک سیاره سالم و رفاه برای همه، بهبودی پایدار و فراگیر از همه‌گیری کووید-19و اجرای بعد محیط زیستی توسعه پایدار به نمایش گذارد. نتیجه نشست استکهلم + 50 مجموعه ای از ده توصیه قابل اجرا "برای تسریع اقدام به سوی یک سیاره سالم برای رفاه همه" بود. سایر نتایج نشست عبارتند از بیانیه وزیران به رهبری سوئد در مورد نسلهای آینده، دادخواست جهانی خطاب به سازمان ملل متحد برای تدوین اعلامیه حقوق مادر زمین، اعلامیه گروه اقدام جوانان و بیانیه مشترک ریاستهای کنوانسیونهای ریو. در فصل آتی به تفصیل به بررسی توصیه های نشست خواهیم پرداخت.</w:t>
      </w:r>
    </w:p>
    <w:p>
      <w:pPr>
        <w:pStyle w:val="Heading3"/>
        <w:bidi w:val="1"/>
        <w:spacing w:line="312" w:lineRule="auto" w:before="200" w:after="120"/>
        <w:jc w:val="right"/>
      </w:pPr>
      <w:r>
        <w:rPr>
          <w:rFonts w:ascii="Times New Roman" w:hAnsi="Times New Roman" w:cs="B Nazanin"/>
          <w:sz w:val="24"/>
          <w:szCs w:val="24"/>
          <w:rtl w:val="1"/>
          <w:b/>
          <w:bCs/>
          <w:color w:val="000000"/>
        </w:rPr>
        <w:t>۲-۱-۲ حقوق سخت</w:t>
      </w:r>
    </w:p>
    <w:p>
      <w:pPr>
        <w:bidi w:val="1"/>
        <w:spacing w:line="312" w:lineRule="auto" w:before="0" w:after="120"/>
        <w:ind w:firstLine="454"/>
        <w:jc w:val="both"/>
      </w:pPr>
      <w:r>
        <w:rPr>
          <w:rFonts w:ascii="Times New Roman" w:hAnsi="Times New Roman" w:cs="B Nazanin"/>
          <w:sz w:val="22"/>
          <w:szCs w:val="28"/>
          <w:rtl w:val="1"/>
        </w:rPr>
        <w:t xml:space="preserve">حقوق سخت همان تعهدات الزام آوری هستند که گاهی اوقات در ارزیابی سختی آن ها دو عنصر دیگر نیز در نظر گرفته می شود: دقت (عدم ابهام در رابطه با رفتار مورد نیاز، رفتار مجاز یا ممنوع شده ) و تفویض اختیار به اشخاص ثالثی به منظور تفسیر و اجرای آن قاعده حقوقی. (C.Shaffer and A.Pollack,2010,714)  حقوق سخت می تواند در قالب موافقت نامه های دو و چند جانبه برای اعضا، حقوق بین الملل عرفی به دلیل باور نهفته در آن رویه، آراء محاکم بین المللی هم چون دیوان بین المللی دادگستری برای طرفین دعوا، قطعنامههای فصل هفتم شورای امنیت سازمان ملل برای دولت های عضو به خصوص کشورهای ذی ربط در موضوع دستورکار متبلور شود. در ادامه با توجه به هدف رساله، فقط موافقت نامه های چند جانبه محیط زیستی بررسی خواهد شد. </w:t>
      </w:r>
    </w:p>
    <w:p>
      <w:pPr>
        <w:pStyle w:val="Heading3"/>
        <w:bidi w:val="1"/>
        <w:spacing w:line="312" w:lineRule="auto" w:before="200" w:after="120"/>
        <w:jc w:val="right"/>
      </w:pPr>
      <w:r>
        <w:rPr>
          <w:rFonts w:ascii="Times New Roman" w:hAnsi="Times New Roman" w:cs="B Nazanin"/>
          <w:sz w:val="24"/>
          <w:szCs w:val="24"/>
          <w:rtl w:val="1"/>
          <w:b/>
          <w:bCs/>
          <w:color w:val="000000"/>
        </w:rPr>
        <w:t>۲-۱-۲-۱ موافقت نامه های چند جانبه محیط زیست</w:t>
      </w:r>
    </w:p>
    <w:p>
      <w:pPr>
        <w:bidi w:val="1"/>
        <w:spacing w:line="312" w:lineRule="auto" w:before="0" w:after="120"/>
        <w:ind w:firstLine="454"/>
        <w:jc w:val="both"/>
      </w:pPr>
      <w:r>
        <w:rPr>
          <w:rFonts w:ascii="Times New Roman" w:hAnsi="Times New Roman" w:cs="B Nazanin"/>
          <w:sz w:val="22"/>
          <w:szCs w:val="28"/>
          <w:rtl w:val="1"/>
        </w:rPr>
        <w:t>حقوق بین الملل شکل متمایزی از حقوق است که در سطح بین المللی میان دولت ها و سازمان های بین المللی به کار می رود. موافقت نامه های چند جانبه محیط زیستی بخشی از حقوق بین الملل و زیرمجموعه تخصصی حقوق بین الملل محیط زیست قرار دارند. موافقتنامههای چندجانبه محیطزیستی نیز به نوبه خود چندین زیرمجموعه تخصصی و بخشی نظیر تغییر اقلیم، تنوع زیستی، حفاظت از لایه اوزن و ... دارد. سازمان ملل متحد نقش مهمی در تکامل موافقت نامه های چند جانبه محیط زیستی به صورت کلی ایفا نموده است. هر چند همه موافقت نامه های چندجانبه محیط زیستی لزوماً در چارچوب سازمان ملل متحد شکل نگرفته اند. به عنوان مثال کنوانسیون راجع به تالاب های مهم بین المللی به ویژه به عنوان زیستگاه پرندگان آبزی</w:t>
      </w:r>
      <w:r>
        <w:rPr>
          <w:rStyle w:val="FootnoteReference"/>
          <w:rtl w:val="1"/>
        </w:rPr>
        <w:footnoteReference w:id="26"/>
      </w:r>
      <w:r>
        <w:rPr>
          <w:rFonts w:ascii="Times New Roman" w:hAnsi="Times New Roman" w:cs="B Nazanin"/>
          <w:sz w:val="22"/>
          <w:szCs w:val="28"/>
          <w:rtl w:val="1"/>
        </w:rPr>
        <w:t xml:space="preserve"> معروف به کنوانسیون رامسر مصوب 1971 و کنوانسیون تجارت بین المللی گونه های جانوری و گیاهی در خطر انقراض</w:t>
      </w:r>
      <w:r>
        <w:rPr>
          <w:rStyle w:val="FootnoteReference"/>
          <w:rtl w:val="1"/>
        </w:rPr>
        <w:footnoteReference w:id="27"/>
      </w:r>
      <w:r>
        <w:rPr>
          <w:rFonts w:ascii="Times New Roman" w:hAnsi="Times New Roman" w:cs="B Nazanin"/>
          <w:sz w:val="22"/>
          <w:szCs w:val="28"/>
          <w:rtl w:val="1"/>
        </w:rPr>
        <w:t xml:space="preserve"> مصوب 1973در چارچوب اتحادیه جهانی حفاظت از طبیعت تهیه و تصویب گردید. </w:t>
      </w:r>
    </w:p>
    <w:p>
      <w:pPr>
        <w:bidi w:val="1"/>
        <w:spacing w:line="312" w:lineRule="auto" w:before="0" w:after="120"/>
        <w:ind w:firstLine="454"/>
        <w:jc w:val="both"/>
      </w:pPr>
      <w:r>
        <w:rPr>
          <w:rFonts w:ascii="Times New Roman" w:hAnsi="Times New Roman" w:cs="B Nazanin"/>
          <w:sz w:val="22"/>
          <w:szCs w:val="28"/>
          <w:rtl w:val="1"/>
        </w:rPr>
        <w:t>موافقت نامه های چند جانبه محیط زیستی در سطوح منطقه ای و بین المللی منبع اصلی حقوق بین الملل محیط زیست به شمار می آیند. حسب گزارش دبیرکل تا سال 2018، بیش از 500 موافقت نامه چند جانبه محیط زیستی تصویب شده است. هر موافقت نامه به چالش محیط زیستی خاصی پرداخته است و همین رویکرد بخشی باعث تمایز موافقت نامه های محیط زیستی گشته است. روند افزایشی قانون گذاری در حقوق بین الملل محیط زیست به دلیل رویکرد بخشی منجر به تکثر رژیم های نظارتی و چارچوب حقوقی بین المللی پراکنده به منظور حفاظت از محیط زیست گردیده است. پراکندگی یکی از پدیده های مکرر در حقوق بینالملل و یکی از پیامدهای تصمیم گیری های چندجانبه می باشد. همین ساختار پراکنده حقوق بین الملل محیط زیست و روند فزاینده ایجاد نظام های جدید باعث گردیده است که برخی چالش های محیط زیستی مورد توجه و برخی دیگر مغفول واقع شود. (A/73/419,2018, para 2)</w:t>
      </w:r>
    </w:p>
    <w:p>
      <w:pPr>
        <w:bidi w:val="1"/>
        <w:spacing w:line="312" w:lineRule="auto" w:before="0" w:after="120"/>
        <w:ind w:firstLine="454"/>
        <w:jc w:val="both"/>
      </w:pPr>
      <w:r>
        <w:rPr>
          <w:rFonts w:ascii="Times New Roman" w:hAnsi="Times New Roman" w:cs="B Nazanin"/>
          <w:sz w:val="22"/>
          <w:szCs w:val="28"/>
          <w:rtl w:val="1"/>
        </w:rPr>
        <w:t>موافقت نامه های چند جانبه محیط زیستی معمولاً اسناد زنده ای هستند که رژیم حقوقی آن ها به طور مداوم در حال تحولند. تکامل آن ها معمولاً از طریق جلسات اعضای آن سند</w:t>
      </w:r>
      <w:r>
        <w:rPr>
          <w:rStyle w:val="FootnoteReference"/>
          <w:rtl w:val="1"/>
        </w:rPr>
        <w:footnoteReference w:id="28"/>
      </w:r>
      <w:r>
        <w:rPr>
          <w:rFonts w:ascii="Times New Roman" w:hAnsi="Times New Roman" w:cs="B Nazanin"/>
          <w:sz w:val="22"/>
          <w:szCs w:val="28"/>
          <w:rtl w:val="1"/>
        </w:rPr>
        <w:t xml:space="preserve"> در قالب ارکان حاکم بر آن معاهده صورت می پذیرد. منطق چنین رویکرد تکاملی در تصمیم سازی حقوق بین الملل محیط زیست، همگامی با پیشرفت های علمی و پاسخگویی به شرایط سیاسی، اقتصادی و فناوری در حال تحول است. لذا، ماهیت پویا و در حال تحول رژیم های موافقت نامه های چندجانبه محیط زیستی اقتضا می کند که موضوعات جدید و مهم در دستورکار مذاکره قرار گیرند. نظیر مذاکرات اخیر کشورها جهت شکل گیری سند الزام آور راجع به آلودگی پلاستیکی .</w:t>
      </w:r>
    </w:p>
    <w:p>
      <w:pPr>
        <w:pStyle w:val="Heading3"/>
        <w:bidi w:val="1"/>
        <w:spacing w:line="312" w:lineRule="auto" w:before="200" w:after="120"/>
        <w:jc w:val="right"/>
      </w:pPr>
      <w:r>
        <w:rPr>
          <w:rFonts w:ascii="Times New Roman" w:hAnsi="Times New Roman" w:cs="B Nazanin"/>
          <w:sz w:val="24"/>
          <w:szCs w:val="24"/>
          <w:rtl w:val="1"/>
          <w:b/>
          <w:bCs/>
          <w:color w:val="000000"/>
        </w:rPr>
        <w:t>۲-۱-۳ حقوق بین الملل محیط زیست+50</w:t>
      </w:r>
    </w:p>
    <w:p>
      <w:pPr>
        <w:bidi w:val="1"/>
        <w:spacing w:line="312" w:lineRule="auto" w:before="0" w:after="120"/>
        <w:ind w:firstLine="454"/>
        <w:jc w:val="both"/>
      </w:pPr>
      <w:r>
        <w:rPr>
          <w:rFonts w:ascii="Times New Roman" w:hAnsi="Times New Roman" w:cs="B Nazanin"/>
          <w:sz w:val="22"/>
          <w:szCs w:val="28"/>
          <w:rtl w:val="1"/>
        </w:rPr>
        <w:t>سال 1972 آغاز دوره جدیدی از قانون گذاری و دیپلماسی بین المللی محیط زیستی به حساب می آید. پنجاه سال پس از کنفرانس استکهلم، شاهد گسترش دامنه حقوق بین الملل محیط زیست به طور قابل توجهی هستیم. به گونه ای که بیش از 500 موافقت نامه چند جانبه محیط زیستی در قالب کنوانسیون های خاص، چارچوبی، پروتکل و ... به تهدیدهای جهانی محیط زیستی به عنوان نگرانی مشترک بشریت پرداخته و موضوعات محیط زیستی را عمدتاً به صورت بخشی</w:t>
      </w:r>
      <w:r>
        <w:rPr>
          <w:rStyle w:val="FootnoteReference"/>
          <w:rtl w:val="1"/>
        </w:rPr>
        <w:footnoteReference w:id="29"/>
      </w:r>
      <w:r>
        <w:rPr>
          <w:rFonts w:ascii="Times New Roman" w:hAnsi="Times New Roman" w:cs="B Nazanin"/>
          <w:sz w:val="22"/>
          <w:szCs w:val="28"/>
          <w:rtl w:val="1"/>
        </w:rPr>
        <w:t xml:space="preserve"> نظیر تغییر اقلیم، تنوع زیستی، تخریب لایه اوزن در این اسناد مورد توجه قرار داده اند. همکاری های بین المللی تا حدی پیش رفتند که در مورد چالش های مناطقی هم چون قطب جنوب یا جو که قلمرو حاکمیتی هیچ کشوری نیستند، نیز به فکر اقدام جمعی از سوی جامعه بین المللی افتادند.</w:t>
      </w:r>
    </w:p>
    <w:p>
      <w:pPr>
        <w:bidi w:val="1"/>
        <w:spacing w:line="312" w:lineRule="auto" w:before="0" w:after="120"/>
        <w:ind w:firstLine="454"/>
        <w:jc w:val="both"/>
      </w:pPr>
      <w:r>
        <w:rPr>
          <w:rFonts w:ascii="Times New Roman" w:hAnsi="Times New Roman" w:cs="B Nazanin"/>
          <w:sz w:val="22"/>
          <w:szCs w:val="28"/>
          <w:rtl w:val="1"/>
        </w:rPr>
        <w:t>حقوق بین الملل محیط زیست از 1972 تاکنون تحولات چشمگیری را تجربه کرده است. در این بازه زمانی 50 ساله شاهد تلاش های بین المللی برای حفاظت از محیط زیست و ایجاد چارچوب های قانونی موثر برای آن بوده ایم. برگزاری کنفرانس استکهلم در 1972 و اعلامیه آن نشست و طی فرایند توافق بر حقوق نرم از 1972 به حصول توافق بر حقوق سخت در دهه 90 میلادی جالب توجه می نماید. همین امر سبب گردید تا این بخش از حقوق بین الملل به یکی از بخش های کلیدی از نظام حقوق بین الملل عمومی تبدیل گردد. پیشرفت های حقوق بین الملل محیط زیست  از 1972 تاکنون را از منظرهای متفاوتی می توان بررسی و تحلیل نمود که در این رساله فرصتی برای تحلیل آن ها دست نمی دهد. امید است بتوان در مقاله ی مستقلی آنها را رشته تحریر درآورد. با این حال به اختصار به آن ها بدین شرح اشاره می کنم: 1) توسعه موافقت نامه های چند جانبه محیط زیستی مثال اخیر آن تصویب موافقتنامه حفاظت و استفاده پایدار از تنوع زیستی دریایی مناطق فراتر از صلاحیت ملی در مارس 2023 و آغاز فرایند مذاکراتی تدوین سند الزام آور بین المللی در خصوص آلودگی پلاستیکی از جمله در محیط زیست دریایی از 2022 تاکنون ؛ 2) تقویت سازوکارهای نهادی هم چون برنامه محیط زیست ملل متحد به طور خاص با راه اندازی مجمع محیط زیست ملل متحد، 3) تاسیس صندوق های مالی بین المللی برای حفاظت از محیط زیست هم چون صندوق جهانی محیط زیست (1991)، صندوق چندجانبه لایه اوزن (1991)، صندوق سبز اقلیم (2010)، صندوق ضرر و آسیب تغییر اقلیم (2022)، صندوق جهانی چارجوب تنوع زیستی (2023)، برای کمک به کشورهای درحال توسعه به منظور مقابله با چالش های محیط زیستی؛ 4) معرفی ابتکارهای نوآورانه هم چون بازارهای کربن با هدف کاهش انتشار گازهای گلخانه ای و اقتصاد چرخشی با هدف بهره وری منابع؛ و 5) تلفیق موفق حقوق محیط زیست با حوزه های دیگری هم چون حقوق بشر و محیط زیست، توسعه پایدار و محیط زیست، فناوری های نوین و محیط زیست مثل فناوری های سبز و نوآورانه و پاک.</w:t>
      </w:r>
    </w:p>
    <w:p>
      <w:pPr>
        <w:bidi w:val="1"/>
        <w:spacing w:line="312" w:lineRule="auto" w:before="0" w:after="120"/>
        <w:ind w:firstLine="454"/>
        <w:jc w:val="both"/>
      </w:pPr>
      <w:r>
        <w:rPr>
          <w:rFonts w:ascii="Times New Roman" w:hAnsi="Times New Roman" w:cs="B Nazanin"/>
          <w:sz w:val="22"/>
          <w:szCs w:val="28"/>
          <w:rtl w:val="1"/>
        </w:rPr>
        <w:t>پیشرفت های صورت گرفته قابل توجه بوده است اما چالش ها و موانع همچنان وجود دارند. با توجه به بحران های محیط زیستی جهانی به خصوص بحران سه گانه تغییر اقلیم، از دست دادن تنوع زیستی و آلودگی ، چالش های کمبود منابع مالی برای کمک به کشورهای در حال توسعه، کمتر توسعه یافته به ویژه کشورهای جزیره ای، اهمیت همکاری های بین المللی، تقویت قواعد و تعهدات موجود و هم چنین تقویت سازوکارهای نهادی بین المللی بیشتر احساس می شود.</w:t>
      </w:r>
    </w:p>
    <w:p>
      <w:pPr>
        <w:pStyle w:val="Heading2"/>
        <w:bidi w:val="1"/>
        <w:spacing w:line="312" w:lineRule="auto" w:before="200" w:after="120"/>
        <w:jc w:val="right"/>
      </w:pPr>
      <w:r>
        <w:rPr>
          <w:rFonts w:ascii="Times New Roman" w:hAnsi="Times New Roman" w:cs="B Nazanin"/>
          <w:sz w:val="24"/>
          <w:szCs w:val="24"/>
          <w:rtl w:val="1"/>
          <w:b/>
          <w:bCs/>
          <w:color w:val="000000"/>
        </w:rPr>
        <w:t>۲-۲ شکل گیری پیمان جهانی محیط زیست</w:t>
      </w:r>
    </w:p>
    <w:p>
      <w:pPr>
        <w:bidi w:val="1"/>
        <w:spacing w:line="312" w:lineRule="auto" w:before="0" w:after="120"/>
        <w:ind w:firstLine="454"/>
        <w:jc w:val="both"/>
      </w:pPr>
      <w:r>
        <w:rPr>
          <w:rFonts w:ascii="Times New Roman" w:hAnsi="Times New Roman" w:cs="B Nazanin"/>
          <w:sz w:val="22"/>
          <w:szCs w:val="28"/>
          <w:rtl w:val="1"/>
        </w:rPr>
        <w:t xml:space="preserve">ابتکار شکل گیری پیمان جهانی محیط زیست اولین تلاش جهت تدوین چارچوبی فراگیر برای حقوق بین الملل محیط زیست، تدوین اصول حقوق بین الملل محیط زیست در سندی لازم الاجرا و حکمرانی محیط زیست بین المللی نبود. در سال 2000، « منشور زمین» ادامه روند تدوین مجدد اصول حقوقی در حقوق بین الملل محیط زیست را نشان داد. این سند کاملاً توسط جامعه مدنی تهیه شد و از سوی سازمان آموزشی، علمی و فرهنگی سازمان ملل متحد، اتحادیه بین المللی حفاظت از طبیعت و تعداد محدودی از دولت ها تایید شد. در خصوص منشور زمین نظرات گوناگونی مطرح شده است تا جایی که عده ای آن را به سختی متنی تاثیرگذار در حقوق بین الملل محیط زیست می دانند و عده ای دیگر آن را جامع ترین سند بین المللی در حوزه محیط زیست در آن برهه ی تاریخی می داند. (Canovas,2020 ,13) </w:t>
      </w:r>
    </w:p>
    <w:p>
      <w:pPr>
        <w:pStyle w:val="Heading3"/>
        <w:bidi w:val="1"/>
        <w:spacing w:line="312" w:lineRule="auto" w:before="200" w:after="120"/>
        <w:jc w:val="right"/>
      </w:pPr>
      <w:r>
        <w:rPr>
          <w:rFonts w:ascii="Times New Roman" w:hAnsi="Times New Roman" w:cs="B Nazanin"/>
          <w:sz w:val="24"/>
          <w:szCs w:val="24"/>
          <w:rtl w:val="1"/>
          <w:b/>
          <w:bCs/>
          <w:color w:val="000000"/>
        </w:rPr>
        <w:t>۲-۲-۱ سابقهی ابتکارهای ناکام پیشین</w:t>
      </w:r>
    </w:p>
    <w:p>
      <w:pPr>
        <w:bidi w:val="1"/>
        <w:spacing w:line="312" w:lineRule="auto" w:before="0" w:after="120"/>
        <w:ind w:firstLine="454"/>
        <w:jc w:val="both"/>
      </w:pPr>
      <w:r>
        <w:rPr>
          <w:rFonts w:ascii="Times New Roman" w:hAnsi="Times New Roman" w:cs="B Nazanin"/>
          <w:sz w:val="22"/>
          <w:szCs w:val="28"/>
          <w:rtl w:val="1"/>
        </w:rPr>
        <w:t xml:space="preserve">با اذعان به عدم موفقیت سه ابتکار مطرح شده در این قسمت، به نظر می رسد که اشاره به آن ها خالی از لطف نباشد. نکته مشترک این ابتکارات در این است که مبتکر اصلی آن ها جوامع مدنی هستند و اینکه توسط دولت های معدودی به عنوان واسطه عرضه شده اند. همین موضوع بسیار آموزنده است و حاکی از تمایل به تغییر فرایند قانونگذاری در حقوق بین الملل محیط زیست از دولت ها به جوامع مدنی است. البته همین موضوع را می توان در تحلیل ناکامی این ابتکارها نیز در نظر داشت. عامل موفقیت ابتکارها از سوی جوامع مدنی، در موفقیت آن ها در جلب حمایت سیاسی دولت ها نهفته است. لذا، فقدان اراده سیاسی دولت ها همواره یکی از موانع جدی تدوین و توسعه مقررات جاه طلبانه در حوزه حفاظت از محیط زیست تلقی می گردد. </w:t>
      </w:r>
    </w:p>
    <w:p>
      <w:pPr>
        <w:pStyle w:val="Heading3"/>
        <w:bidi w:val="1"/>
        <w:spacing w:line="312" w:lineRule="auto" w:before="200" w:after="120"/>
        <w:jc w:val="right"/>
      </w:pPr>
      <w:r>
        <w:rPr>
          <w:rFonts w:ascii="Times New Roman" w:hAnsi="Times New Roman" w:cs="B Nazanin"/>
          <w:sz w:val="24"/>
          <w:szCs w:val="24"/>
          <w:rtl w:val="1"/>
          <w:b/>
          <w:bCs/>
          <w:color w:val="000000"/>
        </w:rPr>
        <w:t>۲-۲-۱-۱ ایده سازمان جهانی حفاظت از محیط زیست</w:t>
      </w:r>
    </w:p>
    <w:p>
      <w:pPr>
        <w:bidi w:val="1"/>
        <w:spacing w:line="312" w:lineRule="auto" w:before="0" w:after="120"/>
        <w:ind w:firstLine="454"/>
        <w:jc w:val="both"/>
      </w:pPr>
      <w:r>
        <w:rPr>
          <w:rFonts w:ascii="Times New Roman" w:hAnsi="Times New Roman" w:cs="B Nazanin"/>
          <w:sz w:val="22"/>
          <w:szCs w:val="28"/>
          <w:rtl w:val="1"/>
        </w:rPr>
        <w:t>در فوریه 2007، 46 کشور در پاریس پیشنهاد مشترکی را  برای ارتقاء برنامه محیط زیست سازمان ملل متحد</w:t>
      </w:r>
      <w:r>
        <w:rPr>
          <w:rStyle w:val="FootnoteReference"/>
          <w:rtl w:val="1"/>
        </w:rPr>
        <w:footnoteReference w:id="30"/>
      </w:r>
      <w:r>
        <w:rPr>
          <w:rFonts w:ascii="Times New Roman" w:hAnsi="Times New Roman" w:cs="B Nazanin"/>
          <w:sz w:val="22"/>
          <w:szCs w:val="28"/>
          <w:rtl w:val="1"/>
        </w:rPr>
        <w:t xml:space="preserve"> به یک آژانس تخصصی در چارچوب سازمان ملل متحد ارائه نمودند. البته بحث در مورد یک آژانس ویژه سازمان ملل متحد برای حفاظت از محیط زیست به سال 1970 و پیشنهاد جورج کنان</w:t>
      </w:r>
      <w:r>
        <w:rPr>
          <w:rStyle w:val="FootnoteReference"/>
          <w:rtl w:val="1"/>
        </w:rPr>
        <w:footnoteReference w:id="31"/>
      </w:r>
      <w:r>
        <w:rPr>
          <w:rFonts w:ascii="Times New Roman" w:hAnsi="Times New Roman" w:cs="B Nazanin"/>
          <w:sz w:val="22"/>
          <w:szCs w:val="28"/>
          <w:rtl w:val="1"/>
        </w:rPr>
        <w:t xml:space="preserve"> جهت شکل گیری یک آژانس بین المللی محیط زیست برمی گردد. (Charnovitz, 2005,93) علاوه بر او، میخائیل گورباچف، رئیس جمهور سابق اتحاد جماهیر شوروی و ژاک شیراک، رئیس جمهور فرانسه، نیز بر ایجاد یک سازمان جهانی محیط زیست تاکید کرده بودند. نام‌های مختلفی در طرح‌های پیشنهادی برای ایجاد آژانس جدید استفاده شد، از جمله آژانس بین‌المللی محیط‌زیست</w:t>
      </w:r>
      <w:r>
        <w:rPr>
          <w:rStyle w:val="FootnoteReference"/>
          <w:rtl w:val="1"/>
        </w:rPr>
        <w:footnoteReference w:id="32"/>
      </w:r>
      <w:r>
        <w:rPr>
          <w:rFonts w:ascii="Times New Roman" w:hAnsi="Times New Roman" w:cs="B Nazanin"/>
          <w:sz w:val="22"/>
          <w:szCs w:val="28"/>
          <w:rtl w:val="1"/>
        </w:rPr>
        <w:t>، سازمان جهانی محیط‌زیست</w:t>
      </w:r>
      <w:r>
        <w:rPr>
          <w:rStyle w:val="FootnoteReference"/>
          <w:rtl w:val="1"/>
        </w:rPr>
        <w:footnoteReference w:id="33"/>
      </w:r>
      <w:r>
        <w:rPr>
          <w:rFonts w:ascii="Times New Roman" w:hAnsi="Times New Roman" w:cs="B Nazanin"/>
          <w:sz w:val="22"/>
          <w:szCs w:val="28"/>
          <w:rtl w:val="1"/>
        </w:rPr>
        <w:t>،  یا سازمان محیط‌زیست ملل متحد</w:t>
      </w:r>
      <w:r>
        <w:rPr>
          <w:rStyle w:val="FootnoteReference"/>
          <w:rtl w:val="1"/>
        </w:rPr>
        <w:footnoteReference w:id="34"/>
      </w:r>
      <w:r>
        <w:rPr>
          <w:rFonts w:ascii="Times New Roman" w:hAnsi="Times New Roman" w:cs="B Nazanin"/>
          <w:sz w:val="22"/>
          <w:szCs w:val="28"/>
          <w:rtl w:val="1"/>
        </w:rPr>
        <w:t>.</w:t>
      </w:r>
    </w:p>
    <w:p>
      <w:pPr>
        <w:bidi w:val="1"/>
        <w:spacing w:line="312" w:lineRule="auto" w:before="0" w:after="120"/>
        <w:ind w:firstLine="454"/>
        <w:jc w:val="both"/>
      </w:pPr>
      <w:r>
        <w:rPr>
          <w:rFonts w:ascii="Times New Roman" w:hAnsi="Times New Roman" w:cs="B Nazanin"/>
          <w:sz w:val="22"/>
          <w:szCs w:val="28"/>
          <w:rtl w:val="1"/>
        </w:rPr>
        <w:t>ابتکار ایجاد سازمان جهانی محیط زیست به دلایلی هم چون تشدید مشکلات محیط زیستی در قرن 21، ناکارآمدی سیستم حکمرانی محیط زیست جهانی، پراکندگی حقوق بین الملل محیط زیست، کمبود اقتدار برنامه محیط زیست سازمان ملل متحد و مشروعیت ناکافی نظام حقوق بین الملل محیط زیست و ناکامی در ایجاد تعادل میان اولویت های کشورهای در حال توسعه و توسعه یافته ضروری به نظر می آمد. (Esty and Ivanovai, 2001, 5-10)     از این رو ،ابتکار ایجاد سازمان جهانی محیط زیست با هدف هماهنگی بهتر و ارتقاء حکمرانی محیط زیست جهانی، توسعه و اجرای بهتر حقوق بین الملل محیط زیست، هموارسازی مسیر سیاست های محیط زیستی در دستورکار دولت ها، سازمان های بین المللی و سازمان های خصوصی، کمک به توسعه ظرفیت های سیاست محیط زیست در کشورهای آفریقایی، آسیایی و آمریکای لاتین، بهبود انتقال جریان های مالی و فناوری به کشورهای جنوب، تقویت ساختار نهادی برای مذاکره ی اسناد و برنامه اقدام های جدید و هم چنین اجرا و هماهنگی اسناد موجود ارائه شد.   (Biermann, 2007, p.105)</w:t>
      </w:r>
    </w:p>
    <w:p>
      <w:pPr>
        <w:bidi w:val="1"/>
        <w:spacing w:line="312" w:lineRule="auto" w:before="0" w:after="120"/>
        <w:ind w:firstLine="454"/>
        <w:jc w:val="both"/>
      </w:pPr>
      <w:r>
        <w:rPr>
          <w:rFonts w:ascii="Times New Roman" w:hAnsi="Times New Roman" w:cs="B Nazanin"/>
          <w:sz w:val="22"/>
          <w:szCs w:val="28"/>
          <w:rtl w:val="1"/>
        </w:rPr>
        <w:t>در نهایت، این ابتکار به دلیل منافع ملی و سیاسی بعضاً متضاد کشورها و به عبارتی تعارض منافع کشورهای شمال و جنوب در موضوعات محیط زیستی، نگرانی در خصوص حاکمیت ملی به ویژه از سوی کشورهای در حال توسعه ، ابراز تردید در خصوص کارایی چنین سازمانی و در آخر کمبود منابع مالی جهت راه اندازی و مشارکت در سازمانی جدید با شکست رو به رو شد. (Whalley and Zissimos, 2002, p.47) برخی بر این باور بودند که شکل گیری سازمان جهانی محیط زیست به نفع سیاست های محیط زیستی و به ضرر سایر سیاست های در اولویتی هم چون توسعه اقتصادی و ریشه کنی فقر  می گردد. لذا، آن ها بر لزوم تقویت برنامه محیط زیست سازمان ملل متحد و بهبود حکمرانی محیط زیست جهانی از آن طریق تاکید داشتند. مخالفان استدلال می کنند که نه تنها به سازمان بین المللی جدیدی در حوزه محیط زیست نیاز نداریم، بلکه مذاکره در این مورد نیز ما را از اصلاح واقعی ساختارهای موجود نیز باز می دارد. آن چه به عنوان بازبینی ساختار مد نظر موافقان است، اصلاحات سازمانی</w:t>
      </w:r>
      <w:r>
        <w:rPr>
          <w:rStyle w:val="FootnoteReference"/>
          <w:rtl w:val="1"/>
        </w:rPr>
        <w:footnoteReference w:id="35"/>
      </w:r>
      <w:r>
        <w:rPr>
          <w:rFonts w:ascii="Times New Roman" w:hAnsi="Times New Roman" w:cs="B Nazanin"/>
          <w:sz w:val="22"/>
          <w:szCs w:val="28"/>
          <w:rtl w:val="1"/>
        </w:rPr>
        <w:t xml:space="preserve"> است . در حالی که آن چه ما به آن نیاز داریم اصلاحات نهادی</w:t>
      </w:r>
      <w:r>
        <w:rPr>
          <w:rStyle w:val="FootnoteReference"/>
          <w:rtl w:val="1"/>
        </w:rPr>
        <w:footnoteReference w:id="36"/>
      </w:r>
      <w:r>
        <w:rPr>
          <w:rFonts w:ascii="Times New Roman" w:hAnsi="Times New Roman" w:cs="B Nazanin"/>
          <w:sz w:val="22"/>
          <w:szCs w:val="28"/>
          <w:rtl w:val="1"/>
        </w:rPr>
        <w:t xml:space="preserve"> است. (Najam, 2001, p.5)  مخالفان شکل گیری سازمان جهانی محیط زیست به این نتیجه رسیدند که تغییر کلیدی نه در جزئیات ساختاری سازمان های موجود یا جدید، بلکه در حمایت و اراده سیاسی است که دولت های ملی مایل به سرمایه گذاری در این سازمان ها هستند. آن ها برآنند که برنامه محیط زیست سازمان ملل متحد با اختیارات و منابع مالی محدود، دستاوردهای قابل توجهی داشته است. لذا، اصلاحات «نهادی» را در چارچوب برنامه محیط زیست ملل متحد پیشنهاد می‌کند: الف) توانمندسازی برای انجام وظایف، ب) تلاش جهت تحقق توسعه پایدار، ج) مدیریت تکثر موافقت نامه های چند جانبه محیط زیستی، د) حمایت از هماهنگی و مخالفت با تمرکز؛ زیرا در عمل تمرکز کامل امور بین المللی محیط زیست در یک سازمان امکان پذیر نخواهد بود ، و ه) متمدن سازی حکمرانی جهانی محیط زیستی ؛ (Ibid,p.9)</w:t>
      </w:r>
    </w:p>
    <w:p>
      <w:pPr>
        <w:bidi w:val="1"/>
        <w:spacing w:line="312" w:lineRule="auto" w:before="0" w:after="120"/>
        <w:ind w:firstLine="454"/>
        <w:jc w:val="both"/>
      </w:pPr>
      <w:r>
        <w:rPr>
          <w:rFonts w:ascii="Times New Roman" w:hAnsi="Times New Roman" w:cs="B Nazanin"/>
          <w:sz w:val="22"/>
          <w:szCs w:val="28"/>
          <w:rtl w:val="1"/>
        </w:rPr>
        <w:t>در نگاه تحلیلی می توان گفت، ابتکار سازمان جهانی محیط زیست که با هدف رسیدگی به چالش های محیط زیستی مبرمی که جهان با آن مواجه بود، پیشنهاد شد. علی رغم هدف مطلوب، پسندیده و به موقع، تحقق آن به دلیل چالش های ساختاری، سیاسی و عملیاتی به شرح زیر ناکام باقی ماند. . در حالی که فوریت مسائل محیط زیستی مستلزم اقدام جمعی است، ماهیت چند وجهی روابط بین‌الملل و اولویت‌ دهی به حاکمیت ملی همچنان مانع تلاش‌ها برای ایجاد یک ساختار مؤثر و منسجم حکمرانی جهانی محیط زیستی می‌شود.</w:t>
      </w:r>
    </w:p>
    <w:p>
      <w:pPr>
        <w:bidi w:val="1"/>
        <w:spacing w:line="312" w:lineRule="auto" w:before="0" w:after="120"/>
        <w:ind w:firstLine="454"/>
        <w:jc w:val="both"/>
      </w:pPr>
      <w:r>
        <w:rPr>
          <w:rFonts w:ascii="Times New Roman" w:hAnsi="Times New Roman" w:cs="B Nazanin"/>
          <w:sz w:val="22"/>
          <w:szCs w:val="28"/>
          <w:rtl w:val="1"/>
        </w:rPr>
        <w:t>ماهیت پیچیده حکمرانی جهانی مانع مهمی برای ایجاد یک سازمان جهانی محیط زیست ایجاد می کند. مسائل محیط زیستی فراتر از مرزهای ملی و نیازمند راه حل های مشارکتی است. با این حال، چارچوب‌های بین‌المللی موجود، مانند سازمان ملل متحد، اغلب برای هماهنگی موثر بین بسیاری از دولت‌های حاکم تلاش می‌کنند. چارچوب نهادی موجود می تواند منجر به ناکارآمدی بوروکراتیک شود و اثربخشی هر سازمان پیشنهادی را کاهش دهد. علاوه بر این، انبوهی از موافقت‌نامه‌ها و معاهدات ‌محیط زیستی منجر به رویکردی پراکنده به حکمرانی ‌محیط زیستی شده است و ایجاد یک سازمان منحصربه‌فرد را که به این موضوعات اختصاص دارد، پیچیده‌تر کرده است.</w:t>
      </w:r>
    </w:p>
    <w:p>
      <w:pPr>
        <w:bidi w:val="1"/>
        <w:spacing w:line="312" w:lineRule="auto" w:before="0" w:after="120"/>
        <w:ind w:firstLine="454"/>
        <w:jc w:val="both"/>
      </w:pPr>
      <w:r>
        <w:rPr>
          <w:rFonts w:ascii="Times New Roman" w:hAnsi="Times New Roman" w:cs="B Nazanin"/>
          <w:sz w:val="22"/>
          <w:szCs w:val="28"/>
          <w:rtl w:val="1"/>
        </w:rPr>
        <w:t>واگرایی منافع ملی به طور قابل توجهی امکان سنجی شکل گیری سازمان جهانی محیط زیست را تضعیف نمود. کشورها رشد اقتصادی، بهره برداری از منابع و نیازهای خود را در اولویت قرار می دهند و اغلب این اهداف را در تضاد با پایداری محیط زیستی می دانند. کشورهای در حال توسعه، به ویژه، ممکن است در برابر تعهدات الزام آور که ممکن است مانع توسعه اقتصادی یا تشدید نابرابری های موجود شود، مقاومت می کنند. فقدان اجماع در مورد اولویت‌ها و مسئولیت‌های محیط زیستی، پتانسیل اقدام مشترک را تضعیف می‌کند؛ زیرا کشورها ممکن است تصور کنند که سازمان جهانی محیط زیست حاکمیت آنها را نقض می‌کند یا اولویت های توسعه‌ای آنها را محدود می‌کند.</w:t>
      </w:r>
    </w:p>
    <w:p>
      <w:pPr>
        <w:bidi w:val="1"/>
        <w:spacing w:line="312" w:lineRule="auto" w:before="0" w:after="120"/>
        <w:ind w:firstLine="454"/>
        <w:jc w:val="both"/>
      </w:pPr>
      <w:r>
        <w:rPr>
          <w:rFonts w:ascii="Times New Roman" w:hAnsi="Times New Roman" w:cs="B Nazanin"/>
          <w:sz w:val="22"/>
          <w:szCs w:val="28"/>
          <w:rtl w:val="1"/>
        </w:rPr>
        <w:t>چالش های بودجه و منابع را نمی توان نادیده گرفت. ایجاد و نگهداری یک سازمان جهانی مستلزم تعهدات مالی قابل توجهی است که نیاز به سرمایه گذاری توامان بخش خصوصی و دولتی دارد. با این حال، در میان اولویت های رقابتی، بسیاری از کشورها تمایلی به تخصیص منابع قابل توجه به طرح های محیط زیستی ندارند. علاوه بر این، فقدان یک چارچوب روشن و قانع‌کننده برای تامین مالی، پایداری چنین سازمانی را تضعیف می‌کند و جذب سرمایه‌گذاری‌های لازم از سوی ذینفعان مختلف را دشوار می‌سازد.</w:t>
      </w:r>
    </w:p>
    <w:p>
      <w:pPr>
        <w:pStyle w:val="Heading3"/>
        <w:bidi w:val="1"/>
        <w:spacing w:line="312" w:lineRule="auto" w:before="200" w:after="120"/>
        <w:jc w:val="right"/>
      </w:pPr>
      <w:r>
        <w:rPr>
          <w:rFonts w:ascii="Times New Roman" w:hAnsi="Times New Roman" w:cs="B Nazanin"/>
          <w:sz w:val="24"/>
          <w:szCs w:val="24"/>
          <w:rtl w:val="1"/>
          <w:b/>
          <w:bCs/>
          <w:color w:val="000000"/>
        </w:rPr>
        <w:t>۲-۲-۱-۲ ایده میثاق محیط زیست و توسعه</w:t>
      </w:r>
    </w:p>
    <w:p>
      <w:pPr>
        <w:bidi w:val="1"/>
        <w:spacing w:line="312" w:lineRule="auto" w:before="0" w:after="120"/>
        <w:ind w:firstLine="454"/>
        <w:jc w:val="both"/>
      </w:pPr>
      <w:r>
        <w:rPr>
          <w:rFonts w:ascii="Times New Roman" w:hAnsi="Times New Roman" w:cs="B Nazanin"/>
          <w:sz w:val="22"/>
          <w:szCs w:val="28"/>
          <w:rtl w:val="1"/>
        </w:rPr>
        <w:t>اعلامیه استکهلم در خصوص محیط زیست انسانی در سال 1972، منشور جهانی طبیعت در 1982 و اعلامیه ریو 1992 در خصوص محیط زیست و توسعه هر کدام هنجارهایی در خصوص نحوه مدیریت منابع طبیعی و توسعه پایدار عرضه کردند که از آن جایی که این اسناد در طبقه بندی حقوق نرم قرار دارند، هیچ تعهدی را متوجه دولت ها در عرصه جامعه ی بین المللی نمی ساختند. تا اینکه نیاز به فراتر رفتن از هنجارهای اعلامیه ای و تبدیل به تعهدات الزام آور به منظور تحقق توسعه پایدار در کمیسیون حقوق محیط زیست اتحادیه بین المللی حفاظت از طبیعت مطرح گردید. علاوه بر آن، توسعه موازی در زمینه حقوق بشر با نگاهی به تعهدات مندرج در اعلامیه جهانی حقوق بشر مصوب 1948 و مقرره های الزام آور در میثاق حقوق مدنی و سیاسی و میثاق حقوق اقتصادی، اجتماعی و فرهنگی مصوب 1966 نیز مد نظر قرار گرفت. تا اینکه، پیش نویس میثاق بین المللی محیط زیست و توسعه</w:t>
      </w:r>
      <w:r>
        <w:rPr>
          <w:rStyle w:val="FootnoteReference"/>
          <w:rtl w:val="1"/>
        </w:rPr>
        <w:footnoteReference w:id="37"/>
      </w:r>
      <w:r>
        <w:rPr>
          <w:rFonts w:ascii="Times New Roman" w:hAnsi="Times New Roman" w:cs="B Nazanin"/>
          <w:sz w:val="22"/>
          <w:szCs w:val="28"/>
          <w:rtl w:val="1"/>
        </w:rPr>
        <w:t xml:space="preserve"> به مجمع عمومی سازمان ملل متحد در مارس 1995 تسلیم شد. (Hassan, 2006, p.1) گفتنی است که دومین و سومین نسخه ی ویرایش شده از آن پیش نویس به پنجاه و چهارمین و پنجاه و نهمین نشست مجمع عمومی به ترتیب در سال های 2000 و 2004 ارائه گردید. چهارمین نسخه ی ویرایش شده در چارچوب نشست عالی رتبه تنوع زیستی در سال 2010 رو نمایی شد. در نهایت، پنجمین نسخه ی ویرایش شده در جلسات راجع به دستورکار 2030 برای توسعه پایدار در سپتامبر 2015 منتشر شد. (IUCN Environmental Policy and Law Paper, p.1)</w:t>
      </w:r>
    </w:p>
    <w:p>
      <w:pPr>
        <w:bidi w:val="1"/>
        <w:spacing w:line="312" w:lineRule="auto" w:before="0" w:after="120"/>
        <w:ind w:firstLine="454"/>
        <w:jc w:val="both"/>
      </w:pPr>
      <w:r>
        <w:rPr>
          <w:rFonts w:ascii="Times New Roman" w:hAnsi="Times New Roman" w:cs="B Nazanin"/>
          <w:sz w:val="22"/>
          <w:szCs w:val="28"/>
          <w:rtl w:val="1"/>
        </w:rPr>
        <w:t xml:space="preserve">پیش نویس میثاق بین المللی محیط زیست و توسعه- یک ابتکار بلندپروازانه که سال ها در دستور کار جهت مذاکره و ویرایش متن قرار داشت- ، به عنوان چارچوبی جامع برای رسیدگی به مسائل مهم جهانی محیط زیست پیشنهاد شده بود، در نهایت نتوانست در صحنه بین المللی مورد توجه قرار گیرد. عوامل متعددی به شرح زیر در این نتیجه دخیل بودند که گویای پویایی سیاسی و اختلافات اساسی بین کشورها بود. </w:t>
      </w:r>
    </w:p>
    <w:p>
      <w:pPr>
        <w:bidi w:val="1"/>
        <w:spacing w:line="312" w:lineRule="auto" w:before="0" w:after="120"/>
        <w:ind w:firstLine="454"/>
        <w:jc w:val="both"/>
      </w:pPr>
      <w:r>
        <w:rPr>
          <w:rFonts w:ascii="Times New Roman" w:hAnsi="Times New Roman" w:cs="B Nazanin"/>
          <w:sz w:val="22"/>
          <w:szCs w:val="28"/>
          <w:rtl w:val="1"/>
        </w:rPr>
        <w:t>فقدان اجماع بین کشورهای عضو به طور قابل توجهی روند مذاکرات را تضعیف کرد. کشورها اولویت های متفاوتی را بر اساس شرایط اقتصادی، سیاست های محیط زیستی و معیارهای توسعه ای خود نشان دادند. در حالی که کشورهای توسعه یافته اغلب بر حفاظت از محیط زیست سختگیرانه تاکید می کردند، کشورهای در حال توسعه از سیاست هایی حمایت می کردند که با رشد اقتصادی و کاهش فقر همسو باشد. این برخورد اساسی منافع دو گروه منجر به عدم دستیابی به شرایط قابل قبول برای دو طرف شد. لذا، منافع ملی متفاوت در سایه اولویت های اقتصادی و سیاست های محیط زیستی متقاوت اولین عامل ناکامی این ابتکار می باشد.</w:t>
      </w:r>
    </w:p>
    <w:p>
      <w:pPr>
        <w:bidi w:val="1"/>
        <w:spacing w:line="312" w:lineRule="auto" w:before="0" w:after="120"/>
        <w:ind w:firstLine="454"/>
        <w:jc w:val="both"/>
      </w:pPr>
      <w:r>
        <w:rPr>
          <w:rFonts w:ascii="Times New Roman" w:hAnsi="Times New Roman" w:cs="B Nazanin"/>
          <w:sz w:val="22"/>
          <w:szCs w:val="28"/>
          <w:rtl w:val="1"/>
        </w:rPr>
        <w:t>پیچیدگی موضوعاتی که میثاق به آنها پرداخته بود، مانعی برای گفتگوی مؤثر بود. درهم تنیدگی نگرانی‌های توسعه ای و ‌محیط زیستی نیازمند یک رویکرد پیچیده بود. با این حال پیش‌نویس تلاش می‌کرد تا بین این اهداف اغلب متناقض تعادل برقرار کند. فقدان چارچوب‌های روشن و قابل اجرا، باعث کاهش جذابیت و امکان‌سنجی سند می گردید و امضاکنندگان بالقوه را که نگران دغدغه های توسعه‌ای بودند را از خود دور کرد. لذا، ماهیت به هم پیوسته مقوله توسعه و حفاظت از محیط زیست مستلزم تدوین رویکردی منسجم تر و جامع تر به همراه دستورالعمل های های واضح و قابل اجرا می باشد.</w:t>
      </w:r>
    </w:p>
    <w:p>
      <w:pPr>
        <w:bidi w:val="1"/>
        <w:spacing w:line="312" w:lineRule="auto" w:before="0" w:after="120"/>
        <w:ind w:firstLine="454"/>
        <w:jc w:val="both"/>
      </w:pPr>
      <w:r>
        <w:rPr>
          <w:rFonts w:ascii="Times New Roman" w:hAnsi="Times New Roman" w:cs="B Nazanin"/>
          <w:sz w:val="22"/>
          <w:szCs w:val="28"/>
          <w:rtl w:val="1"/>
        </w:rPr>
        <w:t xml:space="preserve">فقدان اراده و تعهد سیاسی نقش مهمی در سقوط میثاق داشت. بسیاری از کشورها، که درگیر چالش‌های اقتصادی و بحران های داخلی بودند، تمایلی به درگیر شدن با چارچوب‌های حکمرانی محیط زیستی که از نظر آن ها به‌عنوان مقوله ی سنگین و پرمسئولیتی بود، نداشتند. ناکامی در تشویق دولت ها جهت تخصیص منابع مالی لازم و هم چنین حساس سازی و جلب توجه لازم دولت ها به اهمیت ملاحظات بلند مدت محیط زیستی ، فرایند حصول توافق در خصوص سند کلیدی در عرصه حقوق بین الملل محیط زیست را متوقف کرد. </w:t>
      </w:r>
    </w:p>
    <w:p>
      <w:pPr>
        <w:bidi w:val="1"/>
        <w:spacing w:line="312" w:lineRule="auto" w:before="0" w:after="120"/>
        <w:ind w:firstLine="454"/>
        <w:jc w:val="both"/>
      </w:pPr>
      <w:r>
        <w:rPr>
          <w:rFonts w:ascii="Times New Roman" w:hAnsi="Times New Roman" w:cs="B Nazanin"/>
          <w:sz w:val="22"/>
          <w:szCs w:val="28"/>
          <w:rtl w:val="1"/>
        </w:rPr>
        <w:t>عدم توازن قدرت در فرایند مذاکراتی این سند به حدی مشهود بود که منتهی به نارضایتی و تشدید مخالفت کشورهای در حال توسعه با نهایی سازی پیش نویس میثاق بعد از ده سال گردید. فرایند شکل گیری مباحث و پیشبرد مذاکرات کاملاً هم سو با منافع کشورهای توسعه یافته بود و این عدم تعادل طرفین مذاکره، عامل دیگری در ناکامی سند گردید.</w:t>
      </w:r>
    </w:p>
    <w:p>
      <w:pPr>
        <w:bidi w:val="1"/>
        <w:spacing w:line="312" w:lineRule="auto" w:before="0" w:after="120"/>
        <w:ind w:firstLine="454"/>
        <w:jc w:val="both"/>
      </w:pPr>
      <w:r>
        <w:rPr>
          <w:rFonts w:ascii="Times New Roman" w:hAnsi="Times New Roman" w:cs="B Nazanin"/>
          <w:sz w:val="22"/>
          <w:szCs w:val="28"/>
          <w:rtl w:val="1"/>
        </w:rPr>
        <w:t>تاثیر بازیگران غیردولتی بر دولت ها مانع دیگری بر سر راه حصول توافق بود. با لحاظ این واقعیت که شرکت های چند ملیتی که اغلب منافع اقتصادی خود را بر استانداردهای محیط زیستی ترجیح می دهند، بر سیاست های ملی محیط زیستی نیز تاثیرات قابل توجهی داشتند. همین نکته باعث می شد که دولت ملی اقدامی در راستای تضییع منافع صنایع قدرتمند داخلی خود اتخاذ ننماید.</w:t>
      </w:r>
    </w:p>
    <w:p>
      <w:pPr>
        <w:bidi w:val="1"/>
        <w:spacing w:line="312" w:lineRule="auto" w:before="0" w:after="120"/>
        <w:ind w:firstLine="454"/>
        <w:jc w:val="both"/>
      </w:pPr>
      <w:r>
        <w:rPr>
          <w:rFonts w:ascii="Times New Roman" w:hAnsi="Times New Roman" w:cs="B Nazanin"/>
          <w:sz w:val="22"/>
          <w:szCs w:val="28"/>
          <w:rtl w:val="1"/>
        </w:rPr>
        <w:t>در نتیجه، شکست پیش‌نویس میثاق بین‌المللی محیط‌زیست و توسعه را می‌توان به تأثیر منافع ملی متفاوت، ماهیت پیچیده پیشنهادات آن و فقدان تعهد سیاسی دولت ها نسبت به حفاظت از محیط زیست نسبت داد. (Bekhechi,1999,301) همان طور که جامعه جهانی همچنان با بحران های محیط زیستی دست و پنجه نرم می کند، این درس ها بر اهمیت تقویت همکاری و سازش در تلاش های آینده با هدف توسعه پایدار تأکید می کند.</w:t>
      </w:r>
    </w:p>
    <w:p>
      <w:pPr>
        <w:pStyle w:val="Heading3"/>
        <w:bidi w:val="1"/>
        <w:spacing w:line="312" w:lineRule="auto" w:before="200" w:after="120"/>
        <w:jc w:val="right"/>
      </w:pPr>
      <w:r>
        <w:rPr>
          <w:rFonts w:ascii="Times New Roman" w:hAnsi="Times New Roman" w:cs="B Nazanin"/>
          <w:sz w:val="24"/>
          <w:szCs w:val="24"/>
          <w:rtl w:val="1"/>
          <w:b/>
          <w:bCs/>
          <w:color w:val="000000"/>
        </w:rPr>
        <w:t>۲-۲-۱-۳ ایده دیوان بین المللی محیط زیست</w:t>
      </w:r>
    </w:p>
    <w:p>
      <w:pPr>
        <w:bidi w:val="1"/>
        <w:spacing w:line="312" w:lineRule="auto" w:before="0" w:after="120"/>
        <w:ind w:firstLine="454"/>
        <w:jc w:val="both"/>
      </w:pPr>
      <w:r>
        <w:rPr>
          <w:rFonts w:ascii="Times New Roman" w:hAnsi="Times New Roman" w:cs="B Nazanin"/>
          <w:sz w:val="22"/>
          <w:szCs w:val="28"/>
          <w:rtl w:val="1"/>
        </w:rPr>
        <w:t>ابتکار شکل گیری دیوان بین المللی محیط زیست</w:t>
      </w:r>
      <w:r>
        <w:rPr>
          <w:rStyle w:val="FootnoteReference"/>
          <w:rtl w:val="1"/>
        </w:rPr>
        <w:footnoteReference w:id="38"/>
      </w:r>
      <w:r>
        <w:rPr>
          <w:rFonts w:ascii="Times New Roman" w:hAnsi="Times New Roman" w:cs="B Nazanin"/>
          <w:sz w:val="22"/>
          <w:szCs w:val="28"/>
          <w:rtl w:val="1"/>
        </w:rPr>
        <w:t xml:space="preserve">  با هدف رسیدگی به اختلافات حقوقی و شکایات مربوط به مسائل محیط زیستی ( با توجه به تعدد موافقت نامه های چندجانبه محیط زیستی) در سطح جهانی به عنوان مرجع مستقل و تخصصی و ابزار موثری در حفاظت از محیط زیست و ضمانت اجرای قوی در رعایت قواعد بین المللی محیط زیستی در دهه 90 میلادی مطرح شد. تصویب اعلامیه استکهلم در 1972 در مورد محیط زیست انسانی، برگزاری اجلاس سران در 1992 در ریودوژانیرو و حصول توافق در خصوص چندین موافقت نامه چندجانبه  محیط زیستی هم چون حفاظت از لایه اوزن، تنوع زیستی و تغییر اقلیم ضرورت و نیاز به سازوکار تخصصی برای حل و فصل اختلافات راجع به حفاظت از محیط زیست را برجسته نمود. علاوه بر آن، سوابق حقوقی موجود در حوزه داوری هم چون trail smelter در سال 1928 و در حوزه قضایی هم چون کانال کورفو در سال 1949 جرقه ای برای راه اندازی مرجع تخصصی حل و فصل اختلافات محیط زیستی بود. </w:t>
      </w:r>
    </w:p>
    <w:p>
      <w:pPr>
        <w:bidi w:val="1"/>
        <w:spacing w:line="312" w:lineRule="auto" w:before="0" w:after="120"/>
        <w:ind w:firstLine="454"/>
        <w:jc w:val="both"/>
      </w:pPr>
      <w:r>
        <w:rPr>
          <w:rFonts w:ascii="Times New Roman" w:hAnsi="Times New Roman" w:cs="B Nazanin"/>
          <w:sz w:val="22"/>
          <w:szCs w:val="28"/>
          <w:rtl w:val="1"/>
        </w:rPr>
        <w:t xml:space="preserve">در نظر بود که این دیوان بستری را برای دولت‌ها، بازیگران غیردولتی و افراد فراهم کند تا به دنبال حل اختلافات ناشی از تخریب فرامرزی محیط زیست مانند از دست رفتن تنوع زیستی، تامین عدالت برای آسیب‌های محیط زیستی، اجرای موافقت نامه های چند جانبه محیط زیستی مشابه اجرای قواعد بین المللی توسط دیوان بین المللی دادگستری و ترویج انطباق با استانداردهای جهانی محیط زیستی و شناسایی تمهیدات لازم برای ایجاد ظرفیت در کشورها به منظور ایفاء تعهدات بین المللی محیط زیستی فراهم نماید. این ابتکار نیز حاوی رویکرد حقوق بشری بود و به دنبال به رسمیت شناختن حق برخورداری از محیط زیست پایدار به عنوان بخشی از حقوق بشر بود. علاوه بر این، قابلیت ارائه نظرات مشورتی در مسائل حقوق بین الملل محیط زیست به منظور تبیین و تفسیر قواعد بین المللی محیط زیستی و یکسان سازی قواعد حقوق بین الملل محیط زیست برای این دیوان پیش بینی شده بود. این ابتکار نیز همانند دو ابتکار پیشین گرفتار چالش هایی هم چون نگرانی اغلب کشورهای در حال توسعه از مقوله حاکمیت ملی و احساس خطر در این زمینه، ابهام و اختلاف در دامنه صلاحیت دیوان بین المللی محیط زیست، ناتوانی سازوکار پیشنهادی در اجرای احکام در مقایسه با دیوان بینالمللی دادگستری، فقدان اراده سیاسی اکثر کشورها، پراکندگی حقوق بین الملل محیط زیست و پیچیدگی این امر، و ... شد. علی رغم شکست این ابتکار، ما شاهد این هستیم که سازوکارهای دیگری هم چون دیوان بین المللی دادگستری، دیوان بین المللی کیفری، دیوان بین المللی حقوق دریاها، سازمان تجارت جهانی، دیوان دائمی داوری، دادگاه های فراملی و منطقه ای متعدی هم چون دیوان دادگستری اروپایی، دادگاه اروپایی حقوق بشر و در نهایت دادگاه های ملی و داخلی جور جای خالی این نهاد قضایی محیط زیستی را می کشند. اما باید در نظر داشت که سازوکار های ملی، منطقه ای و بین المللی موجود قادر به حل اختلافات بین المللی محیط زیستی به طور موثر و تخصصی نیستند و نمی توانند عملکرد موثر و مورد قبولی را برای دولت ها داشته باشند.       ( جلالی، 1388، 65) </w:t>
      </w:r>
    </w:p>
    <w:p>
      <w:pPr>
        <w:bidi w:val="1"/>
        <w:spacing w:line="312" w:lineRule="auto" w:before="0" w:after="120"/>
        <w:ind w:firstLine="454"/>
        <w:jc w:val="both"/>
      </w:pPr>
      <w:r>
        <w:rPr>
          <w:rFonts w:ascii="Times New Roman" w:hAnsi="Times New Roman" w:cs="B Nazanin"/>
          <w:sz w:val="22"/>
          <w:szCs w:val="28"/>
          <w:rtl w:val="1"/>
        </w:rPr>
        <w:t>در ارزیابی ابتکار مطرح شده می توان گفت، از یک سو در وضعیت عدم توجه دولت ها به مسئولیت بین المللی در راستای حفاظت از محیط زیست و ایفاء تعهدات خاص در چارچوب موافقت نامه های چندجانبه محیط زیستی، تاسیس مرجع مستقل و تخصصی در سطح بین المللی و با ضمانت اجرایی موثر می توانست به عنوان راهکاری موثر برای حفاظت از محیط زیست باشد. از سوی دیگر، با توجه به بی توجهی مکانیسم های موجود به حقوق بین الملل محیط زیست، محدودیت صلاحیت دادگاه ها، اطاله دادرسی در مراجع قضایی، عدم اعتماد به دادگاه ها و مراجع داخلی لذا ایجاد دیوان بین المللی محیط زیست موجه می نمود. (نجفی اسفاد و جلالیان، 1391، 239-236) توجه به افزایش شمار اختلافات مطرح شده در مراجع بین المللی در زمینه محیطزیست از منظر قوانین داخلی، موافقت نامه های چندجانبه محیط زیستی و سازوکارهای اقتصادی، چالشهای فراوان در حوزه تعیین مصادیق اختلافات محیط زیستی، فقدان تعریف مشخصی از اختلافات محیط زیستی و پراکندگی حقوق بین الملل محیط زیست از یک سو و از سوی دیگر، ابتنای حقوق بین الملل محیط زیست بر ارزیابی های علمی و اطلاعات فنی، قرارگیری مسائل مربوط به محیط زیست ذیل سایر زمینه های حقوق بین الملل نظیر حقوق بین الملل تجارت علی رغم سابقه ی مثبت حقوق بین الملل محیط زیست در پیشرفت ( مشهدی و رستگار، 1397، 163)، حاکی از این امر است که ابتکار دیوان بین المللی محیط زیست در دهه 90 میلادی ناشی از توجه به موقع مبتکران به اهمیت حقوق بین الملل محیط زیست و چالش های محیط زیستی و عواقب آن در دهه های بعدی آن است. قطعاً راه اندازی نهاد قضایی تخصصی برای محیط زیست منتهی به اجرای بهتر قواعد مندرج در موافقت نامه های چند جانبه محیط زیستی و در سطح کلان حفاظت از محیط زیست می گردید.</w:t>
      </w:r>
    </w:p>
    <w:p>
      <w:pPr>
        <w:bidi w:val="1"/>
        <w:spacing w:line="312" w:lineRule="auto" w:before="0" w:after="120"/>
        <w:ind w:firstLine="454"/>
        <w:jc w:val="both"/>
      </w:pPr>
      <w:r>
        <w:rPr>
          <w:rFonts w:ascii="Times New Roman" w:hAnsi="Times New Roman" w:cs="B Nazanin"/>
          <w:sz w:val="22"/>
          <w:szCs w:val="28"/>
          <w:rtl w:val="1"/>
        </w:rPr>
        <w:t>دکتر جلالی در مقاله خود با عنوان «تاسیس دادگاه بین المللی محیط زیست و مشکلات آن»  در سال 1388 به خوبی اشاره نموده است که «گرچه جامعه جهانی هنوز آمادگی کامل برای تاسیس دیوان بین المللی محیط زیست را ندارد، اما در سطح جهانی ضرورت راه اندازی و دسترسی به چنین دیوانی برای ایجاد وحدت حقوقی و بالابردن امکان دسترسی به اطلاعات محیط زیستی در زمینه مسائل قضائی جهانی احساس می شود. با تاسیس این نهاد بین المللی می توان حمایت گسترده ای را از منظر مسئولیت کیفری بین المللی و مسئولیت مدنی بین المللی اعمال کرد و از شکل گیری جرائم محیط زیستی اجتناب و از سازوکارهای بازدارنده در جهت جلوگیری از ارتکاب این جرایم استفاده کرد. تجربه جامعه بین المللی در ایجاد دیوان بین المللی کیفری نشان می دهد که تاسیس دیوانی برای حفاظت از محیط زیست شدنی است، گرچه سال ها به طول بینجامد.»</w:t>
      </w:r>
    </w:p>
    <w:p>
      <w:pPr>
        <w:pStyle w:val="Heading3"/>
        <w:bidi w:val="1"/>
        <w:spacing w:line="312" w:lineRule="auto" w:before="200" w:after="120"/>
        <w:jc w:val="right"/>
      </w:pPr>
      <w:r>
        <w:rPr>
          <w:rFonts w:ascii="Times New Roman" w:hAnsi="Times New Roman" w:cs="B Nazanin"/>
          <w:sz w:val="24"/>
          <w:szCs w:val="24"/>
          <w:rtl w:val="1"/>
          <w:b/>
          <w:bCs/>
          <w:color w:val="000000"/>
        </w:rPr>
        <w:t>۲-۲-۲ دیپلماسی فرانسه</w:t>
      </w:r>
    </w:p>
    <w:p>
      <w:pPr>
        <w:bidi w:val="1"/>
        <w:spacing w:line="312" w:lineRule="auto" w:before="0" w:after="120"/>
        <w:ind w:firstLine="454"/>
        <w:jc w:val="both"/>
      </w:pPr>
      <w:r>
        <w:rPr>
          <w:rFonts w:ascii="Times New Roman" w:hAnsi="Times New Roman" w:cs="B Nazanin"/>
          <w:sz w:val="22"/>
          <w:szCs w:val="28"/>
          <w:rtl w:val="1"/>
        </w:rPr>
        <w:t xml:space="preserve">پیمان جهانی محیط زیست جدیدترین راه حل پیشنهادی برای رفع خلاءهای موجود در حقوق بین الملل محیط زیست است. این سند نیز همانند ابتکارات پیشین از سوی جامعه غیردولتی ها تدوین یافت. در نوامبر 2015، کمیته ی محیط زیست اندیشکده حقوقی فرانسوی به نام Club des Juristes  که یک انجمن مستقل برای بررسی روندها و پیشنهادات حقوقی است، گزارشی با عنوان « افزایش اثربخشی حقوق بین الملل محیط زیست: وظایف دولت ها، حقوق افراد» در خصوص شناسایی ناکارآمدی های حقوق بین الملل محیط زیست، چگونگی تقویت حقوق بین الملل محیط زیست و راه حل های پیشنهادی منتشر کرد. این گزارش در آستانه کنفرانس اعضای تغییر اقلیم در دسامبر 2015 در پاریس- در حالی که رهبران جهان بر سر دستیابی به توافقی بر سر تغییر اقلیم در حال مذاکره بودند، منتشر شد. </w:t>
      </w:r>
    </w:p>
    <w:p>
      <w:pPr>
        <w:bidi w:val="1"/>
        <w:spacing w:line="312" w:lineRule="auto" w:before="0" w:after="120"/>
        <w:ind w:firstLine="454"/>
        <w:jc w:val="both"/>
      </w:pPr>
      <w:r>
        <w:rPr>
          <w:rFonts w:ascii="Times New Roman" w:hAnsi="Times New Roman" w:cs="B Nazanin"/>
          <w:sz w:val="22"/>
          <w:szCs w:val="28"/>
          <w:rtl w:val="1"/>
        </w:rPr>
        <w:t xml:space="preserve">پیشنهاد جدید شامل تصویب متنی بود که اصول کلی حقوق بین الملل محیط زیست را تدوین کند. ایده آنها نوشتن، رسمی کردن و اجرای یک سند کاملاً جدید با بازتاب جهانی با هدف تبدیل شدن به یک معاهده چندجانبه و بین المللی فراگیر و الزام آور برای بهبود کارایی حقوق بین الملل محیط زیست به منظور رسیدگی به چالش های محیط زیستی بود. چنین سندی به طور بالقوه می تواند حقوق اساسی محیط زیست را برای بشریت تعریف کند. هدف اصلی اندیشکده در طرح این پیشنهاد این بود که با تعریف اصول از پیش موجود و نوظهور که در آن زمان در طیف وسیعی از موافقت ناهه های چند جانبه محیط زیستی، به ویژه در اعلامیه های حقوق نرم، پراکنده بودند، به قوام حقوق بین الملل محیط زیست و هماهنگی آن بیفزاید. آن ها در نظر داشتند که تدوین این سند باعث برقراری هماهنگی و انسجام موافقت نامه های چندجانبه محیط زیستی و پاسخهای حقوقی برای خلاءهای موجود در حقوق بین الملل محیط زیست گردد. </w:t>
      </w:r>
    </w:p>
    <w:p>
      <w:pPr>
        <w:bidi w:val="1"/>
        <w:spacing w:line="312" w:lineRule="auto" w:before="0" w:after="120"/>
        <w:ind w:firstLine="454"/>
        <w:jc w:val="both"/>
      </w:pPr>
      <w:r>
        <w:rPr>
          <w:rFonts w:ascii="Times New Roman" w:hAnsi="Times New Roman" w:cs="B Nazanin"/>
          <w:sz w:val="22"/>
          <w:szCs w:val="28"/>
          <w:rtl w:val="1"/>
        </w:rPr>
        <w:t>در حالی که اندیشکده حقوقی از ما حصل کنفرانس اعضای تغییر اقلیم در پاریس استقبال کردند، آن ها هشدار دادند که اقدامات قانونی بیشتری برای محافظت از محیط زیست در برابر بحران فعلی مورد نیاز است. این گزارش نسبت به «شکست مضاعف» در حقوق بین‌الملل محیط زیست هشدار می‌دهد: شکست در تدوین و توسعه آن و شکست در اجرای آن. از نظر اندیشکده فرایند تهیه پیش نویس معاهدات بسیار کند و حتی فلج ارزیابی می شود. از آنجایی که دولت‌ها گاهی به تعهدات سخت‌گیرانه‌تر اعتراض می‌کنند، پذیرش موافقت‌نامه‌های غیر الزام‌آور رایج شده است. از این رو، با هدف حصول اجماع، قواعد بین المللی تمایل دارند حداقل استانداردهای اساسی را منعکس کنند و مشکل "مخرج مشترک" را نشان دهند. اجرای حقوق بین الملل محیط زیست نیز ناقص ارزیابی شد. اجرای معاهدات پذیرفته شده به دلیل فقدان مکانیسم‌های پایبندی یا اثربخشی مکانیسم های موجود، اغلب ضعیف صورت می پذیرد. در نتیجه، حقوق بین الملل محیط زیست قادر به حصول نتایج مورد انتظار نمی باشد. اولویت قرار دادن رویکرد همکاری به جای رویکرد تنبیهی و مکانیسم عدم پایبندی، راه اندازی کمیته های پایبندی بدون اختیارات تصمیم گیری و هم چنین عدم استفاده از سازوکارهای تنبیهی، از عوامل تضعیف اجرای موافقت نامه های چند جانبه محیط زیستی عنوان شده است. یان آگیلا</w:t>
      </w:r>
      <w:r>
        <w:rPr>
          <w:rStyle w:val="FootnoteReference"/>
          <w:rtl w:val="1"/>
        </w:rPr>
        <w:footnoteReference w:id="39"/>
      </w:r>
      <w:r>
        <w:rPr>
          <w:rFonts w:ascii="Times New Roman" w:hAnsi="Times New Roman" w:cs="B Nazanin"/>
          <w:sz w:val="22"/>
          <w:szCs w:val="28"/>
          <w:rtl w:val="1"/>
        </w:rPr>
        <w:t xml:space="preserve"> یکی از تدوین کنندگان گزارش اندیشکده و حامی اصلی ایده پیمان جهانی محیط زیست اذعان می کند که دولت ها به دلیل فقدان مکانیزم های کنترلی و تحریم های موثر تعمداً تصمیم می گیرند که به معاهداتی که به آن ها پیوسته اند، احترام نگذارند. (Antonia Tigre, 2020, 50- 51)</w:t>
      </w:r>
    </w:p>
    <w:p>
      <w:pPr>
        <w:bidi w:val="1"/>
        <w:spacing w:line="312" w:lineRule="auto" w:before="0" w:after="120"/>
        <w:ind w:firstLine="454"/>
        <w:jc w:val="both"/>
      </w:pPr>
      <w:r>
        <w:rPr>
          <w:rFonts w:ascii="Times New Roman" w:hAnsi="Times New Roman" w:cs="B Nazanin"/>
          <w:sz w:val="22"/>
          <w:szCs w:val="28"/>
          <w:rtl w:val="1"/>
        </w:rPr>
        <w:t xml:space="preserve">برای مقابله با شکست مضاعف گزارش اندیشکده 21 توصیه را براساس 3 عنصر اصلی مطرح کرد: دیوان بین المللی دادگستری، سازمان جهانی محیط زیست و منشور جهانی محیط زیست. ایده پیمان جهانی محیط زیست از پیشنهاد شماره 20 گزارش شکل گرفت که مقرر نموده است: « تصویب منشور جهانی محیط زیست در قالب کنوانسیونی بین المللی با ویژگی الزام آوری شامل گنجاندن اصول اساسی حفاظت از سیاره زمین در یک متن بالادستی». در گزارش به محتوای پیشنهاد و مشروح آن اشاره ای نشد. اما بعدها اندیشکده پیشنهاد نمود که متن مورد نظر به حقوق ماهوی و شکلی، ایجاد کمیته پایبندی و حق مراجعه به دادگاه های ملی به ویژه توسط جوامع مدنی توجه خاص نماید. در مجموع، کمیته محیط زیست اندیشکده حقوقی معتقد است که باید متنی با دامنه جهانی در مورد مسائل محیط زیستی تصویب شود. این متن سنگ بنای حقوق بین الملل محیط زیست خواهد بود. با تجزیه و تحلیل تنوع و اجرای اصول حقوق بین الملل محیط زیست در زمینه های متعدد محیط زیستی، اصول پایه را از همه کنوانسیون های محیط زیستی بخشی استخراج کند. همچنین در نظر داشتند که منشور حاوی یک بند تفسیری نهایی باشد تا همه کنوانسیون‌های محیط زیستی بخشی در پرتو اصول اصلی منشور تفسیر شوند.» (Ibid,52) این گزارش تا حد زیادی ایده نفوذ و تاثیرگذاری جامعه مدنی در تعیین دستورکار برای موضوعات محیط زیستی، تاملی بر وضعیت حقوق بین الملل محیط زیست و نقش سایر ذی نفعان در بهبود آن را مطرح کرد و از این طریق نقش فعالان غیردولتی در حکمرانی محیط زیستی و حمایت از حق آن ها به منظور مشارکت در مذاکرات محیط زیستی را تقویت نمود. همین نکته بود که پاشنه آشیل تدوین غیرمتعارف سند بین المللی الزام آور برای دولت ها توسط فعالان غیردولتی گردید. </w:t>
      </w:r>
    </w:p>
    <w:p>
      <w:pPr>
        <w:bidi w:val="1"/>
        <w:spacing w:line="312" w:lineRule="auto" w:before="0" w:after="120"/>
        <w:ind w:firstLine="454"/>
        <w:jc w:val="both"/>
      </w:pPr>
      <w:r>
        <w:rPr>
          <w:rFonts w:ascii="Times New Roman" w:hAnsi="Times New Roman" w:cs="B Nazanin"/>
          <w:sz w:val="22"/>
          <w:szCs w:val="28"/>
          <w:rtl w:val="1"/>
        </w:rPr>
        <w:t>پیگیری ایده منشور جهانی محیط زیست، با حمایت لوران فابیوس وزیر امور خارجه سابق فرانسه</w:t>
      </w:r>
      <w:r>
        <w:rPr>
          <w:rStyle w:val="FootnoteReference"/>
          <w:rtl w:val="1"/>
        </w:rPr>
        <w:footnoteReference w:id="40"/>
      </w:r>
      <w:r>
        <w:rPr>
          <w:rFonts w:ascii="Times New Roman" w:hAnsi="Times New Roman" w:cs="B Nazanin"/>
          <w:sz w:val="22"/>
          <w:szCs w:val="28"/>
          <w:rtl w:val="1"/>
        </w:rPr>
        <w:t xml:space="preserve"> فوراً شتاب گرفت. آقای فابیوس ریاست مذاکرات موافقت نامه تغییر اقلیم پاریس را برعهده داشت و بعد از آن به عنوان رئیس شورای قانون اساسی فرانسه منصوب شده بود. وی به دنبال ادامه مشارکت در مسائل محیط زیستی در سطح بین المللی بود، از این رو رسماً از ایده منشور جهانی محیط زیست حمایت نمود. سپس، کار حقوقی بر روی سند با راهبری کمیته محیط زیست اندیشکده حقوقی فرانسوی با شکل گیری گروه کارشناسان پیمان</w:t>
      </w:r>
      <w:r>
        <w:rPr>
          <w:rStyle w:val="FootnoteReference"/>
          <w:rtl w:val="1"/>
        </w:rPr>
        <w:footnoteReference w:id="41"/>
      </w:r>
      <w:r>
        <w:rPr>
          <w:rFonts w:ascii="Times New Roman" w:hAnsi="Times New Roman" w:cs="B Nazanin"/>
          <w:sz w:val="22"/>
          <w:szCs w:val="28"/>
          <w:rtl w:val="1"/>
        </w:rPr>
        <w:t xml:space="preserve"> با مشارکت بیش از صد کارشناس، دانشگاهی، قاضی،  وکیل و چندین نهاد و شخصیت مهم حقوق بین الملل محیط زیست از بیش از 40 کشورآغاز شد. این گروه متشکل از سیستم های حقوقی با دیدگاه های حقوقی مختلف بود. در نیمه اول سال 2017 ، 5 دور مذاکره در خصوص موضوعات مهمی هم چون نیاز به یک معاهده بین المللی جدید، ساختار کلی سند، محتوا و به طور مشخص تر، تدوین اصول برگزار شد. در نهایت، کمیته محیط زیست اندیشکده حقوقی بر جنبه های سازمانی، جمع آوری و تجزیه و تحلیل نظرات کارشناسان و تدوین نهایی پیش نویس سند نظارت نمود. در پایان دور پنجم، سندی تحت عنوان white paper منتشر شد که حاوی اطلاعاتی در خصوص منشاء، زمینه و هدف پیمان جهانی محیط زیست بود. گروه کارشناسان برای پیمان به دنبال تهیه متنی با ارزش افزوده مشخص برای توسعه حقوق بین الملل محیط زیست و در عین حال سندی کوتاه، دقیق و قادر به ایجاد اجماع بین کشورها علی رغم اختلافات سیاسی، اقتصادی و محیط زیستی آن ها بودند. آنها به دنبال برقراری تعادلی میان واقع بینی و جاه طلبی به منظور تضمین پذیرش سند جدیدی در عرصه حقوق بین الملل محیط زیست بودند. </w:t>
      </w:r>
    </w:p>
    <w:p>
      <w:pPr>
        <w:bidi w:val="1"/>
        <w:spacing w:line="312" w:lineRule="auto" w:before="0" w:after="120"/>
        <w:ind w:firstLine="454"/>
        <w:jc w:val="both"/>
      </w:pPr>
      <w:r>
        <w:rPr>
          <w:rFonts w:ascii="Times New Roman" w:hAnsi="Times New Roman" w:cs="B Nazanin"/>
          <w:sz w:val="22"/>
          <w:szCs w:val="28"/>
          <w:rtl w:val="1"/>
        </w:rPr>
        <w:t>ژوئن 2017، نسخه نخست پیش نویس پیمان جهانی محیط زیست به عنوان working document منتشر شد و به موقع بحث و گفتگو گذاشته شد. سپس، پیش نویس پیمان جهانی محیط زیست متشکل از مقدمه، 26 ماده و 20 اصل حاوی حقوق و تکالیف ماهوی و شکلی، اصول دیرینه و نوظهور حقوق بین الملل محیط زیست نهایی شد و به طور رسمی در نشست دانشگاه سوربن از سوی آقای فابیوس به رئیس جمهور وقت فرانسه، امانوئل مکرون، معرفی شد. در این مراسم شخصیت های برجسته ای هم چون بان کی مون، دبیرکل سابق سازمان ملل، وزیر محیط زیست و شهردار فرانسه و شخصیت های سیاسی برجسته، کارشناسان، دیپلمات ها و ... حضور داشتند. در پایان نشست، مقرر شد که رئیس جمهور فرانسه، شخصاً برای پیشبرد اهداف عالی، سند را به منظور تصویب به مجمع عمومی سازمان ملل متحد تسلیم نماید.</w:t>
      </w:r>
    </w:p>
    <w:p>
      <w:pPr>
        <w:bidi w:val="1"/>
        <w:spacing w:line="312" w:lineRule="auto" w:before="0" w:after="120"/>
        <w:ind w:firstLine="454"/>
        <w:jc w:val="both"/>
      </w:pPr>
      <w:r>
        <w:rPr>
          <w:rFonts w:ascii="Times New Roman" w:hAnsi="Times New Roman" w:cs="B Nazanin"/>
          <w:sz w:val="22"/>
          <w:szCs w:val="28"/>
          <w:rtl w:val="1"/>
        </w:rPr>
        <w:t>رئیس جمهور وقت فرانسه ابتکار پیمان جهانی محیط زیست را در هفتاد و دومین نشست مجمع عمومی سازمان ملل متحد در نشست حاشیه ای عالی رتبه تحت عنوان «نشست سران در خصوص پیمان جهانی محیط زیست»</w:t>
      </w:r>
      <w:r>
        <w:rPr>
          <w:rStyle w:val="FootnoteReference"/>
          <w:rtl w:val="1"/>
        </w:rPr>
        <w:footnoteReference w:id="42"/>
      </w:r>
      <w:r>
        <w:rPr>
          <w:rFonts w:ascii="Times New Roman" w:hAnsi="Times New Roman" w:cs="B Nazanin"/>
          <w:sz w:val="22"/>
          <w:szCs w:val="28"/>
          <w:rtl w:val="1"/>
        </w:rPr>
        <w:t xml:space="preserve"> در 19 سپتامبر 2017 به جامعه بین المللی ارائه کرد. وی در سخنرانی خود پیمان جهانی محیط زیست را «مرحله ی بعدی»</w:t>
      </w:r>
      <w:r>
        <w:rPr>
          <w:rStyle w:val="FootnoteReference"/>
          <w:rtl w:val="1"/>
        </w:rPr>
        <w:footnoteReference w:id="43"/>
      </w:r>
      <w:r>
        <w:rPr>
          <w:rFonts w:ascii="Times New Roman" w:hAnsi="Times New Roman" w:cs="B Nazanin"/>
          <w:sz w:val="22"/>
          <w:szCs w:val="28"/>
          <w:rtl w:val="1"/>
        </w:rPr>
        <w:t xml:space="preserve"> در حفاظت از محیط زیست دانست. وی با اشاره به حفاظت از طبیعت به عنوان یک نبرد روزانه برای سازمان ملل متحد و آژانس های آن، و ظهور بیانیه ها، کنوانسیون ها و پروتکل هایی که تلاش های مشترک در حفاظت از محیط زیست را ترویج می کند، گفت که این مسئولیت مشترک ماست که گام بعدی و اقدامات قاطعانه برای حفاظت از محیط زیست برداریم. وی در سخنرانی خود، از سند به عنوان «چارچوب»</w:t>
      </w:r>
      <w:r>
        <w:rPr>
          <w:rStyle w:val="FootnoteReference"/>
          <w:rtl w:val="1"/>
        </w:rPr>
        <w:footnoteReference w:id="44"/>
      </w:r>
      <w:r>
        <w:rPr>
          <w:rFonts w:ascii="Times New Roman" w:hAnsi="Times New Roman" w:cs="B Nazanin"/>
          <w:sz w:val="22"/>
          <w:szCs w:val="28"/>
          <w:rtl w:val="1"/>
        </w:rPr>
        <w:t xml:space="preserve"> یاد نموده است که در بحث مربوطه به آن می پردازیم. این نشست و هدف از برگزاری آن مورد استقبال طیف وسیعی از کشورها قرار گرفت و متعاقب معرفی پیش نویس پیمان جهانی محیط زیست، کنفرانس ها و جلسات رسمی متعددی در کشورهای مختلف به منظور بررسی و هم اندیشی در این خصوص برگزار شد  و پیمان جهانی محیط زیست به بوته نقد و بررسی گذارده شد. شخصیت های حقوقی مهمی نظرات تخصصی و نگرانی های خود را راجع به این سند منتشر نمودند که در این رساله به آن ها نیز پرداخته خواهد شد. شایان ذکر است که هدف جاه طلبانه رئیس جمهور فرانسه، نهایی کردن مذاکرات در سال 2020 عنوان شد.</w:t>
      </w:r>
    </w:p>
    <w:p>
      <w:pPr>
        <w:pStyle w:val="Heading3"/>
        <w:bidi w:val="1"/>
        <w:spacing w:line="312" w:lineRule="auto" w:before="200" w:after="120"/>
        <w:jc w:val="right"/>
      </w:pPr>
      <w:r>
        <w:rPr>
          <w:rFonts w:ascii="Times New Roman" w:hAnsi="Times New Roman" w:cs="B Nazanin"/>
          <w:sz w:val="24"/>
          <w:szCs w:val="24"/>
          <w:rtl w:val="1"/>
          <w:b/>
          <w:bCs/>
          <w:color w:val="000000"/>
        </w:rPr>
        <w:t>۲-۲-۳ قطعنامه 277 /72</w:t>
      </w:r>
    </w:p>
    <w:p>
      <w:pPr>
        <w:bidi w:val="1"/>
        <w:spacing w:line="312" w:lineRule="auto" w:before="0" w:after="120"/>
        <w:ind w:firstLine="454"/>
        <w:jc w:val="both"/>
      </w:pPr>
      <w:r>
        <w:rPr>
          <w:rFonts w:ascii="Times New Roman" w:hAnsi="Times New Roman" w:cs="B Nazanin"/>
          <w:sz w:val="22"/>
          <w:szCs w:val="28"/>
          <w:rtl w:val="1"/>
        </w:rPr>
        <w:t>از سپتامبر 2017 تا می 2018، دولت های عضو سازمان ملل مذاکرات تنگاتنگی جهت تدوین پیش نویس قطعنامه ای در این خصوص داشتند. جلسات غیررسمی متعددی میان هیئت های دیپلماتیک به منظور تعیین دامنه قطعنامه ی مورد نظر فرانسه برگزار شد. با توجه به عقب نشینی چند هیئت در حمایت از فرانسه به طور خاص ایالات متحده آمریکا، یک گام به عقب برداشته شد و از منظر فرانسه، قطعنامه ای ضعیف</w:t>
      </w:r>
      <w:r>
        <w:rPr>
          <w:rStyle w:val="FootnoteReference"/>
          <w:rtl w:val="1"/>
        </w:rPr>
        <w:footnoteReference w:id="45"/>
      </w:r>
      <w:r>
        <w:rPr>
          <w:rFonts w:ascii="Times New Roman" w:hAnsi="Times New Roman" w:cs="B Nazanin"/>
          <w:sz w:val="22"/>
          <w:szCs w:val="28"/>
          <w:rtl w:val="1"/>
        </w:rPr>
        <w:t xml:space="preserve"> برای تصویب مجمع عمومی تدوین شد. در طول مذاکرات قطعنامه، ایالات متحده امریکا استدلال نمود که هنوز کشورش قانع نشده است که پیشنهاد شکل گیری پیمان جهانی محیط زیست چگونه می تواند به نظام محیط زیست کنونی کمک کند و از شکل گیری گروه کاری برای رسیدگی به خلاءهای حقوق بین الملل محیط زیست استقبال نمود. وی با هر گونه اشاره به پیمان جهانی محیط زیست در عنوان قطعنامه و یا هر ادبیاتی که باعث پیش داوری در مورد موضوع مورد بررسی گردد، مخالفت نمود. فیلییپین نیز خواستار فرایند شفاف و مذاکراتی با فرصت کافی برای رایزنی با نهادهای ملی ذی صلاح شد و نسبت به عدم مشورت فرانسه با گروه 77 و چین ابراز نگرانی نمود. فیلیپین رسماً از مخالفان مذاکره در مورد اصول حقوق بین الملل محیط زیست بود. وی معتقد بود که دستور کار 2030 برای توسعه پایدار چارچوب یکپارچه ای را برای گرد هم آوردن جامعه جهانی در مورد محیط زیست فراهم کرده است. روسیه نیز اذعان نمود که روند تهیه پیش نویس قطعنامه مشارکتی نبوده و از اضافه شدن نظرات و پیشنهادات در مراحل بعدی خودداری شده است. در طول مذاکرات قطعنامه، برخی از کشورها قائل به تمرکز بر اجرای موافقت نامه های موجود به جای مذاکره برای سند جدید بودند. شایان ذکر است، چین یکی از حامیان جدی ابتکار فرانسه بود. در نهایت، بنا به درخواست ایالات متحده آمریکا به دلیل اینکه فرایند مذاکراتی شفاف و باز برای سند جدید محیط زیستی طی نگردیده است، رای گیری بر این قطعنامه صورت پذیرفت. قطعنامه مورد نظر</w:t>
      </w:r>
      <w:r>
        <w:rPr>
          <w:rStyle w:val="FootnoteReference"/>
          <w:rtl w:val="1"/>
        </w:rPr>
        <w:footnoteReference w:id="46"/>
      </w:r>
      <w:r>
        <w:rPr>
          <w:rFonts w:ascii="Times New Roman" w:hAnsi="Times New Roman" w:cs="B Nazanin"/>
          <w:sz w:val="22"/>
          <w:szCs w:val="28"/>
          <w:rtl w:val="1"/>
        </w:rPr>
        <w:t xml:space="preserve"> با عنوان «به سوی پیمان جهانی محیط زیست»</w:t>
      </w:r>
      <w:r>
        <w:rPr>
          <w:rStyle w:val="FootnoteReference"/>
          <w:rtl w:val="1"/>
        </w:rPr>
        <w:footnoteReference w:id="47"/>
      </w:r>
      <w:r>
        <w:rPr>
          <w:rFonts w:ascii="Times New Roman" w:hAnsi="Times New Roman" w:cs="B Nazanin"/>
          <w:sz w:val="22"/>
          <w:szCs w:val="28"/>
          <w:rtl w:val="1"/>
        </w:rPr>
        <w:t xml:space="preserve"> از سوی مجمع عمومی سازمان ملل متحد با 143 رای مثبت، 5 رای مخالف (فیلیپین، روسیه، سوریه، ترکیه و آمریکا)، 7 رای ممتنع (بلاروس، ایران، مالزی، نیکاراگوئه، نیجریه، عربستان سعودی و تاجیکستان) و 38 غایب تصویب شد. </w:t>
      </w:r>
    </w:p>
    <w:p>
      <w:pPr>
        <w:bidi w:val="1"/>
        <w:spacing w:line="312" w:lineRule="auto" w:before="0" w:after="120"/>
        <w:ind w:firstLine="454"/>
        <w:jc w:val="both"/>
      </w:pPr>
      <w:r>
        <w:rPr>
          <w:rFonts w:ascii="Times New Roman" w:hAnsi="Times New Roman" w:cs="B Nazanin"/>
          <w:sz w:val="22"/>
          <w:szCs w:val="28"/>
          <w:rtl w:val="1"/>
        </w:rPr>
        <w:t>در مقام تحلیل می توان گفت، قطعنامه 277 /72 ، اولین گام تعیین کننده در بسیج جامعه بین المللی به سوی حفاظت از محیط زیست و در عین حال متضمن تعهد دولت ها برای بررسی خلاءهای موجود در حقوق بین الملل محیط زیست و راه های بالقوه رفع آن ها می باشد. با این حال، زبان و ادبیات قطعنامه خنثی ارزیابی می شود و از پیش نویس پیشنهادی فرانسه بسیار فاصله دارد. به هم دلیل فرانسه این قطعنامه را ضعیف معرفی نمود. علی رغم عنوان قطعنامه، متن آن اشاره ای به پیمان یا پیش نویس فرانسوی پیمان ندارد. تنها به برگزاری نشست عالی رتبه در حاشیه هفتاد و دومین نشست مجمع عمومی در سال 2017 در بندهای مقدماتی اشاره شده است. از نظر سیاسی، روند بحث در مورد یک موافقت نامه بین المللی جدید که به طور یکجانبه توسط یک دولت پیشنهاد شده بود، در میان کشورها چالش برانگیز ارزیابی شد. از همین رو، برخی از کشورها بلافاصله با این ایده مخالفت کردند.</w:t>
      </w:r>
    </w:p>
    <w:p>
      <w:pPr>
        <w:bidi w:val="1"/>
        <w:spacing w:line="312" w:lineRule="auto" w:before="0" w:after="120"/>
        <w:ind w:firstLine="454"/>
        <w:jc w:val="both"/>
      </w:pPr>
      <w:r>
        <w:rPr>
          <w:rFonts w:ascii="Times New Roman" w:hAnsi="Times New Roman" w:cs="B Nazanin"/>
          <w:sz w:val="22"/>
          <w:szCs w:val="28"/>
          <w:rtl w:val="1"/>
        </w:rPr>
        <w:t xml:space="preserve">در بررسی متن قطعنامه در می یابیم که، مقدمه قطعنامه به لزوم ادامه رسیدگی به چالش های ناشی از تخریب محیط زیست به طور جامع و منسجم اشاره می کند. بر این اساس، قطعنامه یک رویکرد روش‌شناختی خطی (ساختارمند و مرحله‌ای) و باز (انعطاف‌پذیری و قابلیت انطباق) </w:t>
      </w:r>
      <w:r>
        <w:rPr>
          <w:rStyle w:val="FootnoteReference"/>
          <w:rtl w:val="1"/>
        </w:rPr>
        <w:footnoteReference w:id="48"/>
      </w:r>
      <w:r>
        <w:rPr>
          <w:rFonts w:ascii="Times New Roman" w:hAnsi="Times New Roman" w:cs="B Nazanin"/>
          <w:sz w:val="22"/>
          <w:szCs w:val="28"/>
          <w:rtl w:val="1"/>
        </w:rPr>
        <w:t>را برای مشکلات و راه‌حل‌های بالقوه در حقوق بین‌الملل محیط زیست تعیین می‌کند. به عنوان اولین قدم، قطعنامه از دبیرکل درخواست می نماید تا گزارش فنی و مبتنی بر شواهد را با تمرکز بر شناسایی و ارزیابی خلاءهای احتمالی در حقوق بین الملل محیط زیست و سایر اسناد مرتبط با محیط زیست، البته با نگاهی به تقویت اجرای آن ها، به هفتاد و سومین نشست مجمع عمومی ارائه دهد. دومین قدم، ایجاد گروه کاری موقتی باز</w:t>
      </w:r>
      <w:r>
        <w:rPr>
          <w:rStyle w:val="FootnoteReference"/>
          <w:rtl w:val="1"/>
        </w:rPr>
        <w:footnoteReference w:id="49"/>
      </w:r>
      <w:r>
        <w:rPr>
          <w:rFonts w:ascii="Times New Roman" w:hAnsi="Times New Roman" w:cs="B Nazanin"/>
          <w:sz w:val="22"/>
          <w:szCs w:val="28"/>
          <w:rtl w:val="1"/>
        </w:rPr>
        <w:t xml:space="preserve"> تحت نظارت مجمع عمومی برای بررسی گزارش دبیرکل و مذاکره در خصوص گزینه های احتمالی جهت رسیدگی به خلاءهای احتمالی در حقوق بین الملل محیط زیست و سایر اسناد مرتبط در صورت لزوم می باشد. 3 وظیفه ی گروه کاری به شرح زیر عبارتند از: لحاظ گزارش دبیرکل به عنوان راهنمای مذاکرات، مذاکره در خصوص گزینه های احتمالی برای رسیدگی به خلاءهای احتمالی در حقوق بین الملل محیط زیست و سایر اسناد محیط زیستی مرتبط، در صورت لزوم بررسی دامنه و پارامترها و امکان سنجی سند بین الملل جدید با هدف ارائه توصیه به مجمع عمومی نظیر برگزاری کنفرانس بین الدولی برای تصویب سند جدید، در مهلت مقرر نیمه نخست سال 2019 میلادی. به موجب این قطعنامه گروه کاری اختیارات کامل جهت پیشبرد مذاکرات را دارد و پیش داوری در خصوص خلاءهای حقوق بین الملل محیط زیست صورت نخواهد پذیرفت. در صورت شناسایی خلاء، راه احتمالی تعامل با آن کاملاً در اختیار گروه کاری است. نکته قابل توجه این است که قطعنامه، گروه کاری را موظف به مذاکره در خصوص سند الزام آور نمی کند و هیچ گونه پیش داوری در خصوص وظایف گروه کاری و نتایج آن نمی کند و این نوع از بی طرفی خصیصه بارز قطعنامه ارزیابی می شود. در این قطعنامه مقرر شد که فرایند حاضر نباید اسناد و چارچوب های حقوقی موجود و سازوکارهای جهانی، منطقه ای و بخشی مربوطه را تضعیف کند.</w:t>
      </w:r>
    </w:p>
    <w:p>
      <w:pPr>
        <w:pStyle w:val="Heading3"/>
        <w:bidi w:val="1"/>
        <w:spacing w:line="312" w:lineRule="auto" w:before="200" w:after="120"/>
        <w:jc w:val="right"/>
      </w:pPr>
      <w:r>
        <w:rPr>
          <w:rFonts w:ascii="Times New Roman" w:hAnsi="Times New Roman" w:cs="B Nazanin"/>
          <w:sz w:val="24"/>
          <w:szCs w:val="24"/>
          <w:rtl w:val="1"/>
          <w:b/>
          <w:bCs/>
          <w:color w:val="000000"/>
        </w:rPr>
        <w:t>۲-۲-۴ گزارش دبیرکل 419 /73</w:t>
      </w:r>
    </w:p>
    <w:p>
      <w:pPr>
        <w:bidi w:val="1"/>
        <w:spacing w:line="312" w:lineRule="auto" w:before="0" w:after="120"/>
        <w:ind w:firstLine="454"/>
        <w:jc w:val="both"/>
      </w:pPr>
      <w:r>
        <w:rPr>
          <w:rFonts w:ascii="Times New Roman" w:hAnsi="Times New Roman" w:cs="B Nazanin"/>
          <w:sz w:val="22"/>
          <w:szCs w:val="28"/>
          <w:rtl w:val="1"/>
        </w:rPr>
        <w:t>در نوامبر 2018 گزارش دبیرکل با عنوان «خلاءهای حقوق بین الملل محیط زیست و اسناد مرتبط محیط زیست: به سوی پیمان جهانی محیط زیست»</w:t>
      </w:r>
      <w:r>
        <w:rPr>
          <w:rStyle w:val="FootnoteReference"/>
          <w:rtl w:val="1"/>
        </w:rPr>
        <w:footnoteReference w:id="50"/>
      </w:r>
      <w:r>
        <w:rPr>
          <w:rFonts w:ascii="Times New Roman" w:hAnsi="Times New Roman" w:cs="B Nazanin"/>
          <w:sz w:val="22"/>
          <w:szCs w:val="28"/>
          <w:rtl w:val="1"/>
        </w:rPr>
        <w:t xml:space="preserve"> منتشر شد و این گزارش به کاستی ها در سطوح مختلف، عمدتاً در ارتباط با اصول قابل اجرای حقوق بین الملل محیط زیست، محتوای هنجاری و نهادی رژیم های نظارتی بخشی و هم چنین اشتراک با رژیم های مرتبط با محیط زیست، ساختار حکمرانی حقوق بین الملل محیط زیست و اجرای موثر و پایبندی به حقوق بین الملل محیط زیست اشاره گردیده است. باید توجه داشت که نه در قطعنامه 277/72  و نه در گزارش دبیرکل، علی رغم عنوان شان، اشاره ای مستقیم به پیش نویس پیمان جهانی محیط زیست نشده است. در این اسناد، پیشنهاد جدیدی که در دستور کار سازمان ملل برای بررسی قرار گرفته است، صرفاً به عنوان یک گزینه یا امکان به منظور تقویت حقوق بین الملل محیط زیست در نظر گرفته می شود. گزارش دبیرکل شامل 7 بخش به شرح زیر می باشد: مقدمه، خلاءهای مرتبط با اصول حقوق بین الملل محیط زیست، خلاءهای مرتبط با رژیم های نظارتی موجود، اسناد مرتبط محیطزیستی، خلاءهای مرتبط با ساختار حکمرانی حقوق بین الملل محیط زیست، خلاءهای مرتبط با اجرا و اثربخشی حقوق بین الملل محیط زیست و نتیجه گیری. (این گزارش در فصل آتی به تفصیل بررسی خواهد شد.)</w:t>
      </w:r>
    </w:p>
    <w:p>
      <w:pPr>
        <w:bidi w:val="1"/>
        <w:spacing w:line="312" w:lineRule="auto" w:before="0" w:after="120"/>
        <w:ind w:firstLine="454"/>
        <w:jc w:val="both"/>
      </w:pPr>
      <w:r>
        <w:rPr>
          <w:rFonts w:ascii="Times New Roman" w:hAnsi="Times New Roman" w:cs="B Nazanin"/>
          <w:sz w:val="22"/>
          <w:szCs w:val="28"/>
          <w:rtl w:val="1"/>
        </w:rPr>
        <w:t xml:space="preserve">پس از انتشار گزارش دبیرکل، بسیاری از هیئت های دیپلماتیک از گزارش دبیرکل استقبال کردند. با این وجود، انتقادهایی هم بر گزارش دبیرکل وارد شد که گزارش دبیرکل باید محتوای پیش نویس پیمان جهانی محیط زیست را اطلاع رسانی می نمود یا اینکه پیش نویس پیشنهاد شده را به عنوان یک راه حل معرفی می کرد. البته از نظر دیپلماتیک این انتقاد قابل قبول نیست؛ زیرا دولت ها باید در فرایند تدوین پیش نویس به صورت بین الدولی مشارکت کنند. انتقاد دیگری که وارد شد این بود که گزارش دبیرکل فراتر از ماموریت او بوده است. در این گزارش طیف وسیعی از خلاءها و کاستی هایی که بر اثربخشی حقوق بین الملل محیط زیست تاثیرگذار است، شناسایی شده است. این کاستیها عبارتند از :1. نقاط خالی در پوشش موافقتنامههای چندجانبه محیط زیستی؛ 2. وضعیت و محتوای اصول محیط زیستی؛ 3. خلاء درون موافقت نامه های چندجانبه محیط زیستی؛ 4. خلاء میان موافقت نامه های چندجانبه محیط زیستی، 5. خلاء میان موافقت نامه های چندجانبه محیط زیستی و سایر اسناد حقوق بین الملل و 6. خلاءهای مربوط به اجرای موافقت نامه های چندجانبه محیط زیستی؛ این گزارش علاوه بر شناسایی و ارزیابی رژیمهای نظارتی (شکلی و ماهوی) و خلاءهای حکمرانی در حقوق بین الملل محیط زیست، خلاءهای سایر اسناد مرتبط محیط زیستی از جمله تجارت بین الملل، سرمایه گذاری، مالکیت فکری، حقوق بشر، صلح و امنیت، مهاجرت، مدیریت بلایا و مخاصمات مسلحانه را نیز ارزیابی نموده است. </w:t>
      </w:r>
    </w:p>
    <w:p>
      <w:pPr>
        <w:bidi w:val="1"/>
        <w:spacing w:line="312" w:lineRule="auto" w:before="0" w:after="120"/>
        <w:ind w:firstLine="454"/>
        <w:jc w:val="both"/>
      </w:pPr>
      <w:r>
        <w:rPr>
          <w:rFonts w:ascii="Times New Roman" w:hAnsi="Times New Roman" w:cs="B Nazanin"/>
          <w:sz w:val="22"/>
          <w:szCs w:val="28"/>
          <w:rtl w:val="1"/>
        </w:rPr>
        <w:t>این گزارش چندین پیشنهاد و توصیه مهم به طور خاص برای شفاف سازی و تقویت اصول حقوق بین الملل ارائه می دهد، که همین موضوع باعث انتقاد برخی از کشورها گردید و این امر را فراتر از ماموریت دبیرکل و در چارچوب وظیفه گروه کاری دانسته اند. انتقادهای دیگری نیز بر گزارش دبیرکل وارد شد از جمله، عدم بررسی نحوه اجرای توصیه های دستور کار 21، عدم اشاره به دلایل کاستی ها به ویژه موقعیت و منافع متفاوت دولت ها، بده و بستان کشورها و شکل گیری ضعیف اسناد . برخی از کشورها معتقد بودند که در هم افزایی میان موافقت نامه های چندجانبه محیط زیستی، به زیربنای هنجاری برای مدیریت چالش های محیط زیستی پرداخته نشده است. در این گزارش عدم اجرای تعهدات به عنوان یکی از خلاءهای حقوق بین الملل محیط زیست آمده است، در حالی که پراکندگی سیستم معاهداتی حقوق بین الملل محیط زیست فی نفسه منتهی به بن بستی در حصول نتایج اثربخش می گردد.</w:t>
      </w:r>
    </w:p>
    <w:p>
      <w:pPr>
        <w:bidi w:val="1"/>
        <w:spacing w:line="312" w:lineRule="auto" w:before="0" w:after="120"/>
        <w:ind w:firstLine="454"/>
        <w:jc w:val="both"/>
      </w:pPr>
      <w:r>
        <w:rPr>
          <w:rFonts w:ascii="Times New Roman" w:hAnsi="Times New Roman" w:cs="B Nazanin"/>
          <w:sz w:val="22"/>
          <w:szCs w:val="28"/>
          <w:rtl w:val="1"/>
        </w:rPr>
        <w:t>علی رغم انتقادهای وارد شده، باید اذعان نمود که گزارش دبیرکل نخستین گام به سوی به رسمیت شناختن خلاءهای مهم در حقوق بین الملل محیط زیست به حساب می آید. به عنوان اولین گزارش تحلیلی از حقوق بین الملل محیط زیست در سطح سازمان ملل متحد، گامی مثبت ارزیابی می شود. این گزارش مبنای خوبی برای مذاکرات کشورها در گروه کاری محسوب می شود و می توان از آن خلاقلانه تر بهره مند شد و به سوی جلو قدم نهاد. با توجه به رویکرد بخشی موافقت نامه های چندجانبه محیط زیستی، حقوق بین الملل محیط زیست اغلب فاقد نگاه جامع و فراگیر به گذشته و آینده است. از این رو، این گزارش می تواند گام هایی در پیشرفت حقوق بین الملل محیط زیست با شناسایی چالش های پیش رو و پیشنهادهایی جهت رفع آن ها تلقی گردد. این گزارش نشان می دهد که حقوق بین الملل محیط زیست به شیوه ای واکنشی و حسب الزامات خاص و لذا به صورت بخشی توسعه یافته است. این ماهیت فزاینده و پراکنده، منجر به گسترش رژیم‌های نظارتی عمدتاً بخشی و یک چارچوب حقوقی- بین‌المللی پراکنده برای حفاظت از محیط زیست شده است. پراکندگی</w:t>
      </w:r>
      <w:r>
        <w:rPr>
          <w:rStyle w:val="FootnoteReference"/>
          <w:rtl w:val="1"/>
        </w:rPr>
        <w:footnoteReference w:id="51"/>
      </w:r>
      <w:r>
        <w:rPr>
          <w:rFonts w:ascii="Times New Roman" w:hAnsi="Times New Roman" w:cs="B Nazanin"/>
          <w:sz w:val="22"/>
          <w:szCs w:val="28"/>
          <w:rtl w:val="1"/>
        </w:rPr>
        <w:t xml:space="preserve">، به نوبه خود، منجر به کاستی در هماهنگی در سطوح قانونگذاری و اجرا و مستلزم انسجام بهتر، حمایت متقابل و هم افزایی در اجرا می باشد. Antonia Tigre,2020, 131) ( این گزارش خلاءها و کاستی ها را در سطوح مختلف و به صورت خلاصه به شرح زیر ارزیابی می کند. </w:t>
      </w:r>
    </w:p>
    <w:p>
      <w:pPr>
        <w:bidi w:val="1"/>
        <w:spacing w:line="312" w:lineRule="auto" w:before="0" w:after="120"/>
        <w:ind w:firstLine="454"/>
        <w:jc w:val="both"/>
      </w:pPr>
      <w:r>
        <w:rPr>
          <w:rFonts w:ascii="Times New Roman" w:hAnsi="Times New Roman" w:cs="B Nazanin"/>
          <w:sz w:val="22"/>
          <w:szCs w:val="28"/>
          <w:rtl w:val="1"/>
        </w:rPr>
        <w:t>اول، هیچ چارچوب هنجاری فراگیر واحدی که بتوان آن را به عنوان قواعد و اصول کاربرد عمومی در حقوق بین‌الملل محیط زیست توصیف کرد، وجود ندارد. وجود چنین اصولی ممکن است به یکپارچگی رویکرد فعلی، رویکرد بخشی حقوق بین‌الملل محیط زیست و به رفع خلاءهای موجود در قواعد مندرج در معاهدات کمک کند. در حالی که برخی از اصول حقوق بین الملل محیط زیست از طریق ادغام آن ها در موافقت نامه های چندجانبه محیط زیستی به خوبی شناخته شده اند و توسط تعدادی از محاکم و دادگاه های بین المللی تایید شده اند، سایر اصول از شفافیت و اجماع قضایی در مورد کاربرد آن ها و هم چنین شناسایی در اسناد الزام آور بهره مند نیستند. این امر بر پیش بینی پذیری و اجرای رژیم های محیط زیستی بخشی تأثیر دارد. (A/73/419, P.1)</w:t>
      </w:r>
    </w:p>
    <w:p>
      <w:pPr>
        <w:bidi w:val="1"/>
        <w:spacing w:line="312" w:lineRule="auto" w:before="0" w:after="120"/>
        <w:ind w:firstLine="454"/>
        <w:jc w:val="both"/>
      </w:pPr>
      <w:r>
        <w:rPr>
          <w:rFonts w:ascii="Times New Roman" w:hAnsi="Times New Roman" w:cs="B Nazanin"/>
          <w:sz w:val="22"/>
          <w:szCs w:val="28"/>
          <w:rtl w:val="1"/>
        </w:rPr>
        <w:t xml:space="preserve"> دوم، حقوق بین‌الملل محیط‌زیست پراکنده و واکنشی است. مشخصه ی آن پراکندگی و فقدان انسجام و هم افزایی کلی در میان مجموعه بزرگی از چارچوب های نظارتی بخشی است. این امر منجر به کاستی مهمی در هماهنگی در سطوح قانون‌گذاری و اجرا می شود و مستلزم انسجام بهتر سیاست‌ها، حمایت متقابل و هم افزایی در اجرا می باشد. (A/73/419, P.1)</w:t>
      </w:r>
    </w:p>
    <w:p>
      <w:pPr>
        <w:bidi w:val="1"/>
        <w:spacing w:line="312" w:lineRule="auto" w:before="0" w:after="120"/>
        <w:ind w:firstLine="454"/>
        <w:jc w:val="both"/>
      </w:pPr>
      <w:r>
        <w:rPr>
          <w:rFonts w:ascii="Times New Roman" w:hAnsi="Times New Roman" w:cs="B Nazanin"/>
          <w:sz w:val="22"/>
          <w:szCs w:val="28"/>
          <w:rtl w:val="1"/>
        </w:rPr>
        <w:t>سوم، تعامل بین موافقت نامه های چندجانبه محیط زیستی و سایر اسناد مرتبط با محیط زیست به دلیل فقدان وضوح، محتوا و وضعیت مبهم بسیاری از اصول محیط زیستی، همچنان مشکل ساز است. (A/73/419, P.2)</w:t>
      </w:r>
    </w:p>
    <w:p>
      <w:pPr>
        <w:bidi w:val="1"/>
        <w:spacing w:line="312" w:lineRule="auto" w:before="0" w:after="120"/>
        <w:ind w:firstLine="454"/>
        <w:jc w:val="both"/>
      </w:pPr>
      <w:r>
        <w:rPr>
          <w:rFonts w:ascii="Times New Roman" w:hAnsi="Times New Roman" w:cs="B Nazanin"/>
          <w:sz w:val="22"/>
          <w:szCs w:val="28"/>
          <w:rtl w:val="1"/>
        </w:rPr>
        <w:t>چهارم، ساختار حکمرانی محیط زیستی بین‌المللی با پراکندگی نهادی و مجموعه‌ای ناهمگون از بازیگران مشخص می‌شود که چالش‌های انسجام و هماهنگی مهمی را آشکار می‌کند. محاکم و دادگاه های بین المللی اغلب بر عدم اجماع بین المللی در مورد اصول محیط زیستی تاکید می کنند. (A/73/419, P.2)</w:t>
      </w:r>
    </w:p>
    <w:p>
      <w:pPr>
        <w:bidi w:val="1"/>
        <w:spacing w:line="312" w:lineRule="auto" w:before="0" w:after="120"/>
        <w:ind w:firstLine="454"/>
        <w:jc w:val="both"/>
      </w:pPr>
      <w:r>
        <w:rPr>
          <w:rFonts w:ascii="Times New Roman" w:hAnsi="Times New Roman" w:cs="B Nazanin"/>
          <w:sz w:val="22"/>
          <w:szCs w:val="28"/>
          <w:rtl w:val="1"/>
        </w:rPr>
        <w:t>پنجم، اجرای حقوق بین الملل محیط زیست در هر دو سطح ملی و بین المللی چالش برانگیز است. اجرای ملی در بسیاری از کشورها به دلیل فقدان قوانین ملی مناسب، منابع مالی، فناوری های سازگار با محیط زیست و ظرفیت های نهادی محدود شده است. در سطح بین المللی نیز، اجرا به دلیل عدم وضوح بسیاری از اصول محیط زیستی محدود شده است. (A/73/419, P.2)</w:t>
      </w:r>
    </w:p>
    <w:p>
      <w:pPr>
        <w:bidi w:val="1"/>
        <w:spacing w:line="312" w:lineRule="auto" w:before="0" w:after="120"/>
        <w:ind w:firstLine="454"/>
        <w:jc w:val="both"/>
      </w:pPr>
      <w:r>
        <w:rPr>
          <w:rFonts w:ascii="Times New Roman" w:hAnsi="Times New Roman" w:cs="B Nazanin"/>
          <w:sz w:val="22"/>
          <w:szCs w:val="28"/>
          <w:rtl w:val="1"/>
        </w:rPr>
        <w:t>به موجب این گزارش، حقوق بین‌الملل محیط‌زیست و اجرای مؤثر آن را می‌توان از طریق اقداماتی مانند تبیین و تقویت اصول حقوق بین‌الملل محیط زیست تقویت کرد. این امر می تواند از طریق یک سند بین المللی جامع و متحدکننده که تمام اصول حقوق محیط زیست را گردآوری می کند، انجام شود. همچنین باید اقدامات موثرتری برای گزارش دهی، بازبینی و راستی آزمایی و مکانیسم های پایبندی و اجرای قوی وجود داشته باشد. از اینکه کشورهایی که نیاز به حمایت دارند منابع کافی برای اجرای موثر تعهدات خود در اختیار داشته باشند، اطمینان کافی حاصل شود و نقش بازیگران غیردولتی باید در سطوح مختلف افزایش یابد. (A/73/419, P.2) علاوه بر این، با تکیه بر رویکردهای خلاقانه ای که دولت ها تاکنون برای حفاظت از محیط زیست اتخاذ کرده اند، ضروری است که کشورها و سازمان ملل متحد برای رفع خلاءهای موجود در حقوق بین الملل محیط زیست با یکدیگر همکاری کنند. ما باید فرصت استفاده از حقوق بین‌المللی محیط‌زیست را به روش‌های جدید و پویا برای ارائه یک رژیم حکمرانی قوی و مؤثر با هدف حفاظت بهتر از محیط زیست برای نسل‌های آینده، غنیمت بشماریم. (A/73/419, P.2)</w:t>
      </w:r>
    </w:p>
    <w:p>
      <w:pPr>
        <w:bidi w:val="1"/>
        <w:spacing w:line="312" w:lineRule="auto" w:before="0" w:after="120"/>
        <w:ind w:firstLine="454"/>
        <w:jc w:val="both"/>
      </w:pPr>
      <w:r>
        <w:rPr>
          <w:rFonts w:ascii="Times New Roman" w:hAnsi="Times New Roman" w:cs="B Nazanin"/>
          <w:sz w:val="22"/>
          <w:szCs w:val="28"/>
          <w:rtl w:val="1"/>
        </w:rPr>
        <w:t>در پایان می توان اینگونه تحلیل نمود که، هدف از انجام این ماموریت و گزارش دهی در این خصوص، تقویت ابزارهای اجرایی موافقت نامه های چندجانبه محیط زیستی و پایبندی حداکثری کشورها به رعایت تعهدات مندرج در آن ها می باشد. گزارش دبیرکل یک گزارش جامع از کلیه سازوکارهای حقوقی محیط زیستی اعم از بین المللی و منطقه ای است و ضمن بررسی آن ها و تبیین کارکرد آن ها، به حیطه اجرایی آن و هم چنین میزان تاثیرگذاری این سازوکارها نیز می پردازد. در مقام تبیین کارکرد موافقت نامه ها به این موضوع پرداخته شده است که بسیاری از اصول و روش های به کار گرفته شده در موافقت نامه های محیط زیستی ناظر بر اصول کلی حقوق بین الملل محیط زیست هستند و از آن جا که بیشتر به عرف و رویه دولت ها بر می گردند، لذا قرار گرفتن آن ها در قالب موافقت نامه ها صرفاً تکرار اصولی است که پیشتر جامعه بین المللی به آن عمل می کردند و یا حداقل آن را پذیرفته اند. لذا روا نیست که اجرای آن ناقص صورت گرفته یا در قالب موافقت نامه های منطقه ای، حوزه ی اجرایی کوچکی را شامل گردد. به نظر می رسد که گزارش دبیرکل به دنبال یکپارچه سازی تمام اصول پذیرفته شده در حوزه محیط زیست در قالب یک مجموعه جامع و لازم الاجرا است که بتواند در آینده نزدیک موافقت نامه های چندجانبه محیط زیستی را از شکل داوطلبانه و اختیاری خارج نموده و به آن قالبی لازم الاجرا و ضروری بدهد. تا حدی که عدم پذیرش و یا عدم رعایت آن ها واکنش جامعه بین المللی را برانگیزد. آن چه که در حال حاضر از آن تحت عنوان تعهدات عام الشمول یاد می شود. ارتباط دادن موضوعات محیط زیستی به حوزه های حقوق بشر، اقتصاد و تجارت نشان از سرایت تعهدات محیط زیستی به تعهدات و الزامات حقوق بشری و مولفه های گفتمان امنیت انسانی دارد که در فصل بعدی به آن خواهیم پرداخت.</w:t>
      </w:r>
    </w:p>
    <w:p>
      <w:pPr>
        <w:pStyle w:val="Heading3"/>
        <w:bidi w:val="1"/>
        <w:spacing w:line="312" w:lineRule="auto" w:before="200" w:after="120"/>
        <w:jc w:val="right"/>
      </w:pPr>
      <w:r>
        <w:rPr>
          <w:rFonts w:ascii="Times New Roman" w:hAnsi="Times New Roman" w:cs="B Nazanin"/>
          <w:sz w:val="24"/>
          <w:szCs w:val="24"/>
          <w:rtl w:val="1"/>
          <w:b/>
          <w:bCs/>
          <w:color w:val="000000"/>
        </w:rPr>
        <w:t>۲-۲-۵ گروه کاری موقت باز</w:t>
      </w:r>
    </w:p>
    <w:p>
      <w:pPr>
        <w:bidi w:val="1"/>
        <w:spacing w:line="312" w:lineRule="auto" w:before="0" w:after="120"/>
        <w:ind w:firstLine="454"/>
        <w:jc w:val="both"/>
      </w:pPr>
      <w:r>
        <w:rPr>
          <w:rFonts w:ascii="Times New Roman" w:hAnsi="Times New Roman" w:cs="B Nazanin"/>
          <w:sz w:val="22"/>
          <w:szCs w:val="28"/>
          <w:rtl w:val="1"/>
        </w:rPr>
        <w:t>یکی از نتایج قطعنامه «به سوی پیمان جهانی محیط زیست»، ایجاد گروه کاری موقت باز تحت نظارت مجمع عمومی با سه ماموریت به شرح زیر بود: 1. بررسی گزارش دبیر کل به عنوان راهنمای مذاکرات؛ 2. مذاکره در خصوص گزینه های احتمالی برای رسیدگی به خلاءهای احتمالی در حقوق بین الملل محیط زیست و سایر اسناد محیط زیستی مرتبط و 3. در صورت لزوم بررسی دامنه و پارامترها و امکان سنجی سند بین الملل جدید با هدف ارائه توصیه به مجمع عمومی نظیر برگزاری کنفرانس بین الدولی برای تصویب سند جدید، در مهلت مقرر نیمه نخست سال 2019 میلادی.</w:t>
      </w:r>
    </w:p>
    <w:p>
      <w:pPr>
        <w:bidi w:val="1"/>
        <w:spacing w:line="312" w:lineRule="auto" w:before="0" w:after="120"/>
        <w:ind w:firstLine="454"/>
        <w:jc w:val="both"/>
      </w:pPr>
      <w:r>
        <w:rPr>
          <w:rFonts w:ascii="Times New Roman" w:hAnsi="Times New Roman" w:cs="B Nazanin"/>
          <w:sz w:val="22"/>
          <w:szCs w:val="28"/>
          <w:rtl w:val="1"/>
        </w:rPr>
        <w:t>بعد از پذیرش قطعنامه ، یک نشست سازمانی</w:t>
      </w:r>
      <w:r>
        <w:rPr>
          <w:rStyle w:val="FootnoteReference"/>
          <w:rtl w:val="1"/>
        </w:rPr>
        <w:footnoteReference w:id="52"/>
      </w:r>
      <w:r>
        <w:rPr>
          <w:rFonts w:ascii="Times New Roman" w:hAnsi="Times New Roman" w:cs="B Nazanin"/>
          <w:sz w:val="22"/>
          <w:szCs w:val="28"/>
          <w:rtl w:val="1"/>
        </w:rPr>
        <w:t xml:space="preserve"> در مقر سازمان ملل در نیویورک و سه نشست ماهوی</w:t>
      </w:r>
      <w:r>
        <w:rPr>
          <w:rStyle w:val="FootnoteReference"/>
          <w:rtl w:val="1"/>
        </w:rPr>
        <w:footnoteReference w:id="53"/>
      </w:r>
      <w:r>
        <w:rPr>
          <w:rFonts w:ascii="Times New Roman" w:hAnsi="Times New Roman" w:cs="B Nazanin"/>
          <w:sz w:val="22"/>
          <w:szCs w:val="28"/>
          <w:rtl w:val="1"/>
        </w:rPr>
        <w:t xml:space="preserve"> در مقر برنامه محیط زیست سازمان ملل در نایروبی برگزار شد. بند 6 اجرایی قطعنامه از دبیرکل می خواهد که دو رئیس مشترک گروه کاری، یکی از میان کشورهای توسعه یافته و دیگری از میان کشورهای در حال توسعه به منظور نظارت بر مشورت های گروه کاری با هماهنگی و مشورت با تمام دولت ها، گروه های منطقه ای و تمام ذی نفعان تعیین و تاکید می کند که فعالیت های گروه کاری باید باز، شفاف و جامع باشد. به دنبال مذاکرات صورت گرفته در جلسات، نمایندگان دائم پرتغال و لبنان در نیویورک به عنوان دو رئیس مشترک گروه کاری موقت انتخاب شدند. نمایندگان جوامع مدنی نیز به منزله ی دموکراتیزه شدن روند مذاکراتی در جلسات ماهوی مشارکت فعال داشتند. در ادامه جلسات ماهوی نایروبی را به ترتیب زمانی بررسی می کنیم. </w:t>
      </w:r>
    </w:p>
    <w:p>
      <w:pPr>
        <w:pStyle w:val="Heading3"/>
        <w:bidi w:val="1"/>
        <w:spacing w:line="312" w:lineRule="auto" w:before="200" w:after="120"/>
        <w:jc w:val="right"/>
      </w:pPr>
      <w:r>
        <w:rPr>
          <w:rFonts w:ascii="Times New Roman" w:hAnsi="Times New Roman" w:cs="B Nazanin"/>
          <w:sz w:val="24"/>
          <w:szCs w:val="24"/>
          <w:rtl w:val="1"/>
          <w:b/>
          <w:bCs/>
          <w:color w:val="000000"/>
        </w:rPr>
        <w:t>۲-۲-۵-۱ اولین نشست</w:t>
      </w:r>
    </w:p>
    <w:p>
      <w:pPr>
        <w:bidi w:val="1"/>
        <w:spacing w:line="312" w:lineRule="auto" w:before="0" w:after="120"/>
        <w:ind w:firstLine="454"/>
        <w:jc w:val="both"/>
      </w:pPr>
      <w:r>
        <w:rPr>
          <w:rFonts w:ascii="Times New Roman" w:hAnsi="Times New Roman" w:cs="B Nazanin"/>
          <w:sz w:val="22"/>
          <w:szCs w:val="28"/>
          <w:rtl w:val="1"/>
        </w:rPr>
        <w:t xml:space="preserve">اولین نشست ماهوی از 14 لغایت 18 ژانویه 2019 در نایروبی برگزار شد و کشورها به بررسی گزارش دبیرکل و وضعیت فعلی حقوق بینالملل محیطزیست بر مبنای یافتههای آن گزارش پرداختند. هیئتهای دیپلماتیک، نمایندگان ارکان سازمان ملل، دبیرخانه کنوانسیونها، سازمانهای بینالمللی و برخی از سازمانهای غیردولتی مشارکت نمودند. نظرات کشورها در خصوص گزارش دبیرکل متفاوت بود. بسیاری از کشورها ضمن استقبال از آن، آن را مرور جامعی بر خلاءهای موجود در حقوق بینالملل محیطزیست و مبنای مناسبی برای مذاکره ی بیشتر معرفی کردند. برخی آن را فقط به عنوان راهنمای اولیه برای مذاکره ی بیشتر لحاظ نمودند. برخی از کشورها نسبت به محتوای آن ابراز نگرانی نمودند و خواستار اطلاعات بهروزتر و استفاده از شواهد تجربی برای تایید نتایج آن شدند. تعداد معدودی از کشورها معتقد بودند که گزارش میتوانست تحلیل عمیقتر و عینیتر به همراه توجیههای قابل توجهتری برای برخی از یافتههایش ارائه دهد. یکی از مهمترین انتقادهای مطرح شده، درج توصیههایی برای رسیدگی به خلاءهای شناسایی شده در گزارش بود. زیرا قطعنامه 277 /72 مجمع عمومی به طور خاص از گروهکاری موقت خواسته بود که توصیههایی را ارائه دهد. لذا، این اقدام دبیرکل در گزارش، فراتر از ماموریت ارزیابی میشود. </w:t>
      </w:r>
    </w:p>
    <w:p>
      <w:pPr>
        <w:bidi w:val="1"/>
        <w:spacing w:line="312" w:lineRule="auto" w:before="0" w:after="120"/>
        <w:ind w:firstLine="454"/>
        <w:jc w:val="both"/>
      </w:pPr>
      <w:r>
        <w:rPr>
          <w:rFonts w:ascii="Times New Roman" w:hAnsi="Times New Roman" w:cs="B Nazanin"/>
          <w:sz w:val="22"/>
          <w:szCs w:val="28"/>
          <w:rtl w:val="1"/>
        </w:rPr>
        <w:t xml:space="preserve">معنا و مفهوم خلاء نکته قابل توجهی در مباحث کشورها بود. نگرانی دیگر، در مورد نتیجه و تاثیر کار گروه کاری موقت بر اسناد موجود، ارکان و فرایندها بود. کشورها خواستار تداوم تعهد و پایبندی به موافقت نامه های محیط زیستی موجود، بدون دوباره کاری و تضعیف جایگاه آن ها شدند. آن ها بر مذاکرات سازنده، باز، شفاف و جامع تاکید داشتند. دستیابی به نتیجه بر مبنای اجماع که هم عمل گرایانه و هم واقع بینانه باشد، بدون هرگونه پیش داوری در مورد نتیجه نهایی خواسته ضروری کشورها بود. در پایان نشست، خلاصه شفاهی و سپس نسخه کتبی آن در 25 ژانویه 2019 منتشر شد. </w:t>
      </w:r>
    </w:p>
    <w:p>
      <w:pPr>
        <w:pStyle w:val="Heading3"/>
        <w:bidi w:val="1"/>
        <w:spacing w:line="312" w:lineRule="auto" w:before="200" w:after="120"/>
        <w:jc w:val="right"/>
      </w:pPr>
      <w:r>
        <w:rPr>
          <w:rFonts w:ascii="Times New Roman" w:hAnsi="Times New Roman" w:cs="B Nazanin"/>
          <w:sz w:val="24"/>
          <w:szCs w:val="24"/>
          <w:rtl w:val="1"/>
          <w:b/>
          <w:bCs/>
          <w:color w:val="000000"/>
        </w:rPr>
        <w:t>۲-۲-۵-۲ دومین نشست</w:t>
      </w:r>
    </w:p>
    <w:p>
      <w:pPr>
        <w:bidi w:val="1"/>
        <w:spacing w:line="312" w:lineRule="auto" w:before="0" w:after="120"/>
        <w:ind w:firstLine="454"/>
        <w:jc w:val="both"/>
      </w:pPr>
      <w:r>
        <w:rPr>
          <w:rFonts w:ascii="Times New Roman" w:hAnsi="Times New Roman" w:cs="B Nazanin"/>
          <w:sz w:val="22"/>
          <w:szCs w:val="28"/>
          <w:rtl w:val="1"/>
        </w:rPr>
        <w:t xml:space="preserve">دومین نشست ماهوی از 18 لغایت 20 مارچ 2019 در نایروبی برگزار شد. تمرکز این نشست مشارکت در بحث نتیجه محور در مورد گزینه های ممکن برای رسیدگی به خلاءهای احتمالی موجود در حقوق بین الملل محیط زیست و سایر اسناد محیط زیستی مرتبط از جمله در قسمت اصول حقوق بین الملل محیط زیست، ساختار حکمرانی حقوق بین الملل محیط زیست، اجرای حقوق بین الملل محیط زیست و رژیم نظارتی خاص یا اسناد محیط زیستی مرتبط با نگاهی به تقویت اجرای حقوق بین الملل محیط زیست بود. کشورها پیشنهادهای متنوعی از تدوین سند جدید الزام آور، غیرالزام آور، اعلامیه عالی رتبه یا در قالب سند مجمع عمومی سازمان ملل متحد به منظور پاسخ به جاه طلبی فعلی جامعه بین المللی به منظور نوسازی سیستم حقوق بین الملل محیط زیست و اسناد محیط زیستی مرتبط مطرح ساختند.  برخی از کشورها  معتقد بودند که در خصوص ماهیت سند می توان در مراحل بعد، زمانی که فرایند مذاکراتی تدوین سند جدید آغاز گردد، تصمیم گیری نمود. در نهایت، 26 مارچ 2019 گزارش خلاصه تهیه و منتشر شد. </w:t>
      </w:r>
    </w:p>
    <w:p>
      <w:pPr>
        <w:bidi w:val="1"/>
        <w:spacing w:line="312" w:lineRule="auto" w:before="0" w:after="120"/>
        <w:ind w:firstLine="454"/>
        <w:jc w:val="both"/>
      </w:pPr>
      <w:r>
        <w:rPr>
          <w:rFonts w:ascii="Times New Roman" w:hAnsi="Times New Roman" w:cs="B Nazanin"/>
          <w:sz w:val="22"/>
          <w:szCs w:val="28"/>
          <w:rtl w:val="1"/>
        </w:rPr>
        <w:t xml:space="preserve">بعد از پایان نشست دوم، پیش نویس اولیه توصیه های گروه کاری موقت در قالب یک بسته تهیه شد. توصیه ها در سه گروه قرار داشتند: 1.عناصر مرتبط با اهداف اطلاع رسانی توصیه ها؛ 2. عناصر مرتبط با توصیه های ماهوی؛ و 3. عناصر مرتبط با فرایندها؛ در این پیش نویس به موارد زیر اشاره گردید: درک وسیعی از خلاءها در حقوق بین‌الملل محیط‌زیست، اصول، تفسیر آن ها، و سازگاری در به کارگیری آن ها، گزینه‌هایی برای یک سند جدید با ماهیت الزام آور یا غیر الزام آور، از جمله یک اعلامیه عالی رتبه و/یا یک سند خلاصه مجمع عمومی سازمان ملل متحد در مورد اصول حقوق بین‌الملل محیط زیست، حکمرانی و تقویت همکاری، هم افزایی و هماهنگی موافقت نامه های چندجانبه محیط زیستی موجود، تقویت و بازنگری نقش برنامه محیط زیست سازمان ملل متحد و مجمع محیط زیست ملل متحد و سایر ارکانی که مسئول افزایش تأثیر و هماهنگی عناصر در چارچوب رژیم موجود حقوق بین‌الملل محیط زیست هستند، و گزینه هایی برای رسیدگی به خلاء اجرایی ناشی از فقدان ظرفیت سازی، تامین مالی، فناوری و اراده سیاسی. مقرر شد نشست سوم و آخر بر مبنای همین پیش نویس برگزار گردد. </w:t>
      </w:r>
    </w:p>
    <w:p>
      <w:pPr>
        <w:pStyle w:val="Heading3"/>
        <w:bidi w:val="1"/>
        <w:spacing w:line="312" w:lineRule="auto" w:before="200" w:after="120"/>
        <w:jc w:val="right"/>
      </w:pPr>
      <w:r>
        <w:rPr>
          <w:rFonts w:ascii="Times New Roman" w:hAnsi="Times New Roman" w:cs="B Nazanin"/>
          <w:sz w:val="24"/>
          <w:szCs w:val="24"/>
          <w:rtl w:val="1"/>
          <w:b/>
          <w:bCs/>
          <w:color w:val="000000"/>
        </w:rPr>
        <w:t>۲-۲-۵-۳ سومین نشست</w:t>
      </w:r>
    </w:p>
    <w:p>
      <w:pPr>
        <w:bidi w:val="1"/>
        <w:spacing w:line="312" w:lineRule="auto" w:before="0" w:after="120"/>
        <w:ind w:firstLine="454"/>
        <w:jc w:val="both"/>
      </w:pPr>
      <w:r>
        <w:rPr>
          <w:rFonts w:ascii="Times New Roman" w:hAnsi="Times New Roman" w:cs="B Nazanin"/>
          <w:sz w:val="22"/>
          <w:szCs w:val="28"/>
          <w:rtl w:val="1"/>
        </w:rPr>
        <w:t>سومین نشست ماهوی از 20 لغایت 22 می 2019 در نایروبی متعاقب چندین پیش نشست برگزار شد.  در این نشست ، کشورها به دنبال جلسات متعدد رسمی و غیررسمی به وظیفه خود عمل نموده و توصیه هایی را جهت ارائه به مجمع عمومی سازمان ملل به تصویب رساندند. توصیه های نهایی را می توان در سه دسته طبقه بندی نمود: 1. اهداف، از جمله تقویت حفاظت از محیط زیست برای نسل های حاضر و آتی و تقویت حقوق بین الملل محیط زیست و اسناد محیط زیستی مرتبط؛ 2. توصیه های ماهوی و 3. بررسی کار بیشتر. پیش نویس توصیه ها براساس دیدگاه های متفاوت کشورها در طول جلسات و با هدف حصول اجماع تدوین گشت. بسیاری از کشورها ضمن استقبال از تدوین سند جدید، نسبت به آغاز کار به منظور یک پارچه سازی اصول حقوق بین الملل محیط زیست اعلام آمادگی کردند. در خصوص ماهیت سند و الزام آوری آن اختلاف نظر جدی وجود داشت. برخی نیز معتقد بودند که توجیه ماهوی برای پیشنهاد شکل گیری سند جدید ارائه نشده است. چندین کشور به ضرورت مذاکره بیشتر در خصوص ارزش افزوده شکل گیری چنین سندی، اعم از الزام آور یا غیرالزام آور و اینکه تدوین آن چگونه می تواند به تقویت حفاظت از محیط زیست بیانجامد، اشاره کردند.</w:t>
      </w:r>
    </w:p>
    <w:p>
      <w:pPr>
        <w:bidi w:val="1"/>
        <w:spacing w:line="312" w:lineRule="auto" w:before="0" w:after="120"/>
        <w:ind w:firstLine="454"/>
        <w:jc w:val="both"/>
      </w:pPr>
      <w:r>
        <w:rPr>
          <w:rFonts w:ascii="Times New Roman" w:hAnsi="Times New Roman" w:cs="B Nazanin"/>
          <w:sz w:val="22"/>
          <w:szCs w:val="28"/>
          <w:rtl w:val="1"/>
        </w:rPr>
        <w:t>محور سخنرانی کشورمان در سومین نشست به شرح زیر می باشد:</w:t>
      </w:r>
    </w:p>
    <w:p>
      <w:pPr>
        <w:bidi w:val="1"/>
        <w:spacing w:line="312" w:lineRule="auto" w:before="0" w:after="120"/>
        <w:ind w:firstLine="454"/>
        <w:jc w:val="both"/>
      </w:pPr>
      <w:r>
        <w:rPr>
          <w:rFonts w:ascii="Times New Roman" w:hAnsi="Times New Roman" w:cs="B Nazanin"/>
          <w:sz w:val="22"/>
          <w:szCs w:val="28"/>
          <w:rtl w:val="1"/>
        </w:rPr>
        <w:t>لزوم شناسایی خلاء و چالش ها در حقوق بین الملل محیط زیست و ترتیبات محیط زیستی مرتبط و اعلام هشدار نسبت به ایجاد سند جدید جامع بدون شناسایی خلاءها؛</w:t>
      </w:r>
    </w:p>
    <w:p>
      <w:pPr>
        <w:bidi w:val="1"/>
        <w:spacing w:line="312" w:lineRule="auto" w:before="0" w:after="120"/>
        <w:ind w:firstLine="454"/>
        <w:jc w:val="both"/>
      </w:pPr>
      <w:r>
        <w:rPr>
          <w:rFonts w:ascii="Times New Roman" w:hAnsi="Times New Roman" w:cs="B Nazanin"/>
          <w:sz w:val="22"/>
          <w:szCs w:val="28"/>
          <w:rtl w:val="1"/>
        </w:rPr>
        <w:t>معرفی نقص در اجرا، منابع ناکافی، ضعف ابزارهای اجرایی، سیاست های نادرست محیط زیستی و جهت گیری های سیاسی در خصوص محیط زیست به عنوان مهم ترین چالش های حقوق بین الملل محیط زیست؛</w:t>
      </w:r>
    </w:p>
    <w:p>
      <w:pPr>
        <w:bidi w:val="1"/>
        <w:spacing w:line="312" w:lineRule="auto" w:before="0" w:after="120"/>
        <w:ind w:firstLine="454"/>
        <w:jc w:val="both"/>
      </w:pPr>
      <w:r>
        <w:rPr>
          <w:rFonts w:ascii="Times New Roman" w:hAnsi="Times New Roman" w:cs="B Nazanin"/>
          <w:sz w:val="22"/>
          <w:szCs w:val="28"/>
          <w:rtl w:val="1"/>
        </w:rPr>
        <w:t>تاکید بر تقویت موافقت نامه های چندجانبه محیط زیستی از طریق رفع موانع اجرای آن و تاکید بر تقویت ابزارهای اجرا به خصوص برای کشورهای در حال توسعه با تقویت ظرفیت های ملی، انتقال تکنولوژی، تبادل دانش و حمایت های مالی در جهت اجرای هر چه بهتر تعهدات و به عبارتی خلاقیت در احیای اسناد محیط زیستی موجود؛</w:t>
      </w:r>
    </w:p>
    <w:p>
      <w:pPr>
        <w:bidi w:val="1"/>
        <w:spacing w:line="312" w:lineRule="auto" w:before="0" w:after="120"/>
        <w:ind w:firstLine="454"/>
        <w:jc w:val="both"/>
      </w:pPr>
      <w:r>
        <w:rPr>
          <w:rFonts w:ascii="Times New Roman" w:hAnsi="Times New Roman" w:cs="B Nazanin"/>
          <w:sz w:val="22"/>
          <w:szCs w:val="28"/>
          <w:rtl w:val="1"/>
        </w:rPr>
        <w:t>تاکید بر اصول حقوق بین الملل محیط زیست به خصوص اصل مسئولیت مشترک اما متفاوت و عدم تضعیف اقدامات و سازوکارهای حقوقی و چارچوب های حمایتی فعلی؛</w:t>
      </w:r>
    </w:p>
    <w:p>
      <w:pPr>
        <w:bidi w:val="1"/>
        <w:spacing w:line="312" w:lineRule="auto" w:before="0" w:after="120"/>
        <w:ind w:firstLine="454"/>
        <w:jc w:val="both"/>
      </w:pPr>
      <w:r>
        <w:rPr>
          <w:rFonts w:ascii="Times New Roman" w:hAnsi="Times New Roman" w:cs="B Nazanin"/>
          <w:sz w:val="22"/>
          <w:szCs w:val="28"/>
          <w:rtl w:val="1"/>
        </w:rPr>
        <w:t>عدم شتابزدگی در ایجاد سازوکارهای جدید و دامن نزدن به تورم و تکثر موجود در موافقت نامه های چندجانبه محیط زیستی فعلی؛</w:t>
      </w:r>
    </w:p>
    <w:p>
      <w:pPr>
        <w:bidi w:val="1"/>
        <w:spacing w:line="312" w:lineRule="auto" w:before="0" w:after="120"/>
        <w:ind w:firstLine="454"/>
        <w:jc w:val="both"/>
      </w:pPr>
      <w:r>
        <w:rPr>
          <w:rFonts w:ascii="Times New Roman" w:hAnsi="Times New Roman" w:cs="B Nazanin"/>
          <w:sz w:val="22"/>
          <w:szCs w:val="28"/>
          <w:rtl w:val="1"/>
        </w:rPr>
        <w:t>در نظر گرفتن ملاحظات و مقررات ملی کشورها و نیز تاکید بر رویکرد منسجم و فعال با مشارکت تمامی ذی نفعان.</w:t>
      </w:r>
    </w:p>
    <w:p>
      <w:pPr>
        <w:bidi w:val="1"/>
        <w:spacing w:line="312" w:lineRule="auto" w:before="0" w:after="120"/>
        <w:ind w:firstLine="454"/>
        <w:jc w:val="both"/>
      </w:pPr>
      <w:r>
        <w:rPr>
          <w:rFonts w:ascii="Times New Roman" w:hAnsi="Times New Roman" w:cs="B Nazanin"/>
          <w:sz w:val="22"/>
          <w:szCs w:val="28"/>
          <w:rtl w:val="1"/>
        </w:rPr>
        <w:t xml:space="preserve">هند به فقدان اجماع بر روی مفهوم خلاء و مصادیق آن اشاره و اظهار نمود که از این روند در صورتی که موجب ارتقاء توسعه پایدار و محیط زیست شود، حمایت می نماید. هم چنین اضافه نمود در صورتی که گروه کاری، خلاء در اصول حقوق بین الملل محیط زیست و چالش در حکمرانی محیط زیستی را بپذیرد، می بایست اجماع و درک مشترک در خصوص پذیرش خلاءها و راه حل آن حاصل شود و راه حل تعیین شده بتواند یک ارزش به اقدامات فعلی مربوط به حفاظت از محیط زیست بیفزاید. ایالات متحده آمریکا همواره بر موضوع عدم اجماع در خصوص تعریف خلاء و یا هرگونه کاستی در حقوق بین الملل محیط زیست تاکید نموده و بر این اساس پیش داوری در خصوص ایجاد یک خروجی برای ادامه روند کار ( منظور بخش سوم- بررسی کار بیشتر ) را مورد انتقاد قرار داد. هم چنین، نسبت به گزارش تهیه شده توسط دبیرکل انتقاد کرد و آن را به نفع شکل گیری پیمان جهانی محیط زیست مغرضانه ارزیابی نمود. مالزی بر اصول برشمرده شده در بیانیه ریو تاکید نمود و اینکه این حق تحفظ را برای خود در نظر می گیرد که قائل به ایجاد یک ابزار جدید در حقوق بین الملل محیط زیست نمی باشد. عربستان سعودی ضمن استقبال از رسیدن به یک راه حل واقع بینانه و موثر، مخالفت شدید خود را در خصوص روند ایجاد سازوکار جدید یا باز نمودن سازوکارهای قبلی ابراز نمود. </w:t>
      </w:r>
    </w:p>
    <w:p>
      <w:pPr>
        <w:bidi w:val="1"/>
        <w:spacing w:line="312" w:lineRule="auto" w:before="0" w:after="120"/>
        <w:ind w:firstLine="454"/>
        <w:jc w:val="both"/>
      </w:pPr>
      <w:r>
        <w:rPr>
          <w:rFonts w:ascii="Times New Roman" w:hAnsi="Times New Roman" w:cs="B Nazanin"/>
          <w:sz w:val="22"/>
          <w:szCs w:val="28"/>
          <w:rtl w:val="1"/>
        </w:rPr>
        <w:t xml:space="preserve">چین بر تقویت اجرای حقوق بین الملل محیط زیست و سازوکارهای موجود و لزوم در نظر گرفتن شرایط ملی کشورها در وارد نمودن موضوعات محیط زیستی در برنامه ها و سیاست های داخلی و نیز احترام به حق حاکمیت دولت ها تاکید نمود. کوبا و جمهوری کره نسبت به پاسخگویی چارچوب فراگیر جدید به طیف وسیعی از مشکلات محیط زیستی ابراز تردید نموند. روسیه نیز تاکید کرد که وضع چارچوب جدید در حیطه ماموریت گروه کاری موقت نیست. علاوه بر این، کشورها اعلام کردند که در این مرحله توافقی در مورد نتیجه ی گزارش که «یک سند بین المللی جامع و متحدکننده که تمام اصول حقوق بین الملل محیط‌زیست را روشن می‌کند و به مؤثرتر کردن و تقویت اجرای حقوق بین الملل محیط زیست کمک کند»، وجود ندارد. متعاقب این مخالفت ها، هر گونه اشاره به «توافق راجع به تدوین اصول» در نسخه نهایی توصیه ها درج نگردید. </w:t>
      </w:r>
    </w:p>
    <w:p>
      <w:pPr>
        <w:bidi w:val="1"/>
        <w:spacing w:line="312" w:lineRule="auto" w:before="0" w:after="120"/>
        <w:ind w:firstLine="454"/>
        <w:jc w:val="both"/>
      </w:pPr>
      <w:r>
        <w:rPr>
          <w:rFonts w:ascii="Times New Roman" w:hAnsi="Times New Roman" w:cs="B Nazanin"/>
          <w:sz w:val="22"/>
          <w:szCs w:val="28"/>
          <w:rtl w:val="1"/>
        </w:rPr>
        <w:t xml:space="preserve">   توصیه های گروه کاری موقت باز</w:t>
      </w:r>
    </w:p>
    <w:p>
      <w:pPr>
        <w:bidi w:val="1"/>
        <w:spacing w:line="312" w:lineRule="auto" w:before="0" w:after="120"/>
        <w:ind w:firstLine="454"/>
        <w:jc w:val="both"/>
      </w:pPr>
      <w:r>
        <w:rPr>
          <w:rFonts w:ascii="Times New Roman" w:hAnsi="Times New Roman" w:cs="B Nazanin"/>
          <w:sz w:val="22"/>
          <w:szCs w:val="28"/>
          <w:rtl w:val="1"/>
        </w:rPr>
        <w:t>توصیه های نهایی بر مبنای اجماع، شامل سه بخش اهداف، توصیه های ماهوی و بررسی کار بیشتر</w:t>
      </w:r>
      <w:r>
        <w:rPr>
          <w:rStyle w:val="FootnoteReference"/>
          <w:rtl w:val="1"/>
        </w:rPr>
        <w:footnoteReference w:id="54"/>
      </w:r>
      <w:r>
        <w:rPr>
          <w:rFonts w:ascii="Times New Roman" w:hAnsi="Times New Roman" w:cs="B Nazanin"/>
          <w:sz w:val="22"/>
          <w:szCs w:val="28"/>
          <w:rtl w:val="1"/>
        </w:rPr>
        <w:t xml:space="preserve"> از سوی گروه کاری موقت باز در قالب سند مجمع عمومی</w:t>
      </w:r>
      <w:r>
        <w:rPr>
          <w:rStyle w:val="FootnoteReference"/>
          <w:rtl w:val="1"/>
        </w:rPr>
        <w:footnoteReference w:id="55"/>
      </w:r>
      <w:r>
        <w:rPr>
          <w:rFonts w:ascii="Times New Roman" w:hAnsi="Times New Roman" w:cs="B Nazanin"/>
          <w:sz w:val="22"/>
          <w:szCs w:val="28"/>
          <w:rtl w:val="1"/>
        </w:rPr>
        <w:t xml:space="preserve"> در تاریخ 13 ژوئن 2019 منتشر شد که در ادامه بررسی می گردد. در بخش اهداف، 5 هدف زیر راهنمای توصیه ها و رافع نگرانی های برخی از کشورها در طول مذاکرات قرار گرفت.  </w:t>
      </w:r>
    </w:p>
    <w:p>
      <w:pPr>
        <w:bidi w:val="1"/>
        <w:spacing w:line="312" w:lineRule="auto" w:before="0" w:after="120"/>
        <w:ind w:firstLine="454"/>
        <w:jc w:val="both"/>
      </w:pPr>
      <w:r>
        <w:rPr>
          <w:rFonts w:ascii="Times New Roman" w:hAnsi="Times New Roman" w:cs="B Nazanin"/>
          <w:sz w:val="22"/>
          <w:szCs w:val="28"/>
          <w:rtl w:val="1"/>
        </w:rPr>
        <w:t>تقویت حفاظت از محیط زیست برای نسل های حاضر و اینده؛</w:t>
      </w:r>
    </w:p>
    <w:p>
      <w:pPr>
        <w:bidi w:val="1"/>
        <w:spacing w:line="312" w:lineRule="auto" w:before="0" w:after="120"/>
        <w:ind w:firstLine="454"/>
        <w:jc w:val="both"/>
      </w:pPr>
      <w:r>
        <w:rPr>
          <w:rFonts w:ascii="Times New Roman" w:hAnsi="Times New Roman" w:cs="B Nazanin"/>
          <w:sz w:val="22"/>
          <w:szCs w:val="28"/>
          <w:rtl w:val="1"/>
        </w:rPr>
        <w:t>پایبندی به تعهدات موجود به موجب حقوق بین الملل محیط زیست و عدم تضعیف موافقت نامه های پیشین؛</w:t>
      </w:r>
    </w:p>
    <w:p>
      <w:pPr>
        <w:bidi w:val="1"/>
        <w:spacing w:line="312" w:lineRule="auto" w:before="0" w:after="120"/>
        <w:ind w:firstLine="454"/>
        <w:jc w:val="both"/>
      </w:pPr>
      <w:r>
        <w:rPr>
          <w:rFonts w:ascii="Times New Roman" w:hAnsi="Times New Roman" w:cs="B Nazanin"/>
          <w:sz w:val="22"/>
          <w:szCs w:val="28"/>
          <w:rtl w:val="1"/>
        </w:rPr>
        <w:t>تعهد به تقویت اجرای حقوق بین الملل محیط زیست و اسناد مرتبط محیط زیستی؛</w:t>
      </w:r>
    </w:p>
    <w:p>
      <w:pPr>
        <w:bidi w:val="1"/>
        <w:spacing w:line="312" w:lineRule="auto" w:before="0" w:after="120"/>
        <w:ind w:firstLine="454"/>
        <w:jc w:val="both"/>
      </w:pPr>
      <w:r>
        <w:rPr>
          <w:rFonts w:ascii="Times New Roman" w:hAnsi="Times New Roman" w:cs="B Nazanin"/>
          <w:sz w:val="22"/>
          <w:szCs w:val="28"/>
          <w:rtl w:val="1"/>
        </w:rPr>
        <w:t>حمایت از اجرای کامل دستور کار 2030 برای توسعه پایدار و هم چنین سند نهایی کنفرانس سازمان ملل در خصوص توسعه پایدار به نام «آینده ای که ما می خواهیم» از جمله بندهای 88 و 89؛</w:t>
      </w:r>
    </w:p>
    <w:p>
      <w:pPr>
        <w:bidi w:val="1"/>
        <w:spacing w:line="312" w:lineRule="auto" w:before="0" w:after="120"/>
        <w:ind w:firstLine="454"/>
        <w:jc w:val="both"/>
      </w:pPr>
      <w:r>
        <w:rPr>
          <w:rFonts w:ascii="Times New Roman" w:hAnsi="Times New Roman" w:cs="B Nazanin"/>
          <w:sz w:val="22"/>
          <w:szCs w:val="28"/>
          <w:rtl w:val="1"/>
        </w:rPr>
        <w:t>توجه به ساختار حکمرانی حقوق بین الملل محیط زیست و عدم تضعیف اسناد و چارچوب های حقوقی مرتبط و ارکان جهانی، منطقه ای و بخشی مرتبط.  A/AC.289/6/Rev.1,p.9) (</w:t>
      </w:r>
    </w:p>
    <w:p>
      <w:pPr>
        <w:bidi w:val="1"/>
        <w:spacing w:line="312" w:lineRule="auto" w:before="0" w:after="120"/>
        <w:ind w:firstLine="454"/>
        <w:jc w:val="both"/>
      </w:pPr>
      <w:r>
        <w:rPr>
          <w:rFonts w:ascii="Times New Roman" w:hAnsi="Times New Roman" w:cs="B Nazanin"/>
          <w:sz w:val="22"/>
          <w:szCs w:val="28"/>
          <w:rtl w:val="1"/>
        </w:rPr>
        <w:t>این بخش بسیار مهم و سازنده ارزیابی میشود؛ زیرا پنج اصل مورد اشاره به منزلهی پایه‌های توصیه‌های این سند عمل و سطح بالاتری از جاه‌طلبی را هدایت و راهبری می‌کنند، زیرا مخاطب توصیه‌ها کشورهای عضو، در داخل سیستم سازمان ملل متحد، و ارکان حاکم موافقت نامه های چندجانبه محیط زیستی هستند. این پنج هدف همچنین برای کمک به مشارکت فعال و معنادار همه ذینفعان مرتبط در همه سطوح برای اجرای حقوق بین‌الملل محیط زیست، اسناد مرتبط با محیط زیست و دستور کار 2030 برای توسعه پایدار ضروری هستند.</w:t>
      </w:r>
    </w:p>
    <w:p>
      <w:pPr>
        <w:bidi w:val="1"/>
        <w:spacing w:line="312" w:lineRule="auto" w:before="0" w:after="120"/>
        <w:ind w:firstLine="454"/>
        <w:jc w:val="both"/>
      </w:pPr>
      <w:r>
        <w:rPr>
          <w:rFonts w:ascii="Times New Roman" w:hAnsi="Times New Roman" w:cs="B Nazanin"/>
          <w:sz w:val="22"/>
          <w:szCs w:val="28"/>
          <w:rtl w:val="1"/>
        </w:rPr>
        <w:t>در بخش توصیه های ماهوی، سیزده توصیه به شرح زیر در طول مذاکرات گروه کاری موقت مورد توافق قرار گرفت:</w:t>
      </w:r>
    </w:p>
    <w:p>
      <w:pPr>
        <w:bidi w:val="1"/>
        <w:spacing w:line="312" w:lineRule="auto" w:before="0" w:after="120"/>
        <w:ind w:firstLine="454"/>
        <w:jc w:val="both"/>
      </w:pPr>
      <w:r>
        <w:rPr>
          <w:rFonts w:ascii="Times New Roman" w:hAnsi="Times New Roman" w:cs="B Nazanin"/>
          <w:sz w:val="22"/>
          <w:szCs w:val="28"/>
          <w:rtl w:val="1"/>
        </w:rPr>
        <w:t>تاکید بر نقش برنامه محیط زیست ملل متحد و مجمع محیط زیست ملل متحد به عنوان مرجع راهبری موضوعات جهانی محیط زیست و تقویت نقش آن ها؛</w:t>
      </w:r>
    </w:p>
    <w:p>
      <w:pPr>
        <w:bidi w:val="1"/>
        <w:spacing w:line="312" w:lineRule="auto" w:before="0" w:after="120"/>
        <w:ind w:firstLine="454"/>
        <w:jc w:val="both"/>
      </w:pPr>
      <w:r>
        <w:rPr>
          <w:rFonts w:ascii="Times New Roman" w:hAnsi="Times New Roman" w:cs="B Nazanin"/>
          <w:sz w:val="22"/>
          <w:szCs w:val="28"/>
          <w:rtl w:val="1"/>
        </w:rPr>
        <w:t>دعوت برای تجدید تلاش ها در تمام سطوح برای پیشبرد اجرای تعهدات موجود به موجب حقوق بین الملل محیط زیست و اسناد مرتبط با محیط زیست، تاکید بر اهمیت بهبود ابزار اجرا</w:t>
      </w:r>
      <w:r>
        <w:rPr>
          <w:rStyle w:val="FootnoteReference"/>
          <w:rtl w:val="1"/>
        </w:rPr>
        <w:footnoteReference w:id="56"/>
      </w:r>
      <w:r>
        <w:rPr>
          <w:rFonts w:ascii="Times New Roman" w:hAnsi="Times New Roman" w:cs="B Nazanin"/>
          <w:sz w:val="22"/>
          <w:szCs w:val="28"/>
          <w:rtl w:val="1"/>
        </w:rPr>
        <w:t xml:space="preserve">  از جمله بسیج تمام انواع و منابع ابزار اجرا، مطابق با دستورکار آدیس آبابا و دستورکار 2030 برای توسعه پایدار؛</w:t>
      </w:r>
    </w:p>
    <w:p>
      <w:pPr>
        <w:bidi w:val="1"/>
        <w:spacing w:line="312" w:lineRule="auto" w:before="0" w:after="120"/>
        <w:ind w:firstLine="454"/>
        <w:jc w:val="both"/>
      </w:pPr>
      <w:r>
        <w:rPr>
          <w:rFonts w:ascii="Times New Roman" w:hAnsi="Times New Roman" w:cs="B Nazanin"/>
          <w:sz w:val="22"/>
          <w:szCs w:val="28"/>
          <w:rtl w:val="1"/>
        </w:rPr>
        <w:t>به رسمیت شناختن نقش مذاکره در خصوص اصول حقوق بین الملل محیط زیست در بهبود اجرای حقوق بین الملل محیط زیست و توجه نمودن به کار در حال انجام از سوی کمیسیون حقوق بین الملل در خصوص اصول کلی حقوقی؛</w:t>
      </w:r>
    </w:p>
    <w:p>
      <w:pPr>
        <w:bidi w:val="1"/>
        <w:spacing w:line="312" w:lineRule="auto" w:before="0" w:after="120"/>
        <w:ind w:firstLine="454"/>
        <w:jc w:val="both"/>
      </w:pPr>
      <w:r>
        <w:rPr>
          <w:rFonts w:ascii="Times New Roman" w:hAnsi="Times New Roman" w:cs="B Nazanin"/>
          <w:sz w:val="22"/>
          <w:szCs w:val="28"/>
          <w:rtl w:val="1"/>
        </w:rPr>
        <w:t>دعوت از جامعه علمی و ارکان علمی، فنی و فناوری موافقتنامههای چندجانبه محیطزیستی برای کار بر روی موضوعات بین بخشی</w:t>
      </w:r>
      <w:r>
        <w:rPr>
          <w:rStyle w:val="FootnoteReference"/>
          <w:rtl w:val="1"/>
        </w:rPr>
        <w:footnoteReference w:id="57"/>
      </w:r>
      <w:r>
        <w:rPr>
          <w:rFonts w:ascii="Times New Roman" w:hAnsi="Times New Roman" w:cs="B Nazanin"/>
          <w:sz w:val="22"/>
          <w:szCs w:val="28"/>
          <w:rtl w:val="1"/>
        </w:rPr>
        <w:t xml:space="preserve"> و به اشتراکگذاری اطلاعات و تشویق آنها به تقویت همکاری میان خود؛</w:t>
      </w:r>
    </w:p>
    <w:p>
      <w:pPr>
        <w:bidi w:val="1"/>
        <w:spacing w:line="312" w:lineRule="auto" w:before="0" w:after="120"/>
        <w:ind w:firstLine="454"/>
        <w:jc w:val="both"/>
      </w:pPr>
      <w:r>
        <w:rPr>
          <w:rFonts w:ascii="Times New Roman" w:hAnsi="Times New Roman" w:cs="B Nazanin"/>
          <w:sz w:val="22"/>
          <w:szCs w:val="28"/>
          <w:rtl w:val="1"/>
        </w:rPr>
        <w:t>دعوت از ارکان حاکم موافقت نامه های چند جانبه برای ارتقاء انسجام سیاست ها در اسناد محیط زیستی و بررسی و رسیدگی به چالش ها در اجرا با نگاه کلان به تقویت اجرا در سطوح ملی و بین المللی در چارچوب حفظ استقلال و وظایف محول؛</w:t>
      </w:r>
    </w:p>
    <w:p>
      <w:pPr>
        <w:bidi w:val="1"/>
        <w:spacing w:line="312" w:lineRule="auto" w:before="0" w:after="120"/>
        <w:ind w:firstLine="454"/>
        <w:jc w:val="both"/>
      </w:pPr>
      <w:r>
        <w:rPr>
          <w:rFonts w:ascii="Times New Roman" w:hAnsi="Times New Roman" w:cs="B Nazanin"/>
          <w:sz w:val="22"/>
          <w:szCs w:val="28"/>
          <w:rtl w:val="1"/>
        </w:rPr>
        <w:t>تسریع در افزایش همکاری و هماهنگی میان نهادهای حاکم و دبیرخانههای موافقت نامه های چندجانبه محیط زیستی با یکدیگر در چارچوب وظایف محول و هم چنین همکاری با برنامه محیط زیست ملل متحد و مجمع محیط زیست ملل متحد؛</w:t>
      </w:r>
    </w:p>
    <w:p>
      <w:pPr>
        <w:bidi w:val="1"/>
        <w:spacing w:line="312" w:lineRule="auto" w:before="0" w:after="120"/>
        <w:ind w:firstLine="454"/>
        <w:jc w:val="both"/>
      </w:pPr>
      <w:r>
        <w:rPr>
          <w:rFonts w:ascii="Times New Roman" w:hAnsi="Times New Roman" w:cs="B Nazanin"/>
          <w:sz w:val="22"/>
          <w:szCs w:val="28"/>
          <w:rtl w:val="1"/>
        </w:rPr>
        <w:t>تشویق ارکان حاکم موافقت نامه های چندجانبه محیط زیستی و ارکان علمی، فنی و فناوری به تبادل اطلاعات و تجارب با نگاهی به ساده‌سازی فرآیندهای گزارش‌دهی و/یا فرایند نظارت؛</w:t>
      </w:r>
    </w:p>
    <w:p>
      <w:pPr>
        <w:bidi w:val="1"/>
        <w:spacing w:line="312" w:lineRule="auto" w:before="0" w:after="120"/>
        <w:ind w:firstLine="454"/>
        <w:jc w:val="both"/>
      </w:pPr>
      <w:r>
        <w:rPr>
          <w:rFonts w:ascii="Times New Roman" w:hAnsi="Times New Roman" w:cs="B Nazanin"/>
          <w:sz w:val="22"/>
          <w:szCs w:val="28"/>
          <w:rtl w:val="1"/>
        </w:rPr>
        <w:t>تشویق کشورهای عضو به تصویب موافقت نامه های چندجانبه محیط زیستی، در صورتی که قبلاً این کار را نکرده اند، و اجرای آن ها به صورت موثر؛</w:t>
      </w:r>
    </w:p>
    <w:p>
      <w:pPr>
        <w:bidi w:val="1"/>
        <w:spacing w:line="312" w:lineRule="auto" w:before="0" w:after="120"/>
        <w:ind w:firstLine="454"/>
        <w:jc w:val="both"/>
      </w:pPr>
      <w:r>
        <w:rPr>
          <w:rFonts w:ascii="Times New Roman" w:hAnsi="Times New Roman" w:cs="B Nazanin"/>
          <w:sz w:val="22"/>
          <w:szCs w:val="28"/>
          <w:rtl w:val="1"/>
        </w:rPr>
        <w:t>تشویق کشورهای عضو سازمان ملل به تقویت حقوق محیط زیست، سیاست ها و چارچوب های نظارتی در سطح ملی و همچنین تقویت ظرفیت ها در تمام بخش ها از جمله بخش های اداری و قضایی به منظور اجرای موثر حقوق بین الملل محیط زیست؛</w:t>
      </w:r>
    </w:p>
    <w:p>
      <w:pPr>
        <w:bidi w:val="1"/>
        <w:spacing w:line="312" w:lineRule="auto" w:before="0" w:after="120"/>
        <w:ind w:firstLine="454"/>
        <w:jc w:val="both"/>
      </w:pPr>
      <w:r>
        <w:rPr>
          <w:rFonts w:ascii="Times New Roman" w:hAnsi="Times New Roman" w:cs="B Nazanin"/>
          <w:sz w:val="22"/>
          <w:szCs w:val="28"/>
          <w:rtl w:val="1"/>
        </w:rPr>
        <w:t>تشویق دولت های عضو سازمان ملل به جریان سازی مقوله محیط زیست در سیاست ها و برنامه های بخشی خود در تمام سطوح، از جمله در برنامه های توسعه ملی و توسعه پایدار، به منظور بهبود اجرای حقوق بین الملل محیط زیست و اسناد مرتبط محیط زیستی قابل اعمال؛</w:t>
      </w:r>
    </w:p>
    <w:p>
      <w:pPr>
        <w:bidi w:val="1"/>
        <w:spacing w:line="312" w:lineRule="auto" w:before="0" w:after="120"/>
        <w:ind w:firstLine="454"/>
        <w:jc w:val="both"/>
      </w:pPr>
      <w:r>
        <w:rPr>
          <w:rFonts w:ascii="Times New Roman" w:hAnsi="Times New Roman" w:cs="B Nazanin"/>
          <w:sz w:val="22"/>
          <w:szCs w:val="28"/>
          <w:rtl w:val="1"/>
        </w:rPr>
        <w:t xml:space="preserve"> ترویج مشارکت فعال و معنادار تمام ذینفعان در تمام سطوح و در مجامع مختلف مرتبط با اجرای حقوق بین‌الملل محیط زیست و اسناد مرتبط با محیط زیست؛</w:t>
      </w:r>
    </w:p>
    <w:p>
      <w:pPr>
        <w:bidi w:val="1"/>
        <w:spacing w:line="312" w:lineRule="auto" w:before="0" w:after="120"/>
        <w:ind w:firstLine="454"/>
        <w:jc w:val="both"/>
      </w:pPr>
      <w:r>
        <w:rPr>
          <w:rFonts w:ascii="Times New Roman" w:hAnsi="Times New Roman" w:cs="B Nazanin"/>
          <w:sz w:val="22"/>
          <w:szCs w:val="28"/>
          <w:rtl w:val="1"/>
        </w:rPr>
        <w:t>بررسی راه‌های بیشتر برای کشورهای عضو به منظور حمایت و استفاده کامل از برنامه پنجم مونته ویدئو- مصوبه چهارمین نشست مجمع محیط زیست ملل متحد، برای تقویت حاکمیت قانون محیط زیستی و پیشبرد اجرای حقوق محیط زیست در تمام سطوح؛</w:t>
      </w:r>
    </w:p>
    <w:p>
      <w:pPr>
        <w:bidi w:val="1"/>
        <w:spacing w:line="312" w:lineRule="auto" w:before="0" w:after="120"/>
        <w:ind w:firstLine="454"/>
        <w:jc w:val="both"/>
      </w:pPr>
      <w:r>
        <w:rPr>
          <w:rFonts w:ascii="Times New Roman" w:hAnsi="Times New Roman" w:cs="B Nazanin"/>
          <w:sz w:val="22"/>
          <w:szCs w:val="28"/>
          <w:rtl w:val="1"/>
        </w:rPr>
        <w:t>تشویق برنامه محیطزیست ملل متحد برای تقویت استراتژیهای کل سیستم سازمان ملل متحد به منظور حمایت از کشورهای عضو در یکپارچه سازی و اجرای حقوق بینالملل محیطزیست ؛</w:t>
      </w:r>
    </w:p>
    <w:p>
      <w:pPr>
        <w:bidi w:val="1"/>
        <w:spacing w:line="312" w:lineRule="auto" w:before="0" w:after="120"/>
        <w:ind w:firstLine="454"/>
        <w:jc w:val="both"/>
      </w:pPr>
      <w:r>
        <w:rPr>
          <w:rFonts w:ascii="Times New Roman" w:hAnsi="Times New Roman" w:cs="B Nazanin"/>
          <w:sz w:val="22"/>
          <w:szCs w:val="28"/>
          <w:rtl w:val="1"/>
        </w:rPr>
        <w:t xml:space="preserve">بخش دوم، با 13 توصیه اساسی، را می توان به 6 زیر گروه تقسیم کرد: در مورد نقش برنامه محیط زیست ملل متحد، ابزار اجرا، اصول حقوق بین الملل محیط زیست، تقویت ارتباط علم و سیاست، حکمرانی و موافقت نامه های چندجانبه محیط زیستی موثر و چالش های اجرایی. از نظر کشورهای در حال توسعه مهم ترین نقص سازوکارهای حقوق بین الملل محیط زیست موجود در مقوله اجرا و آن هم نقص در ابزارهای اجرا شامل بحث انتقال تکنولوژی، تبادل دانش فنی، کمک های مالی، ظرفیت سازی و ... نهفته است. با توجه به اهمیت این موضوع برای کشورهای در حال توسعه، در چند بند به این مهم توجه شده است. موضوع دیگر بحث تقویت نظارت و پایش اعم از اداری و قضایی بر تعهدات مندرج در موافقت نامه های چندجانبه محیط زیستی است که با تاکید کشورهای در حال توسعه مطابقت با سیستم های حقوقی داخلی کشورها به آن اضافه و نهایی گردید. </w:t>
      </w:r>
    </w:p>
    <w:p>
      <w:pPr>
        <w:bidi w:val="1"/>
        <w:spacing w:line="312" w:lineRule="auto" w:before="0" w:after="120"/>
        <w:ind w:firstLine="454"/>
        <w:jc w:val="both"/>
      </w:pPr>
      <w:r>
        <w:rPr>
          <w:rFonts w:ascii="Times New Roman" w:hAnsi="Times New Roman" w:cs="B Nazanin"/>
          <w:sz w:val="22"/>
          <w:szCs w:val="28"/>
          <w:rtl w:val="1"/>
        </w:rPr>
        <w:t>در بخش بررسی کار بیشتر، به عنوان چالشی ترین بحث، در خصوص موارد زیر جهت توصیه گروه کاری به مجمع عمومی توافق حاصل شد:</w:t>
      </w:r>
    </w:p>
    <w:p>
      <w:pPr>
        <w:bidi w:val="1"/>
        <w:spacing w:line="312" w:lineRule="auto" w:before="0" w:after="120"/>
        <w:ind w:firstLine="454"/>
        <w:jc w:val="both"/>
      </w:pPr>
      <w:r>
        <w:rPr>
          <w:rFonts w:ascii="Times New Roman" w:hAnsi="Times New Roman" w:cs="B Nazanin"/>
          <w:sz w:val="22"/>
          <w:szCs w:val="28"/>
          <w:rtl w:val="1"/>
        </w:rPr>
        <w:t>توزیع و گردش توصیه های این سند به دولت های عضو سازمان ملل، آژانس های تخصصی و ارکان حاکم موافقت نامه های چندجانبه محیط زیستی برای ملاحظه و اقدام مقتضی؛</w:t>
      </w:r>
    </w:p>
    <w:p>
      <w:pPr>
        <w:bidi w:val="1"/>
        <w:spacing w:line="312" w:lineRule="auto" w:before="0" w:after="120"/>
        <w:ind w:firstLine="454"/>
        <w:jc w:val="both"/>
      </w:pPr>
      <w:r>
        <w:rPr>
          <w:rFonts w:ascii="Times New Roman" w:hAnsi="Times New Roman" w:cs="B Nazanin"/>
          <w:sz w:val="22"/>
          <w:szCs w:val="28"/>
          <w:rtl w:val="1"/>
        </w:rPr>
        <w:t>ارسال توصیه های این سند به مجمع محیط زیست ملل متحد برای بررسی و تهیه یک اعلامیه سیاسی برای نشست عالی رتبه سازمان ملل متحد</w:t>
      </w:r>
      <w:r>
        <w:rPr>
          <w:rStyle w:val="FootnoteReference"/>
          <w:rtl w:val="1"/>
        </w:rPr>
        <w:footnoteReference w:id="58"/>
      </w:r>
      <w:r>
        <w:rPr>
          <w:rFonts w:ascii="Times New Roman" w:hAnsi="Times New Roman" w:cs="B Nazanin"/>
          <w:sz w:val="22"/>
          <w:szCs w:val="28"/>
          <w:rtl w:val="1"/>
        </w:rPr>
        <w:t xml:space="preserve"> در چارچوب پنجمین نشست خود در فوریه 2021، با بودجه داوطلبانه و درچارچوب بزرگداشت تاسیس برنامه محیط زیست ملل متحد توسط کنفرانس استکهلم 1972، با نگاهی به تقویت اجرای حقوق بین الملل محیط زیست، حکمرانی بین المللی محیط زیست در راستای  بند 88 سند «آینده ای که می خواهیم» ؛</w:t>
      </w:r>
    </w:p>
    <w:p>
      <w:pPr>
        <w:bidi w:val="1"/>
        <w:spacing w:line="312" w:lineRule="auto" w:before="0" w:after="120"/>
        <w:ind w:firstLine="454"/>
        <w:jc w:val="both"/>
      </w:pPr>
      <w:r>
        <w:rPr>
          <w:rFonts w:ascii="Times New Roman" w:hAnsi="Times New Roman" w:cs="B Nazanin"/>
          <w:sz w:val="22"/>
          <w:szCs w:val="28"/>
          <w:rtl w:val="1"/>
        </w:rPr>
        <w:t>گرچه در پایان، توصیه ها با اجماع پذیرفته شد، اما بسیاری از کشورها بیانیه های خود را تحت عنوان «توضیح موضع</w:t>
      </w:r>
      <w:r>
        <w:rPr>
          <w:rStyle w:val="FootnoteReference"/>
          <w:rtl w:val="1"/>
        </w:rPr>
        <w:footnoteReference w:id="59"/>
      </w:r>
      <w:r>
        <w:rPr>
          <w:rFonts w:ascii="Times New Roman" w:hAnsi="Times New Roman" w:cs="B Nazanin"/>
          <w:sz w:val="22"/>
          <w:szCs w:val="28"/>
          <w:rtl w:val="1"/>
        </w:rPr>
        <w:t>» پس از تصویب، قرائت نمودند. اکثر کشورهای در حال توسعه به عدم توازن میان اقدام و حمایت در بخش ابزار اجرا انتقاد کردند و خواستار افزایش ابزارهای اجرا با استفاده از تمام منابع موجود بر اساس اصل انصاف گردیدند.  باید در نظر داشت که توصیه های گروه کاری به منزله پیشنهاد تلقی می گردد و تعهدی را متوجه دولت ها نمی کند.</w:t>
      </w:r>
    </w:p>
    <w:p>
      <w:pPr>
        <w:bidi w:val="1"/>
        <w:spacing w:line="312" w:lineRule="auto" w:before="0" w:after="120"/>
        <w:ind w:firstLine="454"/>
        <w:jc w:val="both"/>
      </w:pPr>
      <w:r>
        <w:rPr>
          <w:rFonts w:ascii="Times New Roman" w:hAnsi="Times New Roman" w:cs="B Nazanin"/>
          <w:sz w:val="22"/>
          <w:szCs w:val="28"/>
          <w:rtl w:val="1"/>
        </w:rPr>
        <w:t xml:space="preserve">رئیس جمهور فرانسه سال 2020 را به عنوان هدف بلندپروازانه برای تصویب متن پیمان جهانی محیط زیست تعیین کرده بود که با توجه به نتیجه مذاکرات در گروه کاری موقت، ناکام ماند. بسیاری از کشورها از اولین نشست ماهوی به محدودیت زمان کافی برای تهیه و تدوین توصیه های لازم به مجمع عمومی اشاره کردند. آن ها اذعان کردند که با توجه به جو کنونی چندجانبه گرایی و ریسک همراه با هر تلاشی برای ایجاد اجماع در خصوص هنجار جدیدی، هر بسته ی توصیه ای که آماده می شود، از آن چه برای بازنگری کامل رژیم حقوق بین الملل محیط زیست مورد نیاز است، ناگزیر کوتاه تر خواهد بود. </w:t>
      </w:r>
    </w:p>
    <w:p>
      <w:pPr>
        <w:bidi w:val="1"/>
        <w:spacing w:line="312" w:lineRule="auto" w:before="0" w:after="120"/>
        <w:ind w:firstLine="454"/>
        <w:jc w:val="both"/>
      </w:pPr>
      <w:r>
        <w:rPr>
          <w:rFonts w:ascii="Times New Roman" w:hAnsi="Times New Roman" w:cs="B Nazanin"/>
          <w:sz w:val="22"/>
          <w:szCs w:val="28"/>
          <w:rtl w:val="1"/>
        </w:rPr>
        <w:t>در تحلیل نشست های گروه کاری می توان گفت که «ترس» نقش قابل توجهی را ایفا کرده و در نهایت نتیجه فعلی را به ارمغان آورده است. ترس از دست دادن حاکمیت، ترس از پیچیده شدن رژیم موافقت نامه های چندجانبه موجود، ترس از فتح باب مذاکره بر سر اصول تثبیت شده و کاربردهای متنوع آن ها و به طور قابل توجه برای کشورهای در حال توسعه، ترس از متعهد شدن نسبت به اقداماتی که فاقد ظرفیت های لازم برای اجرای آن ها هستند. در نتیجه این ترس ها، گروه کاری موقت توصیه ای ضعیف به مجمع عمومی با مهلت زمانی طولانی تری از آن چه در ابتدا پیش بینی شده بود، بدون اشاره به موافقت نامه ای الزام آور، تهیه کرد. در خصوص مهلت پیش بینی شده، به نظر می رسد که ضرب الاجل جدید معقول تر باشد و امکان مذاکرات عمیق در خصوص راه حل های بالقوه را فراهم سازد. سه نشست ماهوی گروه کاری موقت فتح بابی بر طرح سوالات، ابهامات و انتظارات کشورها حول محور حقوق بین الملل محیط زیست بود که در فرایند چندجانبه گرایی و تمهید مقدمات لازم جهت حصول توافق بر سر اصول تاثیرگذار خواهد بود. توصیه های گروه کاری موقت نقطه عطف مهمی در جهت دستیابی به چارچوب همکاری میان دولت ها و در هماهنگی با سیستم سازمان ملل به منظور تقویت اجرای حقوق بین الملل محیط زیست و حمایت از اجرای کامل دستورکار 2030 برای توسعه پایدار ارزیابی می شود. پایبندی گروه کاری موقت به محدوده ی وظایف خود به موجب قطعنامه 277 /72 و انجام وظایف محوله در چارچوب زمانی مورد نظر قابل تحسین ارزیابی می شود.</w:t>
      </w:r>
    </w:p>
    <w:p>
      <w:pPr>
        <w:bidi w:val="1"/>
        <w:spacing w:line="312" w:lineRule="auto" w:before="0" w:after="120"/>
        <w:ind w:firstLine="454"/>
        <w:jc w:val="both"/>
      </w:pPr>
      <w:r>
        <w:rPr>
          <w:rFonts w:ascii="Times New Roman" w:hAnsi="Times New Roman" w:cs="B Nazanin"/>
          <w:sz w:val="22"/>
          <w:szCs w:val="28"/>
          <w:rtl w:val="1"/>
        </w:rPr>
        <w:t xml:space="preserve">در خصوص مسئله مهم اصول حقوق بین الملل محیط زیست با هدف بهبود اجرای حقوق بین الملل محیط زیست ضمن به رسمیت شناختن نقش مذاکره در خصوص اصول، مسیر روشنی در این سند تبیین نشده است. لذا، بحث اصول به طور کلی کنار گذاشته نشده و هنوز درها برای پذیرش احتمالی یک سند جدید باز است. اهمیت توصیه‌های مبتنی بر اجماع - اگرچه هیچ توافقی برای آغاز یک کنفرانس بین‌دولتی برای تصویب یک سند بین‌المللی به منظور تقویت اجرای حقوق بین‌الملل محیط زیست حاصل نشد - این است که اجماع اولین گام در فرآیندیست که منجر به تعهد برای رسیدگی به شیوه ای جامع و منسجم، به چالش های ناشی از تخریب محیط زیست در چارچوب توسعه پایدار، می باشد. از آنجایی که مشکلات محیط زیستی مرتبط اغلب ماهیت جهانی دارند، راه حل نیز در اقدام جمعی نهفته است. </w:t>
      </w:r>
    </w:p>
    <w:p>
      <w:pPr>
        <w:bidi w:val="1"/>
        <w:spacing w:line="312" w:lineRule="auto" w:before="0" w:after="120"/>
        <w:ind w:firstLine="454"/>
        <w:jc w:val="both"/>
      </w:pPr>
      <w:r>
        <w:rPr>
          <w:rFonts w:ascii="Times New Roman" w:hAnsi="Times New Roman" w:cs="B Nazanin"/>
          <w:sz w:val="22"/>
          <w:szCs w:val="28"/>
          <w:rtl w:val="1"/>
        </w:rPr>
        <w:t xml:space="preserve">در میان ارزیابی های علمی اخیر، چشم انداز جهانی محیط زیست 6 </w:t>
      </w:r>
      <w:r>
        <w:rPr>
          <w:rStyle w:val="FootnoteReference"/>
          <w:rtl w:val="1"/>
        </w:rPr>
        <w:footnoteReference w:id="60"/>
      </w:r>
      <w:r>
        <w:rPr>
          <w:rFonts w:ascii="Times New Roman" w:hAnsi="Times New Roman" w:cs="B Nazanin"/>
          <w:sz w:val="22"/>
          <w:szCs w:val="28"/>
          <w:rtl w:val="1"/>
        </w:rPr>
        <w:t>اظهار نموده است : "انتظار نمی رود اهداف توسعه پایدار و اهداف مورد توافق بین المللی از جمله تغییرات آب و هوا، از دست دادن تنوع زیستی، مواد مغذی، تخریب زمین و اسیدی شدن اقیانوس ها به زودی محقق شود. با این حال، توصیه‌ها عمدتاً به «چه چیزی» نیاز است، می‌پردازند و به اندازه کافی «چگونگی» یا «زمان» بررسی یا پیگیری چنین اقدامات و چالش‌هایی را مورد توجه قرار نمی‌دهند.»  (Antonia Tigre,2020, 282)</w:t>
      </w:r>
    </w:p>
    <w:p>
      <w:pPr>
        <w:pStyle w:val="Heading3"/>
        <w:bidi w:val="1"/>
        <w:spacing w:line="312" w:lineRule="auto" w:before="200" w:after="120"/>
        <w:jc w:val="right"/>
      </w:pPr>
      <w:r>
        <w:rPr>
          <w:rFonts w:ascii="Times New Roman" w:hAnsi="Times New Roman" w:cs="B Nazanin"/>
          <w:sz w:val="24"/>
          <w:szCs w:val="24"/>
          <w:rtl w:val="1"/>
          <w:b/>
          <w:bCs/>
          <w:color w:val="000000"/>
        </w:rPr>
        <w:t>۲-۲-۶ قطعنامه 333 /73</w:t>
      </w:r>
    </w:p>
    <w:p>
      <w:pPr>
        <w:bidi w:val="1"/>
        <w:spacing w:line="312" w:lineRule="auto" w:before="0" w:after="120"/>
        <w:ind w:firstLine="454"/>
        <w:jc w:val="both"/>
      </w:pPr>
      <w:r>
        <w:rPr>
          <w:rFonts w:ascii="Times New Roman" w:hAnsi="Times New Roman" w:cs="B Nazanin"/>
          <w:sz w:val="22"/>
          <w:szCs w:val="28"/>
          <w:rtl w:val="1"/>
        </w:rPr>
        <w:t>بعد از پذیرش توصیه های اجماعی از سوی گروه کاری در نایروبی، فرایند مذاکره به نیویورک بازگشت و طی نشست غیررسمی توصیه های گروه کاری به رئیس وقت مجمع عمومی تسلیم شد. در این نشست نیز از ماحصل اجماعی مذاکرات نایروبی تقدیر شد. در تاریخ 30 آگوست 2019 مجمع عمومی سازمان ملل قطعنامه 333 /73 را تصویب نمود.</w:t>
      </w:r>
      <w:r>
        <w:rPr>
          <w:rStyle w:val="FootnoteReference"/>
          <w:rtl w:val="1"/>
        </w:rPr>
        <w:footnoteReference w:id="61"/>
      </w:r>
      <w:r>
        <w:rPr>
          <w:rFonts w:ascii="Times New Roman" w:hAnsi="Times New Roman" w:cs="B Nazanin"/>
          <w:sz w:val="22"/>
          <w:szCs w:val="28"/>
          <w:rtl w:val="1"/>
        </w:rPr>
        <w:t xml:space="preserve"> در این قطعنامه، مجمع عمومی از مذاکرات گروه کاری، گزارش جلسه و توصیه های مطرح شده استقبال و همه آن ها را تایید نمود. (A/RES/73/333, OP 1) در این سند، مقرر گردید دبیرکل اقدامات لازم را در جهت حمایت از فرایند اجرای توصیه ها و تسهیل مشارکت نمایندگان کشورها اتخاذ نماید. مقرر شد که هزینه های اجرای قطعنامه حاضر و تسهیل مشارکت نمایندگانی از کشورهای در حال توسعه، به ویژه کشورهای کمتر توسعه یافته، کشورهای درحال توسعه محصور در خشکی و جزایر کوچک در حال توسعه در جلسات آتی مرتبط با اجرای توصیه های مندرج در گزارش گروه کاری، از محل بودجه های داوطلبانه و هم چنین صندوق داوطلبانه خاصی که به موجب قطعنامه 277 /72 ایجاد شده بود، تامین گردد. در همین بند دولت های عضو، موسسات مالی بین المللی، آژانس ها، سازمان های بین الدولی، سازمان های غیردولتی و اشخاص حقیقی و حقوقی را دعوت می کند تا در صندوق داوطلبانه خاص مورد اشاره مشارکت مالی نمایند. (A/RES/73/333, OP2) قطعنامه بدون درخواست رای گیری پذیرفته شد. بعد از تصویب آن، ایالات متحده آمریکا طی توضیح موضع تاکید نمود که ادبیات مندرج در بخش ابزار اجرا در مقام تعهد مالی بیشتر برای کشورش نیست و هم چنین ارکان حاکم در موافقتنامههای چندجانبه محیطزیستی، خودشان سیاست های مرتبط را تنظیم میکنند. در واقع این سند فاز جدید از ارجاع توصیه ها به مجمع محیط زیست ملل متحد برای بررسی و تمهید اعلامیه سیاسی را آغاز نمود.</w:t>
      </w:r>
    </w:p>
    <w:p>
      <w:pPr>
        <w:bidi w:val="1"/>
        <w:spacing w:line="312" w:lineRule="auto" w:before="0" w:after="120"/>
        <w:ind w:firstLine="454"/>
        <w:jc w:val="both"/>
      </w:pPr>
      <w:r>
        <w:rPr>
          <w:rFonts w:ascii="Times New Roman" w:hAnsi="Times New Roman" w:cs="B Nazanin"/>
          <w:sz w:val="22"/>
          <w:szCs w:val="28"/>
          <w:rtl w:val="1"/>
        </w:rPr>
        <w:t>بررسی مفاهیم</w:t>
      </w:r>
    </w:p>
    <w:p>
      <w:pPr>
        <w:bidi w:val="1"/>
        <w:spacing w:line="312" w:lineRule="auto" w:before="0" w:after="120"/>
        <w:ind w:firstLine="454"/>
        <w:jc w:val="both"/>
      </w:pPr>
      <w:r>
        <w:rPr>
          <w:rFonts w:ascii="Times New Roman" w:hAnsi="Times New Roman" w:cs="B Nazanin"/>
          <w:sz w:val="22"/>
          <w:szCs w:val="28"/>
          <w:rtl w:val="1"/>
        </w:rPr>
        <w:t xml:space="preserve">در این قسمت مفاهیم به کار رفته در عنوان پیش نویس پیمان جهانی محیط زیست، موافقت نامه های چند جانبه محیط زیستی، الزام آوری، حقوق نرم و سخت و آینده پژوهی بررسی می گردد. بررسی این مفاهیم ما را در درک عمیق تری از اهداف و هم چنین چالش های شکل گیری این سند و هم چنین تحلیل و ارزیابی بهتر فرایند مذاکرات، توافق ها و نتیجه آن کمک می نماید. </w:t>
      </w:r>
    </w:p>
    <w:p>
      <w:pPr>
        <w:pStyle w:val="Heading3"/>
        <w:bidi w:val="1"/>
        <w:spacing w:line="312" w:lineRule="auto" w:before="200" w:after="120"/>
        <w:jc w:val="right"/>
      </w:pPr>
      <w:r>
        <w:rPr>
          <w:rFonts w:ascii="Times New Roman" w:hAnsi="Times New Roman" w:cs="B Nazanin"/>
          <w:sz w:val="24"/>
          <w:szCs w:val="24"/>
          <w:rtl w:val="1"/>
          <w:b/>
          <w:bCs/>
          <w:color w:val="000000"/>
        </w:rPr>
        <w:t>۲-۳-۱ پیمان جهانی محیط زیست</w:t>
      </w:r>
    </w:p>
    <w:p>
      <w:pPr>
        <w:bidi w:val="1"/>
        <w:spacing w:line="312" w:lineRule="auto" w:before="0" w:after="120"/>
        <w:ind w:firstLine="454"/>
        <w:jc w:val="both"/>
      </w:pPr>
      <w:r>
        <w:rPr>
          <w:rFonts w:ascii="Times New Roman" w:hAnsi="Times New Roman" w:cs="B Nazanin"/>
          <w:sz w:val="22"/>
          <w:szCs w:val="28"/>
          <w:rtl w:val="1"/>
        </w:rPr>
        <w:t xml:space="preserve">عنوان پیش نویس پیشنهادی به شرح «پیمان جهانی محیط زیست» تفاوت قابل توجهی با اسناد راجع به حقوق بین الملل محیط زیست اعم از اسناد اولیه حقوق نرم و اسناد حقوق سخت دارد. اصطلاح به کاررفته در عنوان سند، ماهیت حقوقی سند را تعریف نمی کند. هدف اولیه این ابتکار ایجاد یک معاهده قانونی الزام آور فراگیر است که شامل اصول اساسی حقوق بین الملل محیط زیست شود. از همان ابتدا قرار بود سند رویکرد حقوق بشری داشته باشد و حق بشر در رابطه با محیط زیست را به رسمیت بشناسد. لذا، مقرر بود ادامه دهنده راه میثاقین  1966 باشد. از این رو، ابتدا این سه واژه را از منظر مفهومی بررسی می کنیم. </w:t>
      </w:r>
    </w:p>
    <w:p>
      <w:pPr>
        <w:pStyle w:val="Heading3"/>
        <w:bidi w:val="1"/>
        <w:spacing w:line="312" w:lineRule="auto" w:before="200" w:after="120"/>
        <w:jc w:val="right"/>
      </w:pPr>
      <w:r>
        <w:rPr>
          <w:rFonts w:ascii="Times New Roman" w:hAnsi="Times New Roman" w:cs="B Nazanin"/>
          <w:sz w:val="24"/>
          <w:szCs w:val="24"/>
          <w:rtl w:val="1"/>
          <w:b/>
          <w:bCs/>
          <w:color w:val="000000"/>
        </w:rPr>
        <w:t>۲-۳-۱-۱ پیمان</w:t>
      </w:r>
    </w:p>
    <w:p>
      <w:pPr>
        <w:bidi w:val="1"/>
        <w:spacing w:line="312" w:lineRule="auto" w:before="0" w:after="120"/>
        <w:ind w:firstLine="454"/>
        <w:jc w:val="both"/>
      </w:pPr>
      <w:r>
        <w:rPr>
          <w:rFonts w:ascii="Times New Roman" w:hAnsi="Times New Roman" w:cs="B Nazanin"/>
          <w:sz w:val="22"/>
          <w:szCs w:val="28"/>
          <w:rtl w:val="1"/>
        </w:rPr>
        <w:t xml:space="preserve">پیام انتخاب عنوان پیمان برای این سند قابل توجه است. تنظیم کنندگان به دنبال اجتناب از عاقبت اعلامیه استکهلم و ریو و انحصار در حقوق نرم و ویژگی غیرالزام آوری بودند. آن ها به دنبال ارائه یک سند بین المللی الزام آور برای تدوین اصول اساسی حقوق بین الملل محیط زیست در پاسخ به انتظار جامعه حقوقی از نظام مند شدن مبانی حقوق بین الملل محیط زیست در یک سند واحد در سطح بین المللی بودند. از این رو، به کارگیری واژه پیمان، تعمدی و در مقام یادآوری اصطلاحات مرتبط هم چون منشور و میثاق است که در گذشته در پاسخ به بحران های مشابه به کاررفته است. در منشور، میثاق و پیمان علاوه بر تعهدات حقوقی، تعهدات اخلاقی هم برای اعضا پیش بینی می شود و این نکته خصیصه بارز این سه گونه سند در حقوق بین الملل است. با توجه به ماهیت بده و بستان معاهدات بین المللی، واژه پیمان درکنار واژه منشور با اذعان به اینکه در جامعه بین المللی روش و شکل خاصی برای قانونگذاری صریح وجود ندارد، به دنبال برجسته سازی اهمیت موضوع خاصی هستند. با توجه به اهمیت سیاسی، دیپلماتیک، اخلاقی و حقوقی عنوان پیمان، می توان به استدلال آمریکا بر مخالفت با نامگذاری «اعلامیه ریو» تحت عنوان «منشور» اشاره نمود: «عنوان منشور انتظارات غیرواقعی را در مورد محتوای حقوقی سند مطرح می سازد.» (منبع الزامی ست) </w:t>
      </w:r>
    </w:p>
    <w:p>
      <w:pPr>
        <w:bidi w:val="1"/>
        <w:spacing w:line="312" w:lineRule="auto" w:before="0" w:after="120"/>
        <w:ind w:firstLine="454"/>
        <w:jc w:val="both"/>
      </w:pPr>
      <w:r>
        <w:rPr>
          <w:rFonts w:ascii="Times New Roman" w:hAnsi="Times New Roman" w:cs="B Nazanin"/>
          <w:sz w:val="22"/>
          <w:szCs w:val="28"/>
          <w:rtl w:val="1"/>
        </w:rPr>
        <w:t>در مقام بررسی سوابق موجود می توان گفت که منشور سازمان ملل متحد که نظم جهانی جدیدی را معرفی نمود و همینطور میثاق های حقوق مدنی و سیاسی و حقوق اقتصادی، اجتماعی و فرهنگی مصوب  1966 نمونه هایی از اسناد الزام آور بین المللی و منشور جهانی طبیعت و منشور زمین از نمونه های برجسته حقوق نرم در عرصه بین المللی هستند. پیش از این، واژه پیمان در اسناد مهم و با اهمیتی هم چون پیمان بوگوتا 1948 به منظور حل و فصل مسالمت آمیز اختلافات در منطقه اقیانوس آرام و پیمان کلوگ - بریاند 1928 به منظور دست کشیدن از جنگ در عرصه روابط بین الملل موجود هستند. اغلب پیمان ها به حوزه روابط بین الملل و جنگ های جهانی اول و دوم بر می گردد. سابقه ای از پیمان در حقوق بین الملل و به ویژه در چارچوب سازمان ملل متحد در دست نیست. به تازگی در اکتبر 2024 برابر با مهر ماه 1403 سندی در مجمع عمومی تحت عنوان «پیمان آینده» به همراه ضمایمی شامل یک پیمان جهانی دیجیتال و یک اعلامیه در مورد نسل های آینده</w:t>
      </w:r>
      <w:r>
        <w:rPr>
          <w:rStyle w:val="FootnoteReference"/>
          <w:rtl w:val="1"/>
        </w:rPr>
        <w:footnoteReference w:id="62"/>
      </w:r>
      <w:r>
        <w:rPr>
          <w:rFonts w:ascii="Times New Roman" w:hAnsi="Times New Roman" w:cs="B Nazanin"/>
          <w:sz w:val="22"/>
          <w:szCs w:val="28"/>
          <w:rtl w:val="1"/>
        </w:rPr>
        <w:t xml:space="preserve"> از سوی دولت ها با اجماع پذیرفته شد که در قلمرو حقوق نرم قرار دارد.</w:t>
      </w:r>
    </w:p>
    <w:p>
      <w:pPr>
        <w:bidi w:val="1"/>
        <w:spacing w:line="312" w:lineRule="auto" w:before="0" w:after="120"/>
        <w:ind w:firstLine="454"/>
        <w:jc w:val="both"/>
      </w:pPr>
      <w:r>
        <w:rPr>
          <w:rFonts w:ascii="Times New Roman" w:hAnsi="Times New Roman" w:cs="B Nazanin"/>
          <w:sz w:val="22"/>
          <w:szCs w:val="28"/>
          <w:rtl w:val="1"/>
        </w:rPr>
        <w:t>برخی بر این باورند که نام گذاری پیمان برای این سند به منظور حفاظت از محیط زیست و حکمرانی محیط زیستی از این منظر قابل قبول می نماید که تنظیم کنندگان درصدد درج اصول موجود در سایر اسناد و ترکیب آن با مقوله اخلاق و اعطای مشروعیت بیشتری به سند بودند و در این میان منافع دولت ها و جامعه مدنی توامان تامین گردد و هر دو در قبال مراقبت از سیستم زمین متعهد گردند. شواهدی در متن وجود دارد که حاکی از انتخاب آگاهانه پیمان است. ما در این سند شاهد حضور و مشارکت بازیگران غیردولتی و حتی درج این مطلب در پیش نویس - ماده 14 پیش نویس- هستیم. نکته قابل توجه این است که پیش نویس پیمان توسط جامعه مدنی خارج از سیستم تدوین معاهدات دولت محور تدوین و منتشر شده است. لذا، برای مشارکت جامعه مدنی در تعهدات البته نه به صورت رسمی، بلکه به صورت اخلاقی و توجه به نگرانی آن ها فراتر از نگرانی دولت ها به تنهایی،  اقتضا می نمود که عنوان سند متفاوت از اسناد دیگر حقوق بین الملل محیط زیست که در آن ها فقط دولت ها متعهد اصلی هستند و جوامع مدنی به رسمیت شناخته نشده اند، باشد. (منبع الزامی ست)</w:t>
      </w:r>
    </w:p>
    <w:p>
      <w:pPr>
        <w:pStyle w:val="Heading3"/>
        <w:bidi w:val="1"/>
        <w:spacing w:line="312" w:lineRule="auto" w:before="200" w:after="120"/>
        <w:jc w:val="right"/>
      </w:pPr>
      <w:r>
        <w:rPr>
          <w:rFonts w:ascii="Times New Roman" w:hAnsi="Times New Roman" w:cs="B Nazanin"/>
          <w:sz w:val="24"/>
          <w:szCs w:val="24"/>
          <w:rtl w:val="1"/>
          <w:b/>
          <w:bCs/>
          <w:color w:val="000000"/>
        </w:rPr>
        <w:t>۲-۳-۱-۲ جهانی</w:t>
      </w:r>
    </w:p>
    <w:p>
      <w:pPr>
        <w:bidi w:val="1"/>
        <w:spacing w:line="312" w:lineRule="auto" w:before="0" w:after="120"/>
        <w:ind w:firstLine="454"/>
        <w:jc w:val="both"/>
      </w:pPr>
      <w:r>
        <w:rPr>
          <w:rFonts w:ascii="Times New Roman" w:hAnsi="Times New Roman" w:cs="B Nazanin"/>
          <w:sz w:val="22"/>
          <w:szCs w:val="28"/>
          <w:rtl w:val="1"/>
        </w:rPr>
        <w:t>با در نظر گرفتن دامنه جغرافیایی یا صلاحیتی حقوق، حقوق بین الملل به یک دیدگاه جهانی یا فراملی تبدیل شده است. در این میان، حقوق بین الملل محیط زیست به دلیل خلاءهایش، پراکندگی و متدولوژی بخشی آن، مورد انتقاد قرار گرفته است. در این میان، هدف متعالی توافق بر سر یک سند الزام آور برای مجموعه حقوق بین الملل محیط زیست، انسجام زیرمجموعههای حقوق بین الملل محیط زیست را که منتهی به حفاظت از محیط زیست در سطح کلان خواهد شد، تضمین می کند. از آن جایی که  سند بنیادینی در حقوق بین الملل محیط زیست وجود ندارد، علاقه به اساسی گرایی</w:t>
      </w:r>
      <w:r>
        <w:rPr>
          <w:rStyle w:val="FootnoteReference"/>
          <w:rtl w:val="1"/>
        </w:rPr>
        <w:footnoteReference w:id="63"/>
      </w:r>
      <w:r>
        <w:rPr>
          <w:rFonts w:ascii="Times New Roman" w:hAnsi="Times New Roman" w:cs="B Nazanin"/>
          <w:sz w:val="22"/>
          <w:szCs w:val="28"/>
          <w:rtl w:val="1"/>
        </w:rPr>
        <w:t xml:space="preserve"> به منظور مفهوم سازی مجدد حقوق بین الملل محیط زیست و حکمرانی بین المللی محیط زیست مطرح گردید. در مقوله اساسی گرایی، توسعه و اجرا و اثربخشی درج حقوق، رویه ها و سیاست های محیط زیستی در قوانین اساسی سراسر جهان بررسی می گردد. از این رو، می توان پیمان جهانی محیط زیست را نیروی محرکه بالقوه برای تبدیل به قانون اساسی جهانی محیط زیست دانست. البته این امر ناشی از نیاز به توافق بر سر هنجار محیط زیستی یا هدف مشترک است. (Canovas,2020 ,42) لذا، به نظر می رسد واژه «جهانی» نیز با هدف قرار دادن وابستگی متقابل در برابر پراکندگی با تعمد به کار رفته است.</w:t>
      </w:r>
    </w:p>
    <w:p>
      <w:pPr>
        <w:bidi w:val="1"/>
        <w:spacing w:line="312" w:lineRule="auto" w:before="0" w:after="120"/>
        <w:ind w:firstLine="454"/>
        <w:jc w:val="both"/>
      </w:pPr>
      <w:r>
        <w:rPr>
          <w:rFonts w:ascii="Times New Roman" w:hAnsi="Times New Roman" w:cs="B Nazanin"/>
          <w:sz w:val="22"/>
          <w:szCs w:val="28"/>
          <w:rtl w:val="1"/>
        </w:rPr>
        <w:t>برخی از نویسندگان معتقدند که با توجه به شکست حکمرانی جهانی محیط زیست در راهبری اقدامات اقلیمی، سازماندهی مجدد هرج و مرج ناشی از کثرت هنجارهای مختلف و اغلب متناقض ضروری است. آن ها استدلال نموده اند که در فرض تصویب پیمان جهانی محیط زیست، شاهد خواهیم بود که پیمان جهانی محیط زیست با قوانین اساسی ملی پیوند برقرار خواهد کرد و با تقویت و تضمین جایگاه اصول در قوانین داخلی و همچنین تسهیل اجرای جهانی آن از طریق تعهدات قابل اجرا، «به عنوان عنصر قطعی تحول قانون اساسی در سراسر جهان ظاهر خواهد شد». باید در نظر داشت که تقلیل جایگاه پیمان جهانی محیط زیست به سندی در عرصه حقوق نرم، مانع چنین کارایی خواهد شد. (Ibid.,42)</w:t>
      </w:r>
    </w:p>
    <w:p>
      <w:pPr>
        <w:pStyle w:val="Heading3"/>
        <w:bidi w:val="1"/>
        <w:spacing w:line="312" w:lineRule="auto" w:before="200" w:after="120"/>
        <w:jc w:val="right"/>
      </w:pPr>
      <w:r>
        <w:rPr>
          <w:rFonts w:ascii="Times New Roman" w:hAnsi="Times New Roman" w:cs="B Nazanin"/>
          <w:sz w:val="24"/>
          <w:szCs w:val="24"/>
          <w:rtl w:val="1"/>
          <w:b/>
          <w:bCs/>
          <w:color w:val="000000"/>
        </w:rPr>
        <w:t>۲-۳-۱-۳ محیط زیست</w:t>
      </w:r>
    </w:p>
    <w:p>
      <w:pPr>
        <w:bidi w:val="1"/>
        <w:spacing w:line="312" w:lineRule="auto" w:before="0" w:after="120"/>
        <w:ind w:firstLine="454"/>
        <w:jc w:val="both"/>
      </w:pPr>
      <w:r>
        <w:rPr>
          <w:rFonts w:ascii="Times New Roman" w:hAnsi="Times New Roman" w:cs="B Nazanin"/>
          <w:sz w:val="22"/>
          <w:szCs w:val="28"/>
          <w:rtl w:val="1"/>
        </w:rPr>
        <w:t>انتخاب واژه «محیط زیست» به عنوان توصیف‌کننده این پیمان، اگرچه به ظاهر بی‌ضرر می‌رسد، اما از دو جنبه مناقشه برانگیز است. نخست، به عنوان یک مسئله مفهومی و ارزشی در تنظیم مقررات، انتقادات بسیاری به ایده «حفاظت از محیط زیست» وارد می‌شود که به طور سنتی شامل جنبه‌های خاصی مانند حفاظت از حیات وحش، کنترل آلودگی و مدیریت پسماند بوده و اغلب به صورت تصادفی هم این موارد را نادیده می‌گیرند. در کنار تلاش‌های معرفت شناختی که ما را به بازاندیشی در مورد مشکلات "محیط زیستی" به شیوه‌های جامع‌تر، متقابل و کل‌نگر ترغیب می‌کند، استدلال نموده اند که باید اصطلاح «محیط زیست» (و بار معنایی همراه آن از "توسعه پایدار") را کنار گذاشت، زیرا این اصطلاح تاریخچه‌ای پرچالش دارد و قادر نیست از نظر معنایی، مفهومی و معرفتی به نیازهای کنونی پاسخ دهد. (kotze and French,2018,819) برخی از نویسندگان «حقوق سیستم زمین و حاکمیت حقوق اکولوژی» را پیشنهاد می دهند. از نظر آن ها، دیدگاه «سیستم زمین» تنها به نگرانی های محیطی مربوط نمی شود، بلکه به طور گسترده به تمام جنبه های سیستم زمین مربوط می شود، از جمله جنبه های اجتماعی- اکولوژیکی پیچیده زمین که انسان ها نیز بخشی از آن هستند. از این رو در عنوان و مفاد آن می بایستی رویکرد سیستمی به زمین مشخص باشد. باید در نظر داشت که مفاهیم جدید باید بر شکل، محتوا و هدف حقوق بین الملل محیط زیست و حکمرانی جهانی محیط زیست تاثیر بگذارد. (Ibid,820) به عنوان مثال، گزارش دبیرکل در خصوص هماهنگی با طبیعت مقرر نموده است که «علم سیستم زمین راه را برای حکمرانی سیستم زمین، قوانین مبتنی بر زمین و اقتصاد مبتنی بر زمین هموار نموده است. هر یک از این تغییرات تکاملی، به صورت جداگانه و با هم ، مسیر جدیدی را برای ما به منظور تضمین رفاه سیاره و مردمانش نشان می دهد.» (A/69/322,2014, p3) دوم، از منظر اخلاقی و رویکرد انسان محور در حقوق بین الملل محیط زیست، اصطلاح «محیط زیست» اصطلاحی است که در سایر اسناد محیط زیستی هم چون اعلامیه های استکهلم و ریو، محور اصلی قرار داشت. این در حالی است که هر دو سند در گسترش مراقبت به دنیای غیرانسانی ناموفق بودند. ناگفته نماند که دولت ها تمایل بیشتری به حمایت از اسنادی با محتوایی دور از بوم محور</w:t>
      </w:r>
      <w:r>
        <w:rPr>
          <w:rStyle w:val="FootnoteReference"/>
          <w:rtl w:val="1"/>
        </w:rPr>
        <w:footnoteReference w:id="64"/>
      </w:r>
      <w:r>
        <w:rPr>
          <w:rFonts w:ascii="Times New Roman" w:hAnsi="Times New Roman" w:cs="B Nazanin"/>
          <w:sz w:val="22"/>
          <w:szCs w:val="28"/>
          <w:rtl w:val="1"/>
        </w:rPr>
        <w:t xml:space="preserve"> دارند. برخی از نویسندگان معتقدند که استفاده از کلماتی مانند «طبیعت» یا «زمین» که در عنوان «منشور جهانی طبیعت» و «منشور زمین» قرار دارد، حس کاملاً جدی‌تری از تقدس و قرارگیری انسان‌ها به عنوان بخشی از سیستم زمین را به آن ها القا می‌کند. چنانچه در عنوان پیش نویس این سند به زمین اشاره می شد، طی نمودن مسیر رسیدن به هدف مراقبت از سیستم زمین و حفاظت از یکپارچکی این سیستم هموارتر می شد. علاوه بر این، انتظار می رود که روندهای سیاسی و دیپلماتیک در هماهنگی با هم جلو بروند تا جایی که مجمع عمومی در اولین قطعنامه در خصوص «هماهنگی با طبیعت»، اذعان به پذیرش چارچوب های بوم محور</w:t>
      </w:r>
      <w:r>
        <w:rPr>
          <w:rStyle w:val="FootnoteReference"/>
          <w:rtl w:val="1"/>
        </w:rPr>
        <w:footnoteReference w:id="65"/>
      </w:r>
      <w:r>
        <w:rPr>
          <w:rFonts w:ascii="Times New Roman" w:hAnsi="Times New Roman" w:cs="B Nazanin"/>
          <w:sz w:val="22"/>
          <w:szCs w:val="28"/>
          <w:rtl w:val="1"/>
        </w:rPr>
        <w:t xml:space="preserve"> نموده است. (A/RES/64/196,2010, p.1) از این رو، پیشنهاد «پیمان جهانی برای زمین» یا «پیمان جهانی برای یکپارچکی سیستم زمین» مطرح گردید که حاکی از رویکرد علمی آگاهانه و در عین حال اخلاقی به منظور حل مشکلات اجتماعی- اکولوژیکی و هم چنین مبتنی بر بوم شناسی است و شامل دغدغه های انسانی و غیرانسانی می شود. (Kotze and French,2018,820) ارزیابی برخی بر این است که پیش نویس پیمان حتی از منظر عنوان نیز باعث ناهماهنگی میان آن چه ارائه می شود با آن چه که از منظر سیاسی، علمی و دیپلماتیک مورد نیاز است، می گردد. از این منظر هیچ پیشرفت قابل توجهی نسبت به اعلامیه های استکهلم و ریو صورت نگرفته است. (Ibid,821) در مقام توجیه می توان گفت، از آن جایی که کل ساختار حقوق بین الملل محیط زیست و حکمرانی محیط زیست بر اساس دو عنصر دولت محوری و انسان محوری با توجه به مفهوم توسعه پایدار هدایت می شود، به نظر می رسد که به کارگیری واژه محیط زیست برای این سند به منظور دوری از جاه طلبی برای دولت و انسان صورت گرفته است.</w:t>
      </w:r>
    </w:p>
    <w:p>
      <w:pPr>
        <w:bidi w:val="1"/>
        <w:spacing w:line="312" w:lineRule="auto" w:before="0" w:after="120"/>
        <w:ind w:firstLine="454"/>
        <w:jc w:val="both"/>
      </w:pPr>
      <w:r>
        <w:rPr>
          <w:rFonts w:ascii="Times New Roman" w:hAnsi="Times New Roman" w:cs="B Nazanin"/>
          <w:sz w:val="22"/>
          <w:szCs w:val="28"/>
          <w:rtl w:val="1"/>
        </w:rPr>
        <w:t>به عنوان تحلیل نهایی بر عنوان «پیمان جهانی محیط زیست» گفته شده است، در حالی که تاثیر مخرب فعالیت های انسانی بر محیط زیست به طور گسترده تایید شده است و اقدام در راستای حفاظت از محیط زیست همواره مورد ترغیب و تشویق قرار دارد، به نظر می رسد که پیش نویس فعلی پیمان جهانی محیط زیست بنیان محکمی برای استقرار رژیم حقوقی جدید با هدف تغییر پارادایم های مورد نیاز را ایجاد نمی کند. صرف به کارگیری کلمه جهانی در عنوان پیمان جهانی محیط زیست باعث پایه گذاری اساسیگرایی محیط زیست جهانی با استفاده از هنجارهای متعالی مندرج در آن نمی گردد. در حالی که پیمان ممکن است مبین حق بشر به داشتن محیط زیست سالم باشد، اما هم چنان نشانگر آسیب پذیری ها و بی عدالتی ها در ساختار نهادی اقتصادی – اجتماعی می باشد. در حالی که پیمان جهانی محیط زیست برای محیط زیست است، اما عاری از اخلاق طبیعت محوری و مراقبت های اجتماعی و اکولوژیکی است. بنابراین هیچ چیز به‌طور چشمگیری متفاوت از آنچه در حال حاضر وجود دارد را نشان نمی‌دهد. لذا، پتانسیل آن به ‌عنوان یک قانون اساسی محیط زیست جهانی به‌طور قطع منتفی است. (Canovas,2020 ,45)</w:t>
      </w:r>
    </w:p>
    <w:p>
      <w:pPr>
        <w:pStyle w:val="Heading3"/>
        <w:bidi w:val="1"/>
        <w:spacing w:line="312" w:lineRule="auto" w:before="200" w:after="120"/>
        <w:jc w:val="right"/>
      </w:pPr>
      <w:r>
        <w:rPr>
          <w:rFonts w:ascii="Times New Roman" w:hAnsi="Times New Roman" w:cs="B Nazanin"/>
          <w:sz w:val="24"/>
          <w:szCs w:val="24"/>
          <w:rtl w:val="1"/>
          <w:b/>
          <w:bCs/>
          <w:color w:val="000000"/>
        </w:rPr>
        <w:t>۲-۳-۲ موافقت نامه های چندجانبه محیط زیستی</w:t>
      </w:r>
    </w:p>
    <w:p>
      <w:pPr>
        <w:bidi w:val="1"/>
        <w:spacing w:line="312" w:lineRule="auto" w:before="0" w:after="120"/>
        <w:ind w:firstLine="454"/>
        <w:jc w:val="both"/>
      </w:pPr>
      <w:r>
        <w:rPr>
          <w:rFonts w:ascii="Times New Roman" w:hAnsi="Times New Roman" w:cs="B Nazanin"/>
          <w:sz w:val="22"/>
          <w:szCs w:val="28"/>
          <w:rtl w:val="1"/>
        </w:rPr>
        <w:t>موافقت نامه های چندجانبه محیط زیستی، معاهدات یا توافق نامه هایی هستند که میان چندین دولت مذاکره و شکل گرفته اند و به یک موضوع یا چالش خاص محیط زیستی می پردازند و از این رو بخشی</w:t>
      </w:r>
      <w:r>
        <w:rPr>
          <w:rStyle w:val="FootnoteReference"/>
          <w:rtl w:val="1"/>
        </w:rPr>
        <w:footnoteReference w:id="66"/>
      </w:r>
      <w:r>
        <w:rPr>
          <w:rFonts w:ascii="Times New Roman" w:hAnsi="Times New Roman" w:cs="B Nazanin"/>
          <w:sz w:val="22"/>
          <w:szCs w:val="28"/>
          <w:rtl w:val="1"/>
        </w:rPr>
        <w:t xml:space="preserve"> محسوب می شوند. این ها اسنادی الزام آورند که برای دولت ها تعهد حقوقی ایجاد می کنند. موافقت نامه های چندجانبه محیط زیستی تحت الشمول حقوق بین الملل معاهدات از منظر شکل گیری، تفسیر، فسخ و ... قرار دارند. تعریف کلی از معاهده همان است که در ماده (1)2 کنوانسیون حقوق معاهدات مصوب 1969 بدین شرح مقرر شده است: « معاهده عبارت است از یک توافق بین المللی که بین کشورها به صورت کتبی منعقد شده و مشمول حقوق بین الملل باشد، صرف نظر از عنوان خاص آن و اعم از اینکه در سندی واحد یا در دو یا چند سند مرتبط به هم منعکس شده باشد.»</w:t>
      </w:r>
    </w:p>
    <w:p>
      <w:pPr>
        <w:bidi w:val="1"/>
        <w:spacing w:line="312" w:lineRule="auto" w:before="0" w:after="120"/>
        <w:ind w:firstLine="454"/>
        <w:jc w:val="both"/>
      </w:pPr>
      <w:r>
        <w:rPr>
          <w:rFonts w:ascii="Times New Roman" w:hAnsi="Times New Roman" w:cs="B Nazanin"/>
          <w:sz w:val="22"/>
          <w:szCs w:val="28"/>
          <w:rtl w:val="1"/>
        </w:rPr>
        <w:t xml:space="preserve">اصطلاحات مختلفی برای نام گذاری آن ها به کار می رود: توافق نامه، کنوانسیون، منشور، میثاق، پروتکل، معاهده، چارچوب، پیمان  و ... . در حقوق بین الملل محیط زیست، از واژه کنوانسیون بیشتر استفاده می شود، مثل کنوانسیون تالاب ها، تنوع زیستی، بیابانزدایی، جیوه، تغییر اقلیم و ... .یکی از محورهای اساسی توافق کشورها در مذاکرات شکل گیری اسناد، همانا توافق بر سر عنوان و قصدشان بر نامگذاری سند می باشد. قابل توجه است که اصطلاحات استفاده شده برای تعیین وضعیت حقوقی بین المللی یک سند تعیین کننده نیست. برای اینکه یک توافق نامه از نظر حقوق بین الملل الزام آور باشد، باید قصد روشنی از سوی کشورهایی که سند را مذاکره و تدوین می کنند، وجود داشته باشد تا به آن از نظر حقوقی ملزم شوند. تمایل به التزام حقوقی معمولاً به این صورت نشان داده می شود که یک سند بین المللی شامل مقرراتی در خصوص امضا، تصویب، پذیرش یا الحاق باشد. علاوه بر این اسناد الزام آور شامل مقرراتی در خصوص لازم الاجرا شدن و تودیع اسناد تصویب هستند. (UNEP handbook,2024,p.33) اغلب موافقت نامه های چندجانبه محیط زیستی ساختار و عناصر بالقوه مشابهی دارند، آن چه مهم می نماید اهداف، تعهدات اصلی و اقدامات کنترلی </w:t>
      </w:r>
      <w:r>
        <w:rPr>
          <w:rStyle w:val="FootnoteReference"/>
          <w:rtl w:val="1"/>
        </w:rPr>
        <w:footnoteReference w:id="67"/>
      </w:r>
      <w:r>
        <w:rPr>
          <w:rFonts w:ascii="Times New Roman" w:hAnsi="Times New Roman" w:cs="B Nazanin"/>
          <w:sz w:val="22"/>
          <w:szCs w:val="28"/>
          <w:rtl w:val="1"/>
        </w:rPr>
        <w:t xml:space="preserve"> می باشد که خاص هر موضوعی خواهد بود. منظور از اقدامات کنترلی، مفادی از معاهده است که به طور خاص قصد پیشگیری، به حداقل رساندن یا جبران مشکلی را دارد که منجر به تدوین و تصویب آن معاهده گردیده است. گزینه های احتمالی برای شکل گیری موافقت نامه چندجانبه محیط زیستی به شرح زیر می باشند :</w:t>
      </w:r>
    </w:p>
    <w:p>
      <w:pPr>
        <w:bidi w:val="1"/>
        <w:spacing w:line="312" w:lineRule="auto" w:before="0" w:after="120"/>
        <w:ind w:firstLine="454"/>
        <w:jc w:val="both"/>
      </w:pPr>
      <w:r>
        <w:rPr>
          <w:rFonts w:ascii="Times New Roman" w:hAnsi="Times New Roman" w:cs="B Nazanin"/>
          <w:sz w:val="22"/>
          <w:szCs w:val="28"/>
          <w:rtl w:val="1"/>
        </w:rPr>
        <w:t>1.کنوانسیون چندجانبه و خاص</w:t>
      </w:r>
      <w:r>
        <w:rPr>
          <w:rStyle w:val="FootnoteReference"/>
          <w:rtl w:val="1"/>
        </w:rPr>
        <w:footnoteReference w:id="68"/>
      </w:r>
      <w:r>
        <w:rPr>
          <w:rFonts w:ascii="Times New Roman" w:hAnsi="Times New Roman" w:cs="B Nazanin"/>
          <w:sz w:val="22"/>
          <w:szCs w:val="28"/>
          <w:rtl w:val="1"/>
        </w:rPr>
        <w:t>، کنوانسیونی الزام آور با شمول طیف وسیعی از موضوعات مرتبط، با ماهیت تنظیم گری، تنظیم قواعد خاص و ایجاد تعهد مشخص و الزامی، دارای سازوکار گزارش دهی و تبادل اطلاعات، مکانیزم نظارتی، سازوکار حل و فصل اختلاف است. تعهدات اصلی و برخی اقدامات کنترلی در بدنه کنوانسیون ظاهر می‌شوند و ممکن است با اقدامات کنترلی اضافی، مانند اطلاعات فنی و جزئیات اساسی موجود در یک یا چند ضمیمه، تکمیل یا تشریح شوند که بخشی جدایی‌ناپذیر از سند محسوب می شوند. کنوانسیون از جمله ضمایم آن به عنوان یک سند واحد حقوقی لحاظ میگردد. ضمائم ممکن است بعد از تصویب و لازم الاجرا شدن کنوانسیون بازبینی گردد و ضمائم جدیدی نیز بعداً پذیرفته شود. به عنوان مثال می توان به «کنوانسیون استکهلم در مورد آلاینده های آلی پایدار»</w:t>
      </w:r>
      <w:r>
        <w:rPr>
          <w:rStyle w:val="FootnoteReference"/>
          <w:rtl w:val="1"/>
        </w:rPr>
        <w:footnoteReference w:id="69"/>
      </w:r>
      <w:r>
        <w:rPr>
          <w:rFonts w:ascii="Times New Roman" w:hAnsi="Times New Roman" w:cs="B Nazanin"/>
          <w:sz w:val="22"/>
          <w:szCs w:val="28"/>
          <w:rtl w:val="1"/>
        </w:rPr>
        <w:t xml:space="preserve"> و «کنوانسیون میناماتا در مورد جیوه»</w:t>
      </w:r>
      <w:r>
        <w:rPr>
          <w:rStyle w:val="FootnoteReference"/>
          <w:rtl w:val="1"/>
        </w:rPr>
        <w:footnoteReference w:id="70"/>
      </w:r>
      <w:r>
        <w:rPr>
          <w:rFonts w:ascii="Times New Roman" w:hAnsi="Times New Roman" w:cs="B Nazanin"/>
          <w:sz w:val="22"/>
          <w:szCs w:val="28"/>
          <w:rtl w:val="1"/>
        </w:rPr>
        <w:t xml:space="preserve"> اشاره نمود. (Ibid,p.34)</w:t>
      </w:r>
    </w:p>
    <w:p>
      <w:pPr>
        <w:bidi w:val="1"/>
        <w:spacing w:line="312" w:lineRule="auto" w:before="0" w:after="120"/>
        <w:ind w:firstLine="454"/>
        <w:jc w:val="both"/>
      </w:pPr>
      <w:r>
        <w:rPr>
          <w:rFonts w:ascii="Times New Roman" w:hAnsi="Times New Roman" w:cs="B Nazanin"/>
          <w:sz w:val="22"/>
          <w:szCs w:val="28"/>
          <w:rtl w:val="1"/>
        </w:rPr>
        <w:t>2. کنوانسیون چارچوبی</w:t>
      </w:r>
      <w:r>
        <w:rPr>
          <w:rStyle w:val="FootnoteReference"/>
          <w:rtl w:val="1"/>
        </w:rPr>
        <w:footnoteReference w:id="71"/>
      </w:r>
      <w:r>
        <w:rPr>
          <w:rFonts w:ascii="Times New Roman" w:hAnsi="Times New Roman" w:cs="B Nazanin"/>
          <w:sz w:val="22"/>
          <w:szCs w:val="28"/>
          <w:rtl w:val="1"/>
        </w:rPr>
        <w:t>، سند چندجانبه الزام آور با ماهیت سازنده، در مقام ایجاد سیستم کلی در خصوص حکمرانی بین المللی، بیانگر اصول اساسی همکاری های بین المللی در آینده از جمله اهداف، اصول کلیدی همکاری و ساختار حاکمیت همان چارچوب همکاری می باشد. پروتکل های الحاقی به کنوانسیون چارچوبی دارای ماهیت نظارتی و تعهدات جزئی تری هستند که از جنس کنوانسیون های خاص می باشند. امکان مذاکره هم زمان پروتکل ها با کنوانسیون چارچوبی و مذاکره متاخر آن ها وجود دارد. در این نوع سند، برخی یا همه اقدامات کنترلی در یک یا چندین سند مجزا در قالب پروتکل ظاهر می شود. کنوانسیون چارچوبی و پروتکل هایش از منظر حقوقی اسنادی جدا از هم تلقی می شوند که معمولاً نیز در کنفرانس های جداگانه پذیرفته می شوند. هر یک از این اسناد از نظر حقوقی اسناد جدا و مستقلی هستند. در این نوع سند، اعضای کنوانسیون چارچوبی الزامی به تصویب و الحاق و پذیرش پروتکل های الحاقی به کنوانسیون چارچوبی را ندارند. گاهی نیز ممکن است عنوان «کنوانسیون چارچوبی» در اسم کامل سند درج نشده باشد اما با تحلیل محتوای تعهدات و اقدامات کنترلی می توان به نوع آن پی برد. ویژگی قابل توجه کنوانسیون چارچوبی رویکرد تدریجی و گام به گام آن است. موفقیت کنوانسیون چارچوبی بسته به تداوم تمایل اعضای کنوانسیون اصلی به پذیرش پروتکل های متعاقب آن است. به عنوان مثال می توان به «کنوانسیون چارچوبی سازمان ملل در خصوص تغییر اقلیم و پروتکل کیوتو و موافقت نامه پاریس 2015»</w:t>
      </w:r>
      <w:r>
        <w:rPr>
          <w:rStyle w:val="FootnoteReference"/>
          <w:rtl w:val="1"/>
        </w:rPr>
        <w:footnoteReference w:id="72"/>
      </w:r>
      <w:r>
        <w:rPr>
          <w:rFonts w:ascii="Times New Roman" w:hAnsi="Times New Roman" w:cs="B Nazanin"/>
          <w:sz w:val="22"/>
          <w:szCs w:val="28"/>
          <w:rtl w:val="1"/>
        </w:rPr>
        <w:t xml:space="preserve">  و هم چنین «کنوانسیون وین برای حفاظت از لایه اوزن و پروتکل مونترال در خصوص مواد کاهنده لایه اوزن و اصلاحیههای آن»</w:t>
      </w:r>
      <w:r>
        <w:rPr>
          <w:rStyle w:val="FootnoteReference"/>
          <w:rtl w:val="1"/>
        </w:rPr>
        <w:footnoteReference w:id="73"/>
      </w:r>
      <w:r>
        <w:rPr>
          <w:rFonts w:ascii="Times New Roman" w:hAnsi="Times New Roman" w:cs="B Nazanin"/>
          <w:sz w:val="22"/>
          <w:szCs w:val="28"/>
          <w:rtl w:val="1"/>
        </w:rPr>
        <w:t xml:space="preserve"> اشاره نمود. ( UNEP/PP/INC.1/4, P1-8)</w:t>
      </w:r>
    </w:p>
    <w:p>
      <w:pPr>
        <w:bidi w:val="1"/>
        <w:spacing w:line="312" w:lineRule="auto" w:before="0" w:after="120"/>
        <w:ind w:firstLine="454"/>
        <w:jc w:val="both"/>
      </w:pPr>
      <w:r>
        <w:rPr>
          <w:rFonts w:ascii="Times New Roman" w:hAnsi="Times New Roman" w:cs="B Nazanin"/>
          <w:sz w:val="22"/>
          <w:szCs w:val="28"/>
          <w:rtl w:val="1"/>
        </w:rPr>
        <w:t>3.چارچوب برای همکاری بین المللی</w:t>
      </w:r>
      <w:r>
        <w:rPr>
          <w:rStyle w:val="FootnoteReference"/>
          <w:rtl w:val="1"/>
        </w:rPr>
        <w:footnoteReference w:id="74"/>
      </w:r>
      <w:r>
        <w:rPr>
          <w:rFonts w:ascii="Times New Roman" w:hAnsi="Times New Roman" w:cs="B Nazanin"/>
          <w:sz w:val="22"/>
          <w:szCs w:val="28"/>
          <w:rtl w:val="1"/>
        </w:rPr>
        <w:t>، چنین سندی در مقام تدوین دستورکار چندجانبه غیرالزام آور برای اقدامات هماهنگ در سطوح مختلف به منظور بهبود هنجارها و ظرفیت ها، ایجاد اصول و مدالیته های همکاری بین المللی و هم چنین فقدان تعهدات حقوقی می باشد. مثال آن را می توان «چارچوب سندای برای کاهش ریسک بلایا در بازه زمانی 2015 لغایت 2030»</w:t>
      </w:r>
      <w:r>
        <w:rPr>
          <w:rStyle w:val="FootnoteReference"/>
          <w:rtl w:val="1"/>
        </w:rPr>
        <w:footnoteReference w:id="75"/>
      </w:r>
      <w:r>
        <w:rPr>
          <w:rFonts w:ascii="Times New Roman" w:hAnsi="Times New Roman" w:cs="B Nazanin"/>
          <w:sz w:val="22"/>
          <w:szCs w:val="28"/>
          <w:rtl w:val="1"/>
        </w:rPr>
        <w:t xml:space="preserve"> معرفی کرد. (منبع الزامی است) </w:t>
      </w:r>
    </w:p>
    <w:p>
      <w:pPr>
        <w:pStyle w:val="Heading3"/>
        <w:bidi w:val="1"/>
        <w:spacing w:line="312" w:lineRule="auto" w:before="200" w:after="120"/>
        <w:jc w:val="right"/>
      </w:pPr>
      <w:r>
        <w:rPr>
          <w:rFonts w:ascii="Times New Roman" w:hAnsi="Times New Roman" w:cs="B Nazanin"/>
          <w:sz w:val="24"/>
          <w:szCs w:val="24"/>
          <w:rtl w:val="1"/>
          <w:b/>
          <w:bCs/>
          <w:color w:val="000000"/>
        </w:rPr>
        <w:t>۲-۳-۳ الزام آوری</w:t>
      </w:r>
    </w:p>
    <w:p>
      <w:pPr>
        <w:bidi w:val="1"/>
        <w:spacing w:line="312" w:lineRule="auto" w:before="0" w:after="120"/>
        <w:ind w:firstLine="454"/>
        <w:jc w:val="both"/>
      </w:pPr>
      <w:r>
        <w:rPr>
          <w:rFonts w:ascii="Times New Roman" w:hAnsi="Times New Roman" w:cs="B Nazanin"/>
          <w:sz w:val="22"/>
          <w:szCs w:val="28"/>
          <w:rtl w:val="1"/>
        </w:rPr>
        <w:t xml:space="preserve">تعهدات مندرج در یک موافقت نامه چندجانبه محیط زیستی خاص فقط برای کشورهایی که طرف موافقت نامه مورد نظر هستند، الزام آور است. هنگامی که یک کشور عضو موافقت نامه چندجانبه محیط زیستی شد، به طور رسمی در قبال جامعه بین المللی و دیگر کشورها به تعهدات مندرج در سند، متعهد می گردد و  انتظار می رود که قوانین و سیاست های ملی خود را به گونه ای توسعه دهد که به آن اجازه دهد تعهدات خودش را به موجب آن موافقت نامه با حسن نیت اجرا و مطابقت دهد. ویژگی الزام‌آوری موافقت‌نامه‌های چندجانبه محیط زیستی، نهادینه‌سازی تعهدات کشورها نسبت به حفاظت از محیط زیست و توسعه پایدار را تسهیل می‌کند. این تعهدات نه تنها به مسئولیت‌پذیری کشورها کمک می‌کند، بلکه زمینه‌ساز همکاری‌های بین‌المللی مؤثر در مقابل چالش‌های جهانی محیط زیست می‌شود. همانطور که پیشتر عنوان شد، برای شکل گیری یک توافق به موجب حقوق بین الملل و به شکل الزام آور، دولت ها باید به صورت صریح اراده و قصد خود را اعلام نمایند. در مواردی که دولت ها به دنبال تعهدات الزام آوری باشند، مقرره های مندرج در متن باید با استفاده از اصطلاحات اجباری مانند shall  و must نگارش گردد. (UNEP handbook,2024,p.34)   </w:t>
      </w:r>
    </w:p>
    <w:p>
      <w:pPr>
        <w:pStyle w:val="Heading3"/>
        <w:bidi w:val="1"/>
        <w:spacing w:line="312" w:lineRule="auto" w:before="200" w:after="120"/>
        <w:jc w:val="right"/>
      </w:pPr>
      <w:r>
        <w:rPr>
          <w:rFonts w:ascii="Times New Roman" w:hAnsi="Times New Roman" w:cs="B Nazanin"/>
          <w:sz w:val="24"/>
          <w:szCs w:val="24"/>
          <w:rtl w:val="1"/>
          <w:b/>
          <w:bCs/>
          <w:color w:val="000000"/>
        </w:rPr>
        <w:t>۲-۳-۴ حقوق نرم و سخت</w:t>
      </w:r>
    </w:p>
    <w:p>
      <w:pPr>
        <w:bidi w:val="1"/>
        <w:spacing w:line="312" w:lineRule="auto" w:before="0" w:after="120"/>
        <w:ind w:firstLine="454"/>
        <w:jc w:val="both"/>
      </w:pPr>
      <w:r>
        <w:rPr>
          <w:rFonts w:ascii="Times New Roman" w:hAnsi="Times New Roman" w:cs="B Nazanin"/>
          <w:sz w:val="22"/>
          <w:szCs w:val="28"/>
          <w:rtl w:val="1"/>
        </w:rPr>
        <w:t>در حقوق بین الملل محیط زیست و به طور کلی حقوق بین الملل، اصطلاحات حقوق سخت</w:t>
      </w:r>
      <w:r>
        <w:rPr>
          <w:rStyle w:val="FootnoteReference"/>
          <w:rtl w:val="1"/>
        </w:rPr>
        <w:footnoteReference w:id="76"/>
      </w:r>
      <w:r>
        <w:rPr>
          <w:rFonts w:ascii="Times New Roman" w:hAnsi="Times New Roman" w:cs="B Nazanin"/>
          <w:sz w:val="22"/>
          <w:szCs w:val="28"/>
          <w:rtl w:val="1"/>
        </w:rPr>
        <w:t xml:space="preserve"> و حقوق نرم</w:t>
      </w:r>
      <w:r>
        <w:rPr>
          <w:rStyle w:val="FootnoteReference"/>
          <w:rtl w:val="1"/>
        </w:rPr>
        <w:footnoteReference w:id="77"/>
      </w:r>
      <w:r>
        <w:rPr>
          <w:rFonts w:ascii="Times New Roman" w:hAnsi="Times New Roman" w:cs="B Nazanin"/>
          <w:sz w:val="22"/>
          <w:szCs w:val="28"/>
          <w:rtl w:val="1"/>
        </w:rPr>
        <w:t xml:space="preserve"> به کار می رود. حقوق سخت، به تعهداتی اطلاق می شود که به موجب حقوق بین الملل الزام آور هستند. لذا، برای توصیف ماهیت الزام آوری موافقت نامه ها یا مقرره های مختلف به کار می رود. این تعهدات در معاهدات، موافقت نامه ها، کنوانسیون ها و پروتکل های بین المللی درج می شوند. به عنوان یک قاعده کلی، مقرره های معاهده بر تمام اعضای آن سند الزام آور است، مگر اینکه یکی از طرف ها نسبت به آن حق شرط اعمال کرده باشد. خاطر نشان می گردد، اکثر موافقت نامه های چندجانبه محیط زیستی اعمال حق شرط را ممنوع نموده اند. ماده (1) 38 اساسنامه دیوان بین المللی دادگستری نقش مهمی در تعیین منابع الزام آور حقوق بین الملل از طریق تعریف فهرست منابع حقوق بین الملل که دیوان هنگام حل و فصل پرونده های ارجاعی باید در نظر بگیرد، ایفا می کند. این فهرست شامل 3 منبع اصلی معاهدات، حقوق بین الملل عرفی و اصول کلی حقوق است. البته این فهرست جامع نیست. حسب رویه دیوان بین المللی دادگستری، برخی اعلامیههای یک جانبه دولت ها نیز از منابع الزام آور حقوق بین الملل به حساب می آیند. با این اوصاف، توجه به این نکته مهم است که در حالی که موافقت نامه های چندجانبه محیط زیستی جزء اسناد حقوق سخت هستند، اما می توانند هنجارهای نرم با ترکیبی از تعهدات و رویکردهای داوطلبانه را شامل شوند. این امر باعث انعطاف پذیری بیشتر سند در قبال اعضا می گردد. این موضوع نیز خود به دلیل تشتت آراء مذاکره کنندگان بر سر درج تعهدی خاص و به طور هم زمان تلاش برای دستیابی به اجماع به وقوع می پیوندد. </w:t>
      </w:r>
    </w:p>
    <w:p>
      <w:pPr>
        <w:bidi w:val="1"/>
        <w:spacing w:line="312" w:lineRule="auto" w:before="0" w:after="120"/>
        <w:ind w:firstLine="454"/>
        <w:jc w:val="both"/>
      </w:pPr>
      <w:r>
        <w:rPr>
          <w:rFonts w:ascii="Times New Roman" w:hAnsi="Times New Roman" w:cs="B Nazanin"/>
          <w:sz w:val="22"/>
          <w:szCs w:val="28"/>
          <w:rtl w:val="1"/>
        </w:rPr>
        <w:t xml:space="preserve">در خصوص اجرای موافقت نامه های چندجانبه محیط زیستی در قالب حقوق سخت، مکانیسم های اجرای آن ها عموماً ماهیت تسهیلگرانه دارد، نه اجباری و تنبیهی.  این رویکرد نرم در قبال اجرای موافقت نامه های چندجانبه محیط زیستی به منظور تشویق مشارکت گسترده تر و اقدام جمعی، به ویژه در خصوص کنوانسیون های چارچوبی، به کار می رود؛ چرا که هدف اساسی این اسناد فراهم سازی بستر فراگیری برای گفتگو و تصمیم گیری است.  (UNEP handbook,2024,p.36) </w:t>
      </w:r>
    </w:p>
    <w:p>
      <w:pPr>
        <w:bidi w:val="1"/>
        <w:spacing w:line="312" w:lineRule="auto" w:before="0" w:after="120"/>
        <w:ind w:firstLine="454"/>
        <w:jc w:val="both"/>
      </w:pPr>
      <w:r>
        <w:rPr>
          <w:rFonts w:ascii="Times New Roman" w:hAnsi="Times New Roman" w:cs="B Nazanin"/>
          <w:sz w:val="22"/>
          <w:szCs w:val="28"/>
          <w:rtl w:val="1"/>
        </w:rPr>
        <w:t>در این میان، حقوق نرم را می توان به عنوان دسته ای از هنجارها، اصول، موافقت نامه ها و رویه های بین المللی توصیف کرد که فاقد ماهیت الزام آوری هستند. اسنادی که معمولاً به عنوان حقوق نرم لحاظ می شوند شامل اغلب قطعنامه های سازمان های بین المللی، اعلامیه کنفرانس های بین المللی، رفتارنامه های داوطلبانه و هم چنین تصمیم های ارکان حاکم در کنفرانس اعضای موافقت نامه های چندجانبه محیط زیستی می باشند. در حالی که حقوق نرم تعهدات الزام آوری برای دولت ها ایجاد نمی کند، اما هم چنان می تواند تاثیرات هنجاری و عملی در حقوق بین الملل داشته باشد. دیوان بین المللی دادگستری در رویه قضایی خود نشان داده است که اسناد حقوق نرم می توانند آثار حقوقی داشته باشند. برای مثال ممکن است در تفسیر معاهده به روشن شدن قصد اعضا کمک نماید. اسناد حقوق نرم هم چنین می توانند شاهدی بر وجود حقوق بین الملل عرفی از نظر رویه دولت و باور حقوقی باشند . (Ibid,p.37-38)</w:t>
      </w:r>
    </w:p>
    <w:p>
      <w:pPr>
        <w:bidi w:val="1"/>
        <w:spacing w:line="312" w:lineRule="auto" w:before="0" w:after="120"/>
        <w:ind w:firstLine="454"/>
        <w:jc w:val="both"/>
      </w:pPr>
      <w:r>
        <w:rPr>
          <w:rFonts w:ascii="Times New Roman" w:hAnsi="Times New Roman" w:cs="B Nazanin"/>
          <w:sz w:val="22"/>
          <w:szCs w:val="28"/>
          <w:rtl w:val="1"/>
        </w:rPr>
        <w:t>در مقام تحلیل ماهیت حقوق نرم و تاثیر حقوق نرم می توان گقت این موضوع، موضوعی پیچیده و در حال تحول در حقوق بین الملل و هم چنان موضوع بحث محققان حقوق بین الملل است. در عرصه حقوق بین الملل محیط زیست، حقوق نرم نقش مهمی در توسعه آن داشته است. به عنوان مثال، اسناد غیرالزام آوری نظیر اعلامیه استکهلم و اعلامیه ریو تاثیر عمیقی بر توسعه حقوق بین الملل محیط زیست داشته اند. آن ها شامل هنجارهایی هستند که متعاقباً به هنجارهای حقوق بین الملل عرفی تبدیل شده اند. از این رو، اسناد و هنجارهای حقوق نرم می توانند در حوزه حقوق بین الملل محیط زیست بسیار تاثیرگذار باشند. آن ها می توانند به عنوان کاتالیزوری برای توسعه هنجارهای الزام آور عمل کنند. چراکه دستیابی به توافق بر سر یک سند حقوق نرم برای کشورها آسان تر از حقوق سخت است. حقوق نرم بستری را برای کشورها فراهم می کند تا در مورد اهداف و اصول مشترک مرتبط با حفاظت از محیط زیست و پایداری به توافق برسند. اسناد حقوق نرم می توانند روند ایجاد اجماع بین کشورها را تسهیل کنند و به رفع خلاءهای موجود در مذاکرات و ایجاد درک مشترکی از چالش های محیط زیستی کمک کند. بنابراین، حقوق نرم می تواند به عنوان نقطه شروعی برای مذاکرات رسمی حقوق سخت عمل نماید. به همین دلیل نیز اغلب اسناد حقوق نرم با دقت خاصی مذاکره می شوند.</w:t>
      </w:r>
    </w:p>
    <w:p>
      <w:pPr>
        <w:pStyle w:val="Heading3"/>
        <w:bidi w:val="1"/>
        <w:spacing w:line="312" w:lineRule="auto" w:before="200" w:after="120"/>
        <w:jc w:val="right"/>
      </w:pPr>
      <w:r>
        <w:rPr>
          <w:rFonts w:ascii="Times New Roman" w:hAnsi="Times New Roman" w:cs="B Nazanin"/>
          <w:sz w:val="24"/>
          <w:szCs w:val="24"/>
          <w:rtl w:val="1"/>
          <w:b/>
          <w:bCs/>
          <w:color w:val="000000"/>
        </w:rPr>
        <w:t>۲-۳-۵ آینده پژوهی</w:t>
      </w:r>
    </w:p>
    <w:p>
      <w:pPr>
        <w:bidi w:val="1"/>
        <w:spacing w:line="312" w:lineRule="auto" w:before="0" w:after="120"/>
        <w:ind w:firstLine="454"/>
        <w:jc w:val="both"/>
      </w:pPr>
      <w:r>
        <w:rPr>
          <w:rFonts w:ascii="Times New Roman" w:hAnsi="Times New Roman" w:cs="B Nazanin"/>
          <w:sz w:val="22"/>
          <w:szCs w:val="28"/>
          <w:rtl w:val="1"/>
        </w:rPr>
        <w:t xml:space="preserve">آینده پژوهی </w:t>
      </w:r>
      <w:r>
        <w:rPr>
          <w:rStyle w:val="FootnoteReference"/>
          <w:rtl w:val="1"/>
        </w:rPr>
        <w:footnoteReference w:id="78"/>
      </w:r>
      <w:r>
        <w:rPr>
          <w:rFonts w:ascii="Times New Roman" w:hAnsi="Times New Roman" w:cs="B Nazanin"/>
          <w:sz w:val="22"/>
          <w:szCs w:val="28"/>
          <w:rtl w:val="1"/>
        </w:rPr>
        <w:t xml:space="preserve"> مجموعه تلاش ‌هایی است که با استفاده از تجزیه و تحلیل منابع، الگو‌ها و روندها به پیش بینی آینده‌های بالقوه و برنامه ریزی برای آن ها می‌پردازد. کلمه جمع «آینده ها» در این اصطلاح به این دلیل استفاده شده‌ است که با بهره گیری از طیف وسیعی از متدلوژی‌ها و به جای تصور «فقط یک آینده»، به گمانه زنی‌های سیستماتیک در مورد «چندین آینده متصور» مبادرت می‌شود. آینده پژوهی پیش بینی علمی آینده یا هنر شکل دادن به آینده و شکل بخشیدن به قدرت‏ های سیاسی، نظامی، اقتصادی، اجتماعی، فرهنگی و ... می‏ باشد. آینده پژوهی بدون مطالعه وضعیت موجود و پی بردن به ایرادات و کمبودها و نواقص آن وضعیت و نقد آن ممکن نیست. تا حدود زیادی آینده متأثر از افعال و اعمال انسان امروز است. در آینده ‏پژوهی پژوهشگر به مطالعه نظام‏ مند آینده‏ های ممکن، محتمل و مرجح (مطلوب) و دیدگاه‏ ها و جهان‏بینی‏ ها و اسطوره‏ های بنیادین هر آینده می پردازد. انواع آینده از منظر آینده پژوهی عبارتند از :</w:t>
      </w:r>
    </w:p>
    <w:p>
      <w:pPr>
        <w:bidi w:val="1"/>
        <w:spacing w:line="312" w:lineRule="auto" w:before="0" w:after="120"/>
        <w:ind w:firstLine="454"/>
        <w:jc w:val="both"/>
      </w:pPr>
      <w:r>
        <w:rPr>
          <w:rFonts w:ascii="Times New Roman" w:hAnsi="Times New Roman" w:cs="B Nazanin"/>
          <w:sz w:val="22"/>
          <w:szCs w:val="28"/>
          <w:rtl w:val="1"/>
        </w:rPr>
        <w:t>آينده هاي ممكن</w:t>
      </w:r>
      <w:r>
        <w:rPr>
          <w:rStyle w:val="FootnoteReference"/>
          <w:rtl w:val="1"/>
        </w:rPr>
        <w:footnoteReference w:id="79"/>
      </w:r>
      <w:r>
        <w:rPr>
          <w:rFonts w:ascii="Times New Roman" w:hAnsi="Times New Roman" w:cs="B Nazanin"/>
          <w:sz w:val="22"/>
          <w:szCs w:val="28"/>
          <w:rtl w:val="1"/>
        </w:rPr>
        <w:t>: تمام آينده هايي كه مي تواند محقق شود و درک تمامی آن ها متناقض با علم و دانش فعلي بشر است. به عبارت دیگر، در نظر گرفتن کلیه رویدادها اعم از بد، خوب، محتمل و یا ضعیف الامکان که می تواند در آینده اتفاق بیفتد؛</w:t>
      </w:r>
    </w:p>
    <w:p>
      <w:pPr>
        <w:bidi w:val="1"/>
        <w:spacing w:line="312" w:lineRule="auto" w:before="0" w:after="120"/>
        <w:ind w:firstLine="454"/>
        <w:jc w:val="both"/>
      </w:pPr>
      <w:r>
        <w:rPr>
          <w:rFonts w:ascii="Times New Roman" w:hAnsi="Times New Roman" w:cs="B Nazanin"/>
          <w:sz w:val="22"/>
          <w:szCs w:val="28"/>
          <w:rtl w:val="1"/>
        </w:rPr>
        <w:t xml:space="preserve"> آينده هاي باوركردني</w:t>
      </w:r>
      <w:r>
        <w:rPr>
          <w:rStyle w:val="FootnoteReference"/>
          <w:rtl w:val="1"/>
        </w:rPr>
        <w:footnoteReference w:id="80"/>
      </w:r>
      <w:r>
        <w:rPr>
          <w:rFonts w:ascii="Times New Roman" w:hAnsi="Times New Roman" w:cs="B Nazanin"/>
          <w:sz w:val="22"/>
          <w:szCs w:val="28"/>
          <w:rtl w:val="1"/>
        </w:rPr>
        <w:t xml:space="preserve"> ، با باورهاي انسان سازگارند و منطبق با اصول و دانش امروزي ما هستند؛</w:t>
      </w:r>
    </w:p>
    <w:p>
      <w:pPr>
        <w:bidi w:val="1"/>
        <w:spacing w:line="312" w:lineRule="auto" w:before="0" w:after="120"/>
        <w:ind w:firstLine="454"/>
        <w:jc w:val="both"/>
      </w:pPr>
      <w:r>
        <w:rPr>
          <w:rFonts w:ascii="Times New Roman" w:hAnsi="Times New Roman" w:cs="B Nazanin"/>
          <w:sz w:val="22"/>
          <w:szCs w:val="28"/>
          <w:rtl w:val="1"/>
        </w:rPr>
        <w:t xml:space="preserve"> آيندههاي محتمل</w:t>
      </w:r>
      <w:r>
        <w:rPr>
          <w:rStyle w:val="FootnoteReference"/>
          <w:rtl w:val="1"/>
        </w:rPr>
        <w:footnoteReference w:id="81"/>
      </w:r>
      <w:r>
        <w:rPr>
          <w:rFonts w:ascii="Times New Roman" w:hAnsi="Times New Roman" w:cs="B Nazanin"/>
          <w:sz w:val="22"/>
          <w:szCs w:val="28"/>
          <w:rtl w:val="1"/>
        </w:rPr>
        <w:t xml:space="preserve"> روند محور هستند. بنابراین احتمال وقوع آن ها همواره وجود دارد. به عبارت دیگر، در نظر گرفتن رویدادهایی که بیشترین احتمال را برای وقوع در آینده دارند. این رویدادها میتوانند به صورت بسط روندهای گذشته در آینده به طرق مختلف در نظر گرفته شوند؛</w:t>
      </w:r>
    </w:p>
    <w:p>
      <w:pPr>
        <w:bidi w:val="1"/>
        <w:spacing w:line="312" w:lineRule="auto" w:before="0" w:after="120"/>
        <w:ind w:firstLine="454"/>
        <w:jc w:val="both"/>
      </w:pPr>
      <w:r>
        <w:rPr>
          <w:rFonts w:ascii="Times New Roman" w:hAnsi="Times New Roman" w:cs="B Nazanin"/>
          <w:sz w:val="22"/>
          <w:szCs w:val="28"/>
          <w:rtl w:val="1"/>
        </w:rPr>
        <w:t xml:space="preserve"> آينده هاي مطلوب</w:t>
      </w:r>
      <w:r>
        <w:rPr>
          <w:rStyle w:val="FootnoteReference"/>
          <w:rtl w:val="1"/>
        </w:rPr>
        <w:footnoteReference w:id="82"/>
      </w:r>
      <w:r>
        <w:rPr>
          <w:rFonts w:ascii="Times New Roman" w:hAnsi="Times New Roman" w:cs="B Nazanin"/>
          <w:sz w:val="22"/>
          <w:szCs w:val="28"/>
          <w:rtl w:val="1"/>
        </w:rPr>
        <w:t xml:space="preserve"> آن دسته از آینده هایی هستند که براي ما مطلوبند و بر خلاف سه نوع ديگر كه دانش شناختي اند</w:t>
      </w:r>
      <w:r>
        <w:rPr>
          <w:rStyle w:val="FootnoteReference"/>
          <w:rtl w:val="1"/>
        </w:rPr>
        <w:footnoteReference w:id="83"/>
      </w:r>
      <w:r>
        <w:rPr>
          <w:rFonts w:ascii="Times New Roman" w:hAnsi="Times New Roman" w:cs="B Nazanin"/>
          <w:sz w:val="22"/>
          <w:szCs w:val="28"/>
          <w:rtl w:val="1"/>
        </w:rPr>
        <w:t xml:space="preserve"> ، اين ها برانگيزاننده، ارزشي و ذهن گرا</w:t>
      </w:r>
      <w:r>
        <w:rPr>
          <w:rStyle w:val="FootnoteReference"/>
          <w:rtl w:val="1"/>
        </w:rPr>
        <w:footnoteReference w:id="84"/>
      </w:r>
      <w:r>
        <w:rPr>
          <w:rFonts w:ascii="Times New Roman" w:hAnsi="Times New Roman" w:cs="B Nazanin"/>
          <w:sz w:val="22"/>
          <w:szCs w:val="28"/>
          <w:rtl w:val="1"/>
        </w:rPr>
        <w:t xml:space="preserve"> هستند و ماهیت عيني گرا</w:t>
      </w:r>
      <w:r>
        <w:rPr>
          <w:rStyle w:val="FootnoteReference"/>
          <w:rtl w:val="1"/>
        </w:rPr>
        <w:footnoteReference w:id="85"/>
      </w:r>
      <w:r>
        <w:rPr>
          <w:rFonts w:ascii="Times New Roman" w:hAnsi="Times New Roman" w:cs="B Nazanin"/>
          <w:sz w:val="22"/>
          <w:szCs w:val="28"/>
          <w:rtl w:val="1"/>
        </w:rPr>
        <w:t xml:space="preserve">  ندارند؛ (حیدری، 1393، 86) </w:t>
      </w:r>
    </w:p>
    <w:p>
      <w:pPr>
        <w:bidi w:val="1"/>
        <w:spacing w:line="312" w:lineRule="auto" w:before="0" w:after="120"/>
        <w:ind w:firstLine="454"/>
        <w:jc w:val="both"/>
      </w:pPr>
      <w:r>
        <w:rPr>
          <w:rFonts w:ascii="Times New Roman" w:hAnsi="Times New Roman" w:cs="B Nazanin"/>
          <w:sz w:val="22"/>
          <w:szCs w:val="28"/>
          <w:rtl w:val="1"/>
        </w:rPr>
        <w:t>هدف اصلی در یک بررسی آینده نگر، تبدیل آینده مطلوب به آینده محتمل است که این مهم با تجسم شفاف از آن چه می خواهیم خلق کنیم و سپس تخصیص منابع، انرژی، زمان و ... در جهت خلق آن میسر خواهد شد. هدف دیگر بررسی آینده نگر، توجه کردن به حالت های ممکن برای آینده است که ممکن است محتمل نباشند. این امر هوشیاری بالایی را می طلبد. ( طباطبایی یزدی و محمودی، 1385، 21) «الگوی رایج  آینده پژوهی در مطالعات اجتماعی و از جمله حقوق بین الملل و روابط بین الملل، مطالعه روندها و رویدادهای گذشته و حال و سپس گسترش روندها و رویدادهای موثر در گذشته و حال به آینده ای نزدیک است، چیزی که از آن با عنوان الگوی امتداد حال</w:t>
      </w:r>
      <w:r>
        <w:rPr>
          <w:rStyle w:val="FootnoteReference"/>
          <w:rtl w:val="1"/>
        </w:rPr>
        <w:footnoteReference w:id="86"/>
      </w:r>
      <w:r>
        <w:rPr>
          <w:rFonts w:ascii="Times New Roman" w:hAnsi="Times New Roman" w:cs="B Nazanin"/>
          <w:sz w:val="22"/>
          <w:szCs w:val="28"/>
          <w:rtl w:val="1"/>
        </w:rPr>
        <w:t xml:space="preserve"> یاد می شود. امتداد حال، زمان حال را به آینده گسترش می دهد. الگوی امتداد حال شیوه ای کاربردی در ترسیم آینده های محتمل است و از آن جا که به جای یک پیش بینی محتوم، به ترسیم چند آینده محتمل از میان انبوه آینده های ممکن می پردازد، تکامل یافته تر است. در این الگو، ابتدا با رویکردی استقرائی – جزء به کل- از طیف گسترده آینده های ممکن به چند آینده محدود اما محتمل می رسند و سپس امکان سناریوسازی از آینده های محتمل  را فراهم می کند.» (موسوی نیا، 1398، 166)</w:t>
      </w:r>
    </w:p>
    <w:p>
      <w:pPr>
        <w:bidi w:val="1"/>
        <w:spacing w:line="312" w:lineRule="auto" w:before="0" w:after="120"/>
        <w:ind w:firstLine="454"/>
        <w:jc w:val="both"/>
      </w:pPr>
      <w:r>
        <w:rPr>
          <w:rFonts w:ascii="Times New Roman" w:hAnsi="Times New Roman" w:cs="B Nazanin"/>
          <w:sz w:val="22"/>
          <w:szCs w:val="28"/>
          <w:rtl w:val="1"/>
        </w:rPr>
        <w:t>در عالم حقوق، اصولاً قواعد حقوقی براساس وضع موجود که حاصل وضع گذشته و حال است، تدوین می‌شوند و ناظر به آینده هستند. یعنی گذشته چراغ راه آینده می‌شود. به بیان دیگر، وضع قاعده در حال بر اساس شرایط موجود و اجرای آن در آینده است. قواعد حقوقی باید آینده نگر و رو به سوی آینده داشته باشند. در عرصه حقوق بین الملل، هیچ کس نمی‌تواند به طور قطع و یقین آینده آن را پیش بینی کند، آن هم در دوره ای که استفاده از این شاخه از حقوق برای درک روابط بین الملل روز به روز پیچیده تر می شود و در نتیجه، ضریب خطای پیش بینی ها بالاتر خواهد بود. البته این پیچیدگی ها که نتیجه دیدگاه های متغیر است، نباید مانع از توجه به تحولات شگرفی شود که حقوق بین الملل در سال های اخیر تجربه کرده است. قطعاً بررسی و تحلیل چالش ها و تغییرات اجتماعی یکی از روش‌های راهبردی توسعه حقوق بین الملل است، چرا که حقوق بین الملل و ساختار اجتماعی بنیادین آن، به شدت در هم تنیده شده اند. حقوق بین الملل بارها ثابت کرده است که برای تطبیق با تغییرات، انعطاف کافی دارد. حقوق بین الملل تمایل دارد تا خود را با پیشرفت ها و تحولات اجتماعی و هنجاری وفق دهد. یکی از نتایج پیچیدگی حقوق بین الملل و چالش برانگیر شدن بیشتر آن که نیاز به آینده پژوهی دارد، حرکت این رشته به سمت تخصص گرایی بیشتر است. از سوی دیگر پراکندگی مجامع بین المللی ضربه بزرگی را بر یکپارچگی نظم حقوقی بین المللی وارد کرده است، آن هم در نظامی که در آن هیچ نوع سلسله مراتب حقوقی وجود ندارد. تخصص گرایی رو به تزاید همراه با پراکندگی و توسعه روز افزون مجامع بین المللی، جامعه بین المللی را دچار سردرگمی و نگرانی هایی را برای حقوقدانان بین المللی ایجاد کرده است. فقدان اقتدار مرکزی در حقوق بین الملل چالش دیگری است که نیاز به آینده پژوهی دارد، چرا که در یک نظام هنجاری کاملاً پیچیده، بدون یک اقتدار مرکزی مسائلی نظیر عدم هماهنگی و تعارض بین اجزای آن نظام پیش خواهد آمد و راه حل آن ها لزوماً و همیشه یکسان نخواهد بود. برخی از صاحب نظران حقوق بین الملل بر جنبه های متنوع ظهور یک نظم اساسی در حقوق بین الملل بر مبنای نظریه اساسی سازی</w:t>
      </w:r>
      <w:r>
        <w:rPr>
          <w:rStyle w:val="FootnoteReference"/>
          <w:rtl w:val="1"/>
        </w:rPr>
        <w:footnoteReference w:id="87"/>
      </w:r>
      <w:r>
        <w:rPr>
          <w:rFonts w:ascii="Times New Roman" w:hAnsi="Times New Roman" w:cs="B Nazanin"/>
          <w:sz w:val="22"/>
          <w:szCs w:val="28"/>
          <w:rtl w:val="1"/>
        </w:rPr>
        <w:t xml:space="preserve"> تأکید کرده اند و واضح ترین نمونه موجود را در این مسیر، تلقی منشور ملل متحد به عنوان قانون اساسی بین المللی می دانند که به صورت برجسته ای تنها سند بین المللی است که به مدل یک قانون اساسی شباهت دارد. (ضیائی بیگدلی، 1402، 5-1) در خصوص عنوان رساله حاضر نیز، از یک سو، بسیاری از طرفداران شکل گیری پیمان جهانی محیط زیست به دنبال معرفی آن به عنوان قانون اساسی حقوق بین الملل محیط زیست هستند که در فصل مربوطه به آن می پردازم. از سوی دیگر، در فصل چهارم، اثرات احتمالی شکل گیری پیمان جهانی محیط زیست را بر موافقت نامه های چندجانبه محیط زیست با رویکرد آینده پژوهی تجزیه و تحلیل خواهد شد. اهمیت رویکرد آینده پژوهی در این رساله زمانی مشهودتر است که می بینیم که محیط زیست یکی از شاخه های اصلی و مورد توجه برای مطالعات آینده ذیل عنوان ارزیابی اثرات محیطی</w:t>
      </w:r>
      <w:r>
        <w:rPr>
          <w:rStyle w:val="FootnoteReference"/>
          <w:rtl w:val="1"/>
        </w:rPr>
        <w:footnoteReference w:id="88"/>
      </w:r>
      <w:r>
        <w:rPr>
          <w:rFonts w:ascii="Times New Roman" w:hAnsi="Times New Roman" w:cs="B Nazanin"/>
          <w:sz w:val="22"/>
          <w:szCs w:val="28"/>
          <w:rtl w:val="1"/>
        </w:rPr>
        <w:t xml:space="preserve">  است. در این روش به بررسی نوع و چگونگی تاثیر پیشرفت های انجام شده در زمینه های مختلف روی محیط زیست می پردازد.  هدف در این گرایش، کاهش حداکثری میزان خسارات و آسیب های وارده به محیط زیست است. </w:t>
      </w:r>
    </w:p>
    <w:p>
      <w:pPr>
        <w:bidi w:val="1"/>
        <w:spacing w:line="312" w:lineRule="auto" w:before="0" w:after="120"/>
        <w:ind w:firstLine="454"/>
        <w:jc w:val="both"/>
      </w:pPr>
      <w:r>
        <w:rPr>
          <w:rFonts w:ascii="Times New Roman" w:hAnsi="Times New Roman" w:cs="B Nazanin"/>
          <w:sz w:val="22"/>
          <w:szCs w:val="28"/>
          <w:rtl w:val="1"/>
        </w:rPr>
        <w:t>نتیجه گیری فصل دوم</w:t>
      </w:r>
    </w:p>
    <w:p>
      <w:pPr>
        <w:bidi w:val="1"/>
        <w:spacing w:line="312" w:lineRule="auto" w:before="0" w:after="120"/>
        <w:ind w:firstLine="454"/>
        <w:jc w:val="both"/>
      </w:pPr>
      <w:r>
        <w:rPr>
          <w:rFonts w:ascii="Times New Roman" w:hAnsi="Times New Roman" w:cs="B Nazanin"/>
          <w:sz w:val="22"/>
          <w:szCs w:val="28"/>
          <w:rtl w:val="1"/>
        </w:rPr>
        <w:t>در مقام تحلیل آن چه تاکنون گذشت می توان گفت، طرح این ابتکار و طی این فرایند نشان دهنده  مرحله جدیدی در تحول حقوق بین الملل محیط زیست در زمان سالگرد اسناد مهم حقوق بین الملل محیط زیست به حساب می آید. از سال 1972، پنج "مگا کنفرانس"</w:t>
      </w:r>
      <w:r>
        <w:rPr>
          <w:rStyle w:val="FootnoteReference"/>
          <w:rtl w:val="1"/>
        </w:rPr>
        <w:footnoteReference w:id="89"/>
      </w:r>
      <w:r>
        <w:rPr>
          <w:rFonts w:ascii="Times New Roman" w:hAnsi="Times New Roman" w:cs="B Nazanin"/>
          <w:sz w:val="22"/>
          <w:szCs w:val="28"/>
          <w:rtl w:val="1"/>
        </w:rPr>
        <w:t xml:space="preserve"> برای مذاکره پیرامون وضعیت فعلی محیط زیست سازماندهی شد. مگا کنفرانس های محیط زیستی به خط سیر کلی توسعه انسانی و ارتباط آن با محیط زیست به عنوان یک کل می پردازد و مروری کلی بر مسائل پیچیده محیط زیست و توسعه در بازه زمانی طولانی تری دارد. سال‌های بسیاری برای تمهید مقدمات و مذاکرات مقدماتی آن‌ها، جلب مشارکت سران کشورها و هزاران فرد و گروه و همچنین جلب توجه رسانه‌های جهان تلاش شده است. هدف هر مگا کنفرانس بحث در مورد میزان پیشرفت از آن زمان و برنامه ریزی اقدامات بیشتر برای آینده است. ویژگی های کلیدی و کارکردهای اصلی کنفرانس های بزرگ محیط زیستی همانا مشارکت جهانی، ارائه رهبری جهانی، تسهیل تفکر مشترک، تایید اصول مشترک، تمرکز بر مسائل اساسی، تنظیم دستورکار و برنامه های جهانی، مشارکت متخصصان، مذاکره و توافق، ایجاد ظرفیت نهادی و تقویت ظرفیتهای موجود، اطلاع رسانی و در آخر مشروعیت بخشیدن به حکمرانی جهانی از طریق فراگیری می باشد. (Antonia Tigre,2020, 342) کنفرانس‌های بزرگ محیط زیستی بسترهای حیاتی برای شکل‌دادن به سیاست‌های بین‌المللی محیط زیست و ترویج همکاری جهانی هستند. این کنفرانس‌ها نه تنها بر نیاز به اقدام فوری در برابر چالش‌های عمده مانند تغییرات آب و هوایی تأکید می‌کنند، بلکه بر ارتباط بین سیستم‌های اکولوژیکی و جوامع انسانی نیز تأکید دارند. با افزایش پیچیدگی چالش‌های محیط زیستی، نقش این‌گونه کنفرانس‌ها در هدایت اقدامات جمعی به سمت پایداری و حفظ محیط زیست حیاتی می شود. علاوه بر این، ذی نفعان غیردولتی بر این باورند که برگزاری نشست ها در یادبود سالگردها حاکی از خواستن نسل جدیدی از اصول، حقوق و وظایف اساسی مرتبط با حفاظت از محیط زیست می باشد. در میانه دهه دوم قرن بیست و یکم این باور حاکم بود که فرصتی برای سازماندهی "مگا کنفرانس" دیگری برای ارزیابی وضعیت محیط زیست و تجدید تعهدات سیاسی وجود دارد و کشورها باید از این فرصت استفاده کنند و بر روی نتایج مشخص برای تقویت رژیم بین المللی محیط زیستی به توافق برسند، نه اینکه یک نشست جدید را به «تئاتر سیاسی» تقلیل دهند که تنها در مواجهه با چالش محیط زیستی بی سابقه، انکار را حفظ کند. </w:t>
      </w:r>
    </w:p>
    <w:p>
      <w:pPr>
        <w:pStyle w:val="Heading2"/>
        <w:bidi w:val="1"/>
        <w:spacing w:line="312" w:lineRule="auto" w:before="200" w:after="120"/>
        <w:jc w:val="right"/>
      </w:pPr>
      <w:r>
        <w:rPr>
          <w:rFonts w:ascii="Times New Roman" w:hAnsi="Times New Roman" w:cs="B Nazanin"/>
          <w:sz w:val="24"/>
          <w:szCs w:val="24"/>
          <w:rtl w:val="1"/>
          <w:b/>
          <w:bCs/>
          <w:color w:val="000000"/>
        </w:rPr>
        <w:t>۲-۷ سیر مکاتب فلسفیِ حاکم بر حقوق بین‌الملل محیط زیست و عصر انتروپوسن</w:t>
      </w:r>
    </w:p>
    <w:p>
      <w:pPr>
        <w:bidi w:val="1"/>
        <w:spacing w:line="312" w:lineRule="auto" w:before="0" w:after="120"/>
        <w:ind w:firstLine="454"/>
        <w:jc w:val="both"/>
      </w:pPr>
      <w:r>
        <w:rPr>
          <w:rFonts w:ascii="Times New Roman" w:hAnsi="Times New Roman" w:cs="B Nazanin"/>
          <w:sz w:val="22"/>
          <w:szCs w:val="28"/>
          <w:rtl w:val="1"/>
        </w:rPr>
        <w:t>برای فهمِ چراییِ شکل‌گیریِ ایدهٔ «پیمان جهانی محیط زیست» به‌مثابه سند چتر، نخست باید بسترِ فلسفیِ حقوق بین‌الملل محیط زیست را بازخواند. این حوزه از دلِ گذارِ تدریجیِ اندیشهٔ حقوقی از «انسان‌مداریِ (anthropocentric) بهره‌بردارانه» به‌سوی «بوم‌مداری (ecocentric)» و سپس «حق‌محوریِ زیست‌محیطی» سر برآورده است؛ گذاری که تیگره در رسالهٔ دکتریِ خود آن را شالودهٔ به‌رسمیت‌شناختنِ «حق بر محیط‌زیست سالم» می‌داند.</w:t>
      </w:r>
      <w:r>
        <w:rPr>
          <w:rStyle w:val="FootnoteReference"/>
          <w:rtl w:val="1"/>
        </w:rPr>
        <w:footnoteReference w:id="90"/>
      </w:r>
    </w:p>
    <w:p>
      <w:pPr>
        <w:bidi w:val="1"/>
        <w:spacing w:line="312" w:lineRule="auto" w:before="0" w:after="120"/>
        <w:ind w:firstLine="454"/>
        <w:jc w:val="both"/>
      </w:pPr>
      <w:r>
        <w:rPr>
          <w:rFonts w:ascii="Times New Roman" w:hAnsi="Times New Roman" w:cs="B Nazanin"/>
          <w:sz w:val="22"/>
          <w:szCs w:val="28"/>
          <w:rtl w:val="1"/>
        </w:rPr>
        <w:t>در دورهٔ نخست (پیش از استکهلم ۱۹۷۲)، طبیعت عمدتاً ابژهٔ حاکمیت و مالکیت دولت‌ها تلقی می‌شد و حقوق بین‌الملل تنها هنگام «آسیبِ فرامرزی» واکنش نشان می‌داد؛ همین خصلتِ واکنشی، ریشهٔ تاریخیِ پراکندگیِ امروزین است. اعلامیهٔ استکهلم (۱۹۷۲) با اصل ۲۱ خود، نقطهٔ عطفِ گذار از این پارادایم به پارادایمِ «مسئولیتِ زیست‌محیطیِ مشترک» بود.</w:t>
      </w:r>
    </w:p>
    <w:p>
      <w:pPr>
        <w:bidi w:val="1"/>
        <w:spacing w:line="312" w:lineRule="auto" w:before="0" w:after="120"/>
        <w:ind w:firstLine="454"/>
        <w:jc w:val="both"/>
      </w:pPr>
      <w:r>
        <w:rPr>
          <w:rFonts w:ascii="Times New Roman" w:hAnsi="Times New Roman" w:cs="B Nazanin"/>
          <w:sz w:val="22"/>
          <w:szCs w:val="28"/>
          <w:rtl w:val="1"/>
        </w:rPr>
        <w:t>در دورهٔ دوم (ریو ۱۹۹۲ به بعد)، مفاهیمِ «توسعهٔ پایدار»، «مسئولیت مشترک اما متمایز»، «احتیاط» و «پیشگیری» به‌مثابه اصولِ راهنما تثبیت شدند؛ اما این اصول عمدتاً در قالبِ حقوق نرم (اعلامیه‌ها و برنامه‌های اقدام) باقی ماندند و همین امر، پرسشِ «گذارِ هنجاری از حقوق نرم به سند سخت» را — که به گفتهٔ استاد راهنما ایدهٔ اصلیِ طراحانِ پیمان است — پیش کشید.</w:t>
      </w:r>
      <w:r>
        <w:rPr>
          <w:rStyle w:val="FootnoteReference"/>
          <w:rtl w:val="1"/>
        </w:rPr>
        <w:footnoteReference w:id="91"/>
      </w:r>
    </w:p>
    <w:p>
      <w:pPr>
        <w:bidi w:val="1"/>
        <w:spacing w:line="312" w:lineRule="auto" w:before="0" w:after="120"/>
        <w:ind w:firstLine="454"/>
        <w:jc w:val="both"/>
      </w:pPr>
      <w:r>
        <w:rPr>
          <w:rFonts w:ascii="Times New Roman" w:hAnsi="Times New Roman" w:cs="B Nazanin"/>
          <w:sz w:val="22"/>
          <w:szCs w:val="28"/>
          <w:rtl w:val="1"/>
        </w:rPr>
        <w:t>دورهٔ سوم، عصرِ «انتروپوسن» (Anthropocene) است: دورانی زمین‌شناختی که در آن اثرِ انسان به نیرویی سیاره‌ای بدل شده و از مرزهای زیستیِ سیاره (planetary boundaries) عبور کرده است. کیم و بوسلمن استدلال می‌کنند که در این عصر، نظامِ پراکندهٔ MEAها باید به یک «نظامِ هدف‌مند و غایت‌محور» بازتنظیم شود؛ و داموآ و همکاران نشان می‌دهند که تکثرِ صرفِ معاهدات، بدونِ انسجام و اجرا، به بهبودِ وضعیتِ سیاره نینجامیده است.</w:t>
      </w:r>
      <w:r>
        <w:rPr>
          <w:rStyle w:val="FootnoteReference"/>
          <w:rtl w:val="1"/>
        </w:rPr>
        <w:footnoteReference w:id="92"/>
      </w:r>
    </w:p>
    <w:p>
      <w:pPr>
        <w:bidi w:val="1"/>
        <w:spacing w:line="312" w:lineRule="auto" w:before="0" w:after="120"/>
        <w:ind w:firstLine="454"/>
        <w:jc w:val="both"/>
      </w:pPr>
      <w:r>
        <w:rPr>
          <w:rFonts w:ascii="Times New Roman" w:hAnsi="Times New Roman" w:cs="B Nazanin"/>
          <w:sz w:val="22"/>
          <w:szCs w:val="28"/>
          <w:rtl w:val="1"/>
        </w:rPr>
        <w:t>[در دست نگارش — بسط تا حدود ۲۰ صفحه] این بخش با تکیه بر منابعِ Tigre 2022، Kim &amp; Bosselmann 2013، و Damoah 2026، سیرِ کاملِ مکاتب (حقوق طبیعی زیست‌محیطی، فایده‌گراییِ منابع، بوم‌مداری، عدالتِ زیست‌محیطی، و رویکردِ حق‌محور) و پیوندِ هریک با معماریِ پیشنهادیِ پیمان را تبیین خواهد کرد.</w:t>
      </w:r>
    </w:p>
    <w:p>
      <w:pPr>
        <w:pStyle w:val="Heading2"/>
        <w:bidi w:val="1"/>
        <w:spacing w:line="312" w:lineRule="auto" w:before="200" w:after="120"/>
        <w:jc w:val="right"/>
      </w:pPr>
      <w:r>
        <w:rPr>
          <w:rFonts w:ascii="Times New Roman" w:hAnsi="Times New Roman" w:cs="B Nazanin"/>
          <w:sz w:val="24"/>
          <w:szCs w:val="24"/>
          <w:rtl w:val="1"/>
          <w:b/>
          <w:bCs/>
          <w:color w:val="000000"/>
        </w:rPr>
        <w:t>۲-۸ خصلتِ واکنشی، بخشی، پراکنده، تدریجی و اجماعیِ حقوق بین‌الملل محیط زیست</w:t>
      </w:r>
    </w:p>
    <w:p>
      <w:pPr>
        <w:bidi w:val="1"/>
        <w:spacing w:line="312" w:lineRule="auto" w:before="0" w:after="120"/>
        <w:ind w:firstLine="454"/>
        <w:jc w:val="both"/>
      </w:pPr>
      <w:r>
        <w:rPr>
          <w:rFonts w:ascii="Times New Roman" w:hAnsi="Times New Roman" w:cs="B Nazanin"/>
          <w:sz w:val="22"/>
          <w:szCs w:val="28"/>
          <w:rtl w:val="1"/>
        </w:rPr>
        <w:t>حقوق بین‌الملل محیط زیست پنج خصلتِ ساختاری دارد که هر راهکارِ اصلاحی — از جمله پیمان — ناگزیر باید با آن‌ها سازگار باشد؛ نادیده‌گرفتنِ این خصایص، خودْ یکی از دلایلِ ناکامیِ ابتکارهای بلندپروازانه بوده است.</w:t>
      </w:r>
    </w:p>
    <w:p>
      <w:pPr>
        <w:bidi w:val="1"/>
        <w:spacing w:line="312" w:lineRule="auto" w:before="0" w:after="120"/>
        <w:ind w:firstLine="454"/>
        <w:jc w:val="both"/>
      </w:pPr>
      <w:r>
        <w:rPr>
          <w:rFonts w:ascii="Times New Roman" w:hAnsi="Times New Roman" w:cs="B Nazanin"/>
          <w:sz w:val="22"/>
          <w:szCs w:val="28"/>
          <w:rtl w:val="1"/>
        </w:rPr>
        <w:t>نخست، خصلتِ واکنشی (reactive): قواعد عمدتاً پس از بروزِ بحران یا فاجعه (نظیرِ نشتِ نفت، تخریبِ لایهٔ ازن، یا زوالِ تنوع زیستی) و در واکنش به آن وضع شده‌اند، نه بر پایهٔ یک طرحِ پیشگیرانه و نظام‌مند.</w:t>
      </w:r>
    </w:p>
    <w:p>
      <w:pPr>
        <w:bidi w:val="1"/>
        <w:spacing w:line="312" w:lineRule="auto" w:before="0" w:after="120"/>
        <w:ind w:firstLine="454"/>
        <w:jc w:val="both"/>
      </w:pPr>
      <w:r>
        <w:rPr>
          <w:rFonts w:ascii="Times New Roman" w:hAnsi="Times New Roman" w:cs="B Nazanin"/>
          <w:sz w:val="22"/>
          <w:szCs w:val="28"/>
          <w:rtl w:val="1"/>
        </w:rPr>
        <w:t>دوم، خصلتِ بخشی (sectoral): هر معاهده به یک «بخش» (اقلیم، تنوع زیستی، مواد شیمیایی، دریاها) می‌پردازد و نهادها و دبیرخانه‌های جداگانه‌ای دارد؛ همین امر به آنچه کمیسیون حقوق بین‌الملل «نظام‌های خودبسنده (self-contained regimes)» می‌نامد، انجامیده است.</w:t>
      </w:r>
      <w:r>
        <w:rPr>
          <w:rStyle w:val="FootnoteReference"/>
          <w:rtl w:val="1"/>
        </w:rPr>
        <w:footnoteReference w:id="93"/>
      </w:r>
    </w:p>
    <w:p>
      <w:pPr>
        <w:bidi w:val="1"/>
        <w:spacing w:line="312" w:lineRule="auto" w:before="0" w:after="120"/>
        <w:ind w:firstLine="454"/>
        <w:jc w:val="both"/>
      </w:pPr>
      <w:r>
        <w:rPr>
          <w:rFonts w:ascii="Times New Roman" w:hAnsi="Times New Roman" w:cs="B Nazanin"/>
          <w:sz w:val="22"/>
          <w:szCs w:val="28"/>
          <w:rtl w:val="1"/>
        </w:rPr>
        <w:t>سوم، خصلتِ پراکنده (fragmented): کثرتِ رژیم‌های بخشیِ کم‌ارتباط، خطرِ تعارضِ هنجاری و همپوشانیِ تعهدات را پدید می‌آورد — موضوعی که در بخش بعد و در فصل چهارم با تکیه بر سندِ پراکندگیِ ۲۰۰۶ تحلیل می‌شود.</w:t>
      </w:r>
    </w:p>
    <w:p>
      <w:pPr>
        <w:bidi w:val="1"/>
        <w:spacing w:line="312" w:lineRule="auto" w:before="0" w:after="120"/>
        <w:ind w:firstLine="454"/>
        <w:jc w:val="both"/>
      </w:pPr>
      <w:r>
        <w:rPr>
          <w:rFonts w:ascii="Times New Roman" w:hAnsi="Times New Roman" w:cs="B Nazanin"/>
          <w:sz w:val="22"/>
          <w:szCs w:val="28"/>
          <w:rtl w:val="1"/>
        </w:rPr>
        <w:t>چهارم و پنجم، خصلتِ تدریجی (incremental) و اجماعی (consensus-based): توسعهٔ این حقوق گام‌به‌گام و از رهگذرِ اجماعِ دولت‌ها پیش می‌رود. چاباسون و اژه نشان می‌دهند که همین سازوکارِ اجماع‌محورِ سازمان ملل بود که در نایروبی (۲۰۱۹) به اقلیتِ مخالف امکان داد تا ایدهٔ سندِ الزام‌آور را متوقف کند.</w:t>
      </w:r>
      <w:r>
        <w:rPr>
          <w:rStyle w:val="FootnoteReference"/>
          <w:rtl w:val="1"/>
        </w:rPr>
        <w:footnoteReference w:id="94"/>
      </w:r>
    </w:p>
    <w:p>
      <w:pPr>
        <w:pStyle w:val="Heading2"/>
        <w:bidi w:val="1"/>
        <w:spacing w:line="312" w:lineRule="auto" w:before="200" w:after="120"/>
        <w:jc w:val="right"/>
      </w:pPr>
      <w:r>
        <w:rPr>
          <w:rFonts w:ascii="Times New Roman" w:hAnsi="Times New Roman" w:cs="B Nazanin"/>
          <w:sz w:val="24"/>
          <w:szCs w:val="24"/>
          <w:rtl w:val="1"/>
          <w:b/>
          <w:bCs/>
          <w:color w:val="000000"/>
        </w:rPr>
        <w:t>۲-۹ کارِ کمیسیون حقوق بین‌الملل دربارهٔ پراکندگی و دلالتِ آن برای این رساله</w:t>
      </w:r>
    </w:p>
    <w:p>
      <w:pPr>
        <w:bidi w:val="1"/>
        <w:spacing w:line="312" w:lineRule="auto" w:before="0" w:after="120"/>
        <w:ind w:firstLine="454"/>
        <w:jc w:val="both"/>
      </w:pPr>
      <w:r>
        <w:rPr>
          <w:rFonts w:ascii="Times New Roman" w:hAnsi="Times New Roman" w:cs="B Nazanin"/>
          <w:sz w:val="22"/>
          <w:szCs w:val="28"/>
          <w:rtl w:val="1"/>
        </w:rPr>
        <w:t>کمیسیون حقوق بین‌الملل سازمان ملل در سال ۲۰۰۶، گزارشِ گروه مطالعاتیِ خود با عنوان «پراکندگیِ حقوق بین‌الملل: دشواری‌های ناشی از تنوع‌یابی و گسترشِ حقوق بین‌الملل» را به تصویب رساند. این سند، مرجعِ رسمیِ تعریفِ پراکندگی و ابزارهای مدیریتِ آن است و ستونِ نظریِ فصل چهارمِ این رساله را می‌سازد.</w:t>
      </w:r>
      <w:r>
        <w:rPr>
          <w:rStyle w:val="FootnoteReference"/>
          <w:rtl w:val="1"/>
        </w:rPr>
        <w:footnoteReference w:id="95"/>
      </w:r>
    </w:p>
    <w:p>
      <w:pPr>
        <w:bidi w:val="1"/>
        <w:spacing w:line="312" w:lineRule="auto" w:before="0" w:after="120"/>
        <w:ind w:firstLine="454"/>
        <w:jc w:val="both"/>
      </w:pPr>
      <w:r>
        <w:rPr>
          <w:rFonts w:ascii="Times New Roman" w:hAnsi="Times New Roman" w:cs="B Nazanin"/>
          <w:sz w:val="22"/>
          <w:szCs w:val="28"/>
          <w:rtl w:val="1"/>
        </w:rPr>
        <w:t>کمیسیون میان دو بُعدِ پراکندگی تمایز می‌گذارد: بُعدِ نهادی (تعارضِ صلاحیتِ نهادها و مراجع) که آن را کنار می‌نهد، و بُعدِ ماهوی (تجزیهٔ حقوق به «جعبه‌های» تخصصیِ مدعیِ استقلال) که موضوعِ اصلیِ کار است. حقوق بین‌الملل محیط زیست خودْ در گزارش به‌عنوان نمونه‌ای از یک «رژیمِ خاص» یاد شده است.</w:t>
      </w:r>
    </w:p>
    <w:p>
      <w:pPr>
        <w:bidi w:val="1"/>
        <w:spacing w:line="312" w:lineRule="auto" w:before="0" w:after="120"/>
        <w:ind w:firstLine="454"/>
        <w:jc w:val="both"/>
      </w:pPr>
      <w:r>
        <w:rPr>
          <w:rFonts w:ascii="Times New Roman" w:hAnsi="Times New Roman" w:cs="B Nazanin"/>
          <w:sz w:val="22"/>
          <w:szCs w:val="28"/>
          <w:rtl w:val="1"/>
        </w:rPr>
        <w:t>مهم‌تر آنکه کمیسیون، پراکندگی را «اجتناب‌ناپذیر» اما «قابلِ مدیریت» می‌داند و سه ابزارِ حقوقی را برای مدیریتِ آن برمی‌شمارد که مستقیماً جایگزینِ واژه‌های نامأنوسِ پیشین در این رساله می‌شوند: (۱) اصلِ هماهنگ‌سازی (harmonization)؛ (۲) قاعدهٔ خاصِ مقدم (lex specialis)؛ و (۳) یکپارچگیِ نظام‌مند (systemic integration) بر پایهٔ مادهٔ ۳۱(۳)(ج) کنوانسیون وین ۱۹۶۹.</w:t>
      </w:r>
      <w:r>
        <w:rPr>
          <w:rStyle w:val="FootnoteReference"/>
          <w:rtl w:val="1"/>
        </w:rPr>
        <w:footnoteReference w:id="96"/>
      </w:r>
    </w:p>
    <w:p>
      <w:pPr>
        <w:bidi w:val="1"/>
        <w:spacing w:line="312" w:lineRule="auto" w:before="0" w:after="120"/>
        <w:ind w:firstLine="454"/>
        <w:jc w:val="both"/>
      </w:pPr>
      <w:r>
        <w:rPr>
          <w:rFonts w:ascii="Times New Roman" w:hAnsi="Times New Roman" w:cs="B Nazanin"/>
          <w:sz w:val="22"/>
          <w:szCs w:val="28"/>
          <w:rtl w:val="1"/>
        </w:rPr>
        <w:t>دلالتِ این چارچوب برای رساله روشن است: کارکردِ حقوقیِ یک «سند چتر» مانند پیمان را باید نه به‌مثابه ادغامِ نهادیِ معاهدات، بلکه به‌مثابه تقویتِ «یکپارچگیِ نظام‌مند» — یعنی فراهم‌آوردنِ مجموعه‌ای از اصولِ عمومیِ مشترک که در تفسیر و اجرای همهٔ MEAها لحاظ شوند — فهمید. این بازخوانی، همان چیزی است که در فصل چهارم بسط می‌یابد.</w:t>
      </w:r>
    </w:p>
    <w:p>
      <w:pPr>
        <w:pStyle w:val="Heading2"/>
        <w:bidi w:val="1"/>
        <w:spacing w:line="312" w:lineRule="auto" w:before="200" w:after="120"/>
        <w:jc w:val="right"/>
      </w:pPr>
      <w:r>
        <w:rPr>
          <w:rFonts w:ascii="Times New Roman" w:hAnsi="Times New Roman" w:cs="B Nazanin"/>
          <w:sz w:val="24"/>
          <w:szCs w:val="24"/>
          <w:rtl w:val="1"/>
          <w:b/>
          <w:bCs/>
          <w:color w:val="000000"/>
        </w:rPr>
        <w:t>۲-۱۰ نتیجه‌گیری فصل دوم</w:t>
      </w:r>
    </w:p>
    <w:p>
      <w:pPr>
        <w:bidi w:val="1"/>
        <w:spacing w:line="312" w:lineRule="auto" w:before="0" w:after="120"/>
        <w:ind w:firstLine="454"/>
        <w:jc w:val="both"/>
      </w:pPr>
      <w:r>
        <w:rPr>
          <w:rFonts w:ascii="Times New Roman" w:hAnsi="Times New Roman" w:cs="B Nazanin"/>
          <w:sz w:val="22"/>
          <w:szCs w:val="28"/>
          <w:rtl w:val="1"/>
        </w:rPr>
        <w:t>این فصل نشان داد که حقوق بین‌الملل محیط زیست، محصولِ یک مسیرِ تکاملیِ واکنشی، بخشی، پراکنده، تدریجی و اجماعی است و همین خصایصِ ساختاری، هم زمینه‌سازِ طرحِ ایدهٔ «پیمان جهانی محیط زیست» به‌مثابه سند چترِ الزام‌آور شدند و هم موانعِ تحققِ آن را رقم زدند.</w:t>
      </w:r>
    </w:p>
    <w:p>
      <w:pPr>
        <w:bidi w:val="1"/>
        <w:spacing w:line="312" w:lineRule="auto" w:before="0" w:after="120"/>
        <w:ind w:firstLine="454"/>
        <w:jc w:val="both"/>
      </w:pPr>
      <w:r>
        <w:rPr>
          <w:rFonts w:ascii="Times New Roman" w:hAnsi="Times New Roman" w:cs="B Nazanin"/>
          <w:sz w:val="22"/>
          <w:szCs w:val="28"/>
          <w:rtl w:val="1"/>
        </w:rPr>
        <w:t>گذارِ فلسفی از انسان‌مداریِ بهره‌بردارانه به حق‌محوریِ زیست‌محیطی در عصرِ انتروپوسن، ایدهٔ «گذارِ هنجاریِ اصول از حقوق نرم به سند سخت» را موجه ساخت؛ اما چارچوبِ پراکندگیِ کمیسیون حقوق بین‌الملل روشن می‌کند که کارکردِ چنین سندی نه ادغامِ نهادی، بلکه تقویتِ «یکپارچگیِ نظام‌مند» است.</w:t>
      </w:r>
    </w:p>
    <w:p>
      <w:pPr>
        <w:bidi w:val="1"/>
        <w:spacing w:line="312" w:lineRule="auto" w:before="0" w:after="120"/>
        <w:ind w:firstLine="454"/>
        <w:jc w:val="both"/>
      </w:pPr>
      <w:r>
        <w:rPr>
          <w:rFonts w:ascii="Times New Roman" w:hAnsi="Times New Roman" w:cs="B Nazanin"/>
          <w:sz w:val="22"/>
          <w:szCs w:val="28"/>
          <w:rtl w:val="1"/>
        </w:rPr>
        <w:t>بدین‌ترتیب، فصلِ حاضر پلِ مفهومیِ لازم را برای فصل سوم (واکاویِ خلأها و بررسیِ خودِ ابتکارِ پیمان) و فصل چهارم (تحلیلِ اثرِ آن بر MEAها و پیامدهای شکست) فراهم می‌آورد.</w:t>
      </w:r>
    </w:p>
    <w:p>
      <w:r>
        <w:br w:type="page"/>
      </w:r>
    </w:p>
    <w:p>
      <w:pPr>
        <w:pStyle w:val="Heading1"/>
        <w:bidi w:val="1"/>
        <w:spacing w:line="312" w:lineRule="auto" w:before="200" w:after="120"/>
        <w:jc w:val="right"/>
      </w:pPr>
      <w:r>
        <w:rPr>
          <w:rFonts w:ascii="Times New Roman" w:hAnsi="Times New Roman" w:cs="B Nazanin"/>
          <w:sz w:val="24"/>
          <w:szCs w:val="28"/>
          <w:rtl w:val="1"/>
          <w:b/>
          <w:bCs/>
          <w:color w:val="000000"/>
        </w:rPr>
        <w:t>فصل فصل ۳: از واکاوی خلأهای حقوق بین‌الملل محیط زیست تا بررسی ابتکار پیمان جهانی محیط زیست</w:t>
      </w:r>
    </w:p>
    <w:p>
      <w:pPr>
        <w:bidi w:val="1"/>
        <w:spacing w:line="312" w:lineRule="auto" w:before="0" w:after="160"/>
        <w:jc w:val="both"/>
      </w:pPr>
      <w:r>
        <w:rPr>
          <w:rFonts w:ascii="Times New Roman" w:hAnsi="Times New Roman" w:cs="B Nazanin"/>
          <w:sz w:val="22"/>
          <w:szCs w:val="24"/>
          <w:rtl w:val="1"/>
        </w:rPr>
        <w:t>متنِ واقعیِ پیش‌نویسِ نگارنده (قسمت اول، حول گزارش دبیرکل A/73/419) به‌همراه گفتار دومِ کاملِ تحلیلِ ابتکارِ پیمان (ضرورت، اهداف، دامنه، رویکردها، ماهیت، محتوای مواد، ارزش‌افزوده و کاستی‌ها) و نتیجه‌گیریِ مستقلِ فصل.</w:t>
      </w:r>
    </w:p>
    <w:p>
      <w:pPr>
        <w:pStyle w:val="Heading3"/>
        <w:bidi w:val="1"/>
        <w:spacing w:line="312" w:lineRule="auto" w:before="200" w:after="120"/>
        <w:jc w:val="right"/>
      </w:pPr>
      <w:r>
        <w:rPr>
          <w:rFonts w:ascii="Times New Roman" w:hAnsi="Times New Roman" w:cs="B Nazanin"/>
          <w:sz w:val="24"/>
          <w:szCs w:val="24"/>
          <w:rtl w:val="1"/>
          <w:b/>
          <w:bCs/>
          <w:color w:val="000000"/>
        </w:rPr>
        <w:t>مقدمه</w:t>
      </w:r>
    </w:p>
    <w:p>
      <w:pPr>
        <w:bidi w:val="1"/>
        <w:spacing w:line="312" w:lineRule="auto" w:before="0" w:after="120"/>
        <w:ind w:firstLine="454"/>
        <w:jc w:val="both"/>
      </w:pPr>
      <w:r>
        <w:rPr>
          <w:rFonts w:ascii="Times New Roman" w:hAnsi="Times New Roman" w:cs="B Nazanin"/>
          <w:sz w:val="22"/>
          <w:szCs w:val="28"/>
          <w:rtl w:val="1"/>
        </w:rPr>
        <w:t xml:space="preserve">مقدمه هوش </w:t>
      </w:r>
    </w:p>
    <w:p>
      <w:pPr>
        <w:bidi w:val="1"/>
        <w:spacing w:line="312" w:lineRule="auto" w:before="0" w:after="120"/>
        <w:ind w:firstLine="454"/>
        <w:jc w:val="both"/>
      </w:pPr>
      <w:r>
        <w:rPr>
          <w:rFonts w:ascii="Times New Roman" w:hAnsi="Times New Roman" w:cs="B Nazanin"/>
          <w:sz w:val="22"/>
          <w:szCs w:val="28"/>
          <w:rtl w:val="1"/>
        </w:rPr>
        <w:t>حقوق بین‌الملل محیط‌زیست در نیم‌قرن اخیر دستخوش تحولی شگرف شده است. از نخستین کنفرانس استکهلم (۱۹۷۲) تا استکهلم+۵۰ (۲۰۲۲)، مجموعه گسترده‌ای از معاهدات، کنوانسیون‌ها، پروتکل‌ها و اسناد حقوق نرم پدید آمده است که هر یک به بخشی از بحران‌های زیست‌محیطی جهانی پاسخ گفته‌اند. با این حال، با وجود  انبوهی از هنجارها و نهادها، وضعیت محیط‌زیست جهانی نه‌تنها بهبود نیافته، بلکه شتاب تخریب روزافزون شده است. این پارادوکس آشکار – یعنی همزمانی انباشت هنجارهای محیط‌زیستی با تشدید بحران‌های زیست‌محیطی – خود به‌تنهایی گویای وجود کاستی‌هایی در نظام حقوق بین‌الملل محیط‌زیست است.</w:t>
      </w:r>
    </w:p>
    <w:p>
      <w:pPr>
        <w:bidi w:val="1"/>
        <w:spacing w:line="312" w:lineRule="auto" w:before="0" w:after="120"/>
        <w:ind w:firstLine="454"/>
        <w:jc w:val="both"/>
      </w:pPr>
      <w:r>
        <w:rPr>
          <w:rFonts w:ascii="Times New Roman" w:hAnsi="Times New Roman" w:cs="B Nazanin"/>
          <w:sz w:val="22"/>
          <w:szCs w:val="28"/>
          <w:rtl w:val="1"/>
        </w:rPr>
        <w:t>اهمیت فصل حاضر از آنجا ناشی می‌شود که شناسایی دقیق و نظام‌مند خلاءهای حقوق بین‌الملل محیط‌زیست، پیش‌شرط هرگونه اصلاح و بازنگری در این نظام حقوقی به‌شمار می‌رود. بدون شناخت عمیق از کاستی‌ها، ناهماهنگی‌ها و خلاءهای هنجاری، ساختاری و اجرایی، هر گونه تلاش برای اصلاح، اقدامی سلیقه‌ای و ناکارآمد خواهد بود. ازاین‌رو، واکاوی خلاءها گامی ضروری برای دستیابی به راهکارهای مؤثر در جهت ارتقاء کارآمدی حقوق بین‌الملل محیط‌زیست است.</w:t>
      </w:r>
    </w:p>
    <w:p>
      <w:pPr>
        <w:bidi w:val="1"/>
        <w:spacing w:line="312" w:lineRule="auto" w:before="0" w:after="120"/>
        <w:ind w:firstLine="454"/>
        <w:jc w:val="both"/>
      </w:pPr>
      <w:r>
        <w:rPr>
          <w:rFonts w:ascii="Times New Roman" w:hAnsi="Times New Roman" w:cs="B Nazanin"/>
          <w:sz w:val="22"/>
          <w:szCs w:val="28"/>
          <w:rtl w:val="1"/>
        </w:rPr>
        <w:t xml:space="preserve">آنچه به این واکاوی غنا می‌بخشد، گزارش دبیرکل سازمان ملل متحد (A/73/419) با عنوان «خلاءهای موجود در حقوق بین‌الملل محیط‌زیست و اسناد مرتبط با آن» است که در سال ۲۰۱۸ به مجمع عمومی ارائه شده است. این سند، برای نخستین بار، کوشیده است تا با نگاهی سیستمی، خلاءهای حقوق بین‌الملل محیط‌زیست را در همۀ ابعاد هنجاری، ساختاری و اجرایی شناسایی و دسته‌بندی کند. این گزارش که حاصل مشورت با دولت‌ها، سازمان‌های بین‌المللی، نهادهای تخصصی و صاحب‌نظران دانشگاهی است، یکی از جامع‌ترین اسنادی محسوب می‌شود که به‌طور نظام‌مند به شناسایی خلاءهای حقوق بین‌الملل محیط‌زیست پرداخته و از همین رو، محور تحلیلی گفتار نخست قرار گرفته است.  </w:t>
      </w:r>
    </w:p>
    <w:p>
      <w:pPr>
        <w:bidi w:val="1"/>
        <w:spacing w:line="312" w:lineRule="auto" w:before="0" w:after="120"/>
        <w:ind w:firstLine="454"/>
        <w:jc w:val="both"/>
      </w:pPr>
      <w:r>
        <w:rPr>
          <w:rFonts w:ascii="Times New Roman" w:hAnsi="Times New Roman" w:cs="B Nazanin"/>
          <w:sz w:val="22"/>
          <w:szCs w:val="28"/>
          <w:rtl w:val="1"/>
        </w:rPr>
        <w:t>گفتار دوم در پی آن است تا ابتکار پیمان جهانی محیط‌زیست را به مثابه یکی از مهم‌ترین پاسخ‌های پیشنهادی به این خلاءها مورد بررسی قرار دهد. پرسش محوری آن است که این ابتکار تا چه اندازه می‌تواند خلاءهای شناسایی‌شده را مرتفع سازد و چه نسبتی با منابع موجود حقوق بین‌الملل محیط‌زیست برقرار می‌کند. بدین منظور، ضمن تبیین انواع خلاءها و ریشه‌یابی آن‌ها در ساختار کنونی حقوق بین الملل محیطزیست، ظرفیت‌ها و محدودیت‌های پیمان جهانی محیط‌زیست بهعنوان راهکاری برای تقویت کارآمدی این نظام تحلیل خواهد شد.</w:t>
      </w:r>
    </w:p>
    <w:p>
      <w:pPr>
        <w:bidi w:val="1"/>
        <w:spacing w:line="312" w:lineRule="auto" w:before="0" w:after="120"/>
        <w:ind w:firstLine="454"/>
        <w:jc w:val="both"/>
      </w:pPr>
      <w:r>
        <w:rPr>
          <w:rFonts w:ascii="Times New Roman" w:hAnsi="Times New Roman" w:cs="B Nazanin"/>
          <w:sz w:val="22"/>
          <w:szCs w:val="28"/>
          <w:rtl w:val="1"/>
        </w:rPr>
        <w:t>بنابراین، دو پرسش اصلی این فصل را می‌توان به این صورت بیان کرد:</w:t>
      </w:r>
    </w:p>
    <w:p>
      <w:pPr>
        <w:bidi w:val="1"/>
        <w:spacing w:line="312" w:lineRule="auto" w:before="0" w:after="120"/>
        <w:ind w:firstLine="454"/>
        <w:jc w:val="both"/>
      </w:pPr>
      <w:r>
        <w:rPr>
          <w:rFonts w:ascii="Times New Roman" w:hAnsi="Times New Roman" w:cs="B Nazanin"/>
          <w:sz w:val="22"/>
          <w:szCs w:val="28"/>
          <w:rtl w:val="1"/>
        </w:rPr>
        <w:t>گزارش دبیرکل سازمان ملل متحد (A/73/419) چه خلاءهایی را در نظام حقوق بین‌الملل محیط‌زیست آشکار می‌سازد و سرچشمه‌های اصلی این خلاءها کدامند و گزارش دبیرکل چه راهکارهایی برای رفع آنها پیشنهاد می‌دهد؟</w:t>
      </w:r>
    </w:p>
    <w:p>
      <w:pPr>
        <w:bidi w:val="1"/>
        <w:spacing w:line="312" w:lineRule="auto" w:before="0" w:after="120"/>
        <w:ind w:firstLine="454"/>
        <w:jc w:val="both"/>
      </w:pPr>
      <w:r>
        <w:rPr>
          <w:rFonts w:ascii="Times New Roman" w:hAnsi="Times New Roman" w:cs="B Nazanin"/>
          <w:sz w:val="22"/>
          <w:szCs w:val="28"/>
          <w:rtl w:val="1"/>
        </w:rPr>
        <w:t xml:space="preserve"> آیا رفع خلاءهای شناسایی‌شده در چارچوب حقوق بین‌الملل کنونی امکان‌پذیر است یا تحقق این مهم مستلزم اتخاذ یک ابتکار کلان و تحول‌آفرین نظیر «پیمان جهانی محیط‌زیست» به‌عنوان یک سند چارچوبی جامع با ماهیت الزام‌آور است؟ و به عبارت دقیق‌تر، پیمان جهانی تا چه اندازه می‌تواند پاسخگوی خلاءهای شناسایی‌شده باشد و چه نسبتی با منابع موجود حقوق بین‌الملل محیط‌زیست برقرار می‌کند و مهم‌ترین چالش‌های فراروی آن کدام است؟</w:t>
      </w:r>
    </w:p>
    <w:p>
      <w:pPr>
        <w:pStyle w:val="Heading2"/>
        <w:bidi w:val="1"/>
        <w:spacing w:line="312" w:lineRule="auto" w:before="200" w:after="120"/>
        <w:jc w:val="right"/>
      </w:pPr>
      <w:r>
        <w:rPr>
          <w:rFonts w:ascii="Times New Roman" w:hAnsi="Times New Roman" w:cs="B Nazanin"/>
          <w:sz w:val="24"/>
          <w:szCs w:val="24"/>
          <w:rtl w:val="1"/>
          <w:b/>
          <w:bCs/>
          <w:color w:val="000000"/>
        </w:rPr>
        <w:t>۳-۱ واکاوی خلاءهای حقوق بینالملل محیطزیست  در پرتو گزارش دبیرکل سازمان ملل متحد</w:t>
      </w:r>
    </w:p>
    <w:p>
      <w:pPr>
        <w:bidi w:val="1"/>
        <w:spacing w:line="312" w:lineRule="auto" w:before="0" w:after="120"/>
        <w:ind w:firstLine="454"/>
        <w:jc w:val="both"/>
      </w:pPr>
      <w:r>
        <w:rPr>
          <w:rFonts w:ascii="Times New Roman" w:hAnsi="Times New Roman" w:cs="B Nazanin"/>
          <w:sz w:val="22"/>
          <w:szCs w:val="28"/>
          <w:rtl w:val="1"/>
        </w:rPr>
        <w:t xml:space="preserve">قطعنامه 277 /72 </w:t>
      </w:r>
      <w:r>
        <w:rPr>
          <w:rStyle w:val="FootnoteReference"/>
          <w:rtl w:val="1"/>
        </w:rPr>
        <w:footnoteReference w:id="97"/>
      </w:r>
      <w:r>
        <w:rPr>
          <w:rFonts w:ascii="Times New Roman" w:hAnsi="Times New Roman" w:cs="B Nazanin"/>
          <w:sz w:val="22"/>
          <w:szCs w:val="28"/>
          <w:rtl w:val="1"/>
        </w:rPr>
        <w:t>ا در بند اول اجرایی، ز دبیرکل درخواست مینماید تا گزارش فنی و مبتنی بر شواهد را با تمرکز بر شناسایی و ارزیابی خلاءهای احتمالی در حقوق بینالملل محیطزیست و سایر اسناد مرتبط با محیطزیست، البته با نگاهی به تقویت اجرای آنها، به هفتاد و سومین نشست مجمع عمومی ارائه دهد.</w:t>
      </w:r>
      <w:r>
        <w:rPr>
          <w:rStyle w:val="FootnoteReference"/>
          <w:rtl w:val="1"/>
        </w:rPr>
        <w:footnoteReference w:id="98"/>
      </w:r>
      <w:r>
        <w:rPr>
          <w:rFonts w:ascii="Times New Roman" w:hAnsi="Times New Roman" w:cs="B Nazanin"/>
          <w:sz w:val="22"/>
          <w:szCs w:val="28"/>
          <w:rtl w:val="1"/>
        </w:rPr>
        <w:t xml:space="preserve"> به موجب همین قطعنامه گروهکاری موقتی باز</w:t>
      </w:r>
      <w:r>
        <w:rPr>
          <w:rStyle w:val="FootnoteReference"/>
          <w:rtl w:val="1"/>
        </w:rPr>
        <w:footnoteReference w:id="99"/>
      </w:r>
      <w:r>
        <w:rPr>
          <w:rFonts w:ascii="Times New Roman" w:hAnsi="Times New Roman" w:cs="B Nazanin"/>
          <w:sz w:val="22"/>
          <w:szCs w:val="28"/>
          <w:rtl w:val="1"/>
        </w:rPr>
        <w:t xml:space="preserve"> تحت نظارت مجمع عمومی برای بررسی گزارش دبیرکل و لحاظ گزارش دبیرکل به عنوان راهنمای مذاکرات و مذاکره در خصوص گزینههای احتمالی جهت رسیدگی به خلاءهای احتمالی در حقوق بینالملل محیطزیست و سایر اسناد مرتبط در صورت لزوم ایجاد گردید.</w:t>
      </w:r>
    </w:p>
    <w:p>
      <w:pPr>
        <w:bidi w:val="1"/>
        <w:spacing w:line="312" w:lineRule="auto" w:before="0" w:after="120"/>
        <w:ind w:firstLine="454"/>
        <w:jc w:val="both"/>
      </w:pPr>
      <w:r>
        <w:rPr>
          <w:rFonts w:ascii="Times New Roman" w:hAnsi="Times New Roman" w:cs="B Nazanin"/>
          <w:sz w:val="22"/>
          <w:szCs w:val="28"/>
          <w:rtl w:val="1"/>
        </w:rPr>
        <w:t>در نوامبر 2018 گزارش دبیرکل با عنوان «خلاءهای حقوق بینالملل محیطزیست و اسناد مرتبط محیطزیست: به سوی پیمان جهانی محیطزیست»</w:t>
      </w:r>
      <w:r>
        <w:rPr>
          <w:rStyle w:val="FootnoteReference"/>
          <w:rtl w:val="1"/>
        </w:rPr>
        <w:footnoteReference w:id="100"/>
      </w:r>
      <w:r>
        <w:rPr>
          <w:rFonts w:ascii="Times New Roman" w:hAnsi="Times New Roman" w:cs="B Nazanin"/>
          <w:sz w:val="22"/>
          <w:szCs w:val="28"/>
          <w:rtl w:val="1"/>
        </w:rPr>
        <w:t xml:space="preserve"> منتشر شد. در این گزارش به کاستیها در سطوح مختلف و عمدتاً در ارتباط با اصول قابل اجرای حقوق بینالملل محیطزیست، محتوای هنجاری و نهادی رژیمهای مقرراتی بخشی</w:t>
      </w:r>
      <w:r>
        <w:rPr>
          <w:rStyle w:val="FootnoteReference"/>
          <w:rtl w:val="1"/>
        </w:rPr>
        <w:footnoteReference w:id="101"/>
      </w:r>
      <w:r>
        <w:rPr>
          <w:rFonts w:ascii="Times New Roman" w:hAnsi="Times New Roman" w:cs="B Nazanin"/>
          <w:sz w:val="22"/>
          <w:szCs w:val="28"/>
          <w:rtl w:val="1"/>
        </w:rPr>
        <w:t xml:space="preserve"> و همچنین اشتراک با رژیمهای مرتبط با محیطزیست، ساختار حکمرانی حقوق بینالملل محیطزیست و اجرای موثر و پایبندی به حقوق بینالملل محیطزیست اشاره گردیده است. باید توجه داشت که نه در قطعنامه 277/72 علیرغم عنوان و نه در گزارش دبیرکل، اشاره مستقیم به پیشنویس پیمان جهانی محیطزیست نشده است. در این اسناد، پیشنهاد جدیدی که در دستورکار سازمان ملل برای بررسی قرار گرفته است، صرفاً بهعنوان یک گزینه بهمنظور تقویت حقوق بینالملل محیطزیست در نظرگرفته میشود. </w:t>
      </w:r>
    </w:p>
    <w:p>
      <w:pPr>
        <w:bidi w:val="1"/>
        <w:spacing w:line="312" w:lineRule="auto" w:before="0" w:after="120"/>
        <w:ind w:firstLine="454"/>
        <w:jc w:val="both"/>
      </w:pPr>
      <w:r>
        <w:rPr>
          <w:rFonts w:ascii="Times New Roman" w:hAnsi="Times New Roman" w:cs="B Nazanin"/>
          <w:sz w:val="22"/>
          <w:szCs w:val="28"/>
          <w:rtl w:val="1"/>
        </w:rPr>
        <w:t xml:space="preserve"> توسعه پرشتاب و بخشی‌نگر منابع حقوق بینالملل محیطزیست در پاسخ به بحران‌های محیطزیستی نوظهور، به نظامی انجامیده که علی‌رغم گستردگی، با ناهماهنگی، عدم‌شفافیت و ضعف در اجرا مواجه است. اینجاست که پرسش از «خلاءها» در وضعیت فعلی منابع حقوق بین‌الملل محیط‌زیست اهمیت می‌یابد. بررسی انتقادی منابع موجود نشان می‌دهد که خلاءها صرفاً به نبود مقرره در موضوعی خاص محدود نمی‌شوند، بلکه ابعاد متنوعی از جمله ابهام در محتوا و جایگاه اصول حقوقی، فقدان هماهنگی میان رژیم‌های معاهده‌ای متعدد، ضعف سازوکارهای اجرایی و عدم‌ارتباط مؤثر با اسناد مرتبط در حوزه‌های تجارت، سرمایه‌گذاری و حقوق بشر را دربرمی‌گیرند. به بیان دیگر، خلاءها نه تنها در فقدان قاعده، که در ناکارآمدی ساختار موجود برای پاسخ‌دهی به چالش‌های پیچیده و به‌هم‌پیوسته محیطزیستی ریشه دارند. شناسایی این خلاءها، دریچه‌ای نو به سوی تقویت بنیان‌های هنجاری و ارتقاء کارآمدی نظام حقوق بین‌الملل محیط‌زیست می‌گشاید.</w:t>
      </w:r>
    </w:p>
    <w:p>
      <w:pPr>
        <w:bidi w:val="1"/>
        <w:spacing w:line="312" w:lineRule="auto" w:before="0" w:after="120"/>
        <w:ind w:firstLine="454"/>
        <w:jc w:val="both"/>
      </w:pPr>
      <w:r>
        <w:rPr>
          <w:rFonts w:ascii="Times New Roman" w:hAnsi="Times New Roman" w:cs="B Nazanin"/>
          <w:sz w:val="22"/>
          <w:szCs w:val="28"/>
          <w:rtl w:val="1"/>
        </w:rPr>
        <w:t>گزارش دبیرکل نه تنها به منابع حقوق بین‌الملل محیط‌زیست اشاره دارد، بلکه تحلیل خود را بر پایه شناخت این منابع و تعامل میان آن‌ها بنا نهاده است. گزارش با اتکا به منابع سنتی حقوق بین‌الملل (معاهدات، عرف و اصول)، به واکاوی خلاءها پرداخته و در نهایت، تدوین یک سند بین‌المللی جامع و وحدت‌بخش را بهعنوان راهکاری برای رفع برخی از این خلاءها، به‌ویژه در حوزه اصول حقوقی، پیشنهاد می‌دهد.</w:t>
      </w:r>
    </w:p>
    <w:p>
      <w:pPr>
        <w:bidi w:val="1"/>
        <w:spacing w:line="312" w:lineRule="auto" w:before="0" w:after="120"/>
        <w:ind w:firstLine="454"/>
        <w:jc w:val="both"/>
      </w:pPr>
      <w:r>
        <w:rPr>
          <w:rFonts w:ascii="Times New Roman" w:hAnsi="Times New Roman" w:cs="B Nazanin"/>
          <w:sz w:val="22"/>
          <w:szCs w:val="28"/>
          <w:rtl w:val="1"/>
        </w:rPr>
        <w:t>گفتار پیشرو با اتکا به یک سند رسمی و معتبر یعنی گزارش دبیرکل سازمان ملل می‌کوشد تا ضمن شناسایی خلاءهای نظام حقوق بین‌الملل محیط‌زیست، بستر لازم را جهت بررسی ضرورت یا عدم ضرورت اتخاذ یک ابتکار کلان مانند پیمان جهانی محیط‌زیست فراهم نماید و از این رهگذر، گامی مؤثر در جهت تدوین یک چارچوب تحلیلی جامع برای اصلاح و ارتقاء نظام حقوقی محیط‌زیست جهانی بردارد.</w:t>
      </w:r>
    </w:p>
    <w:p>
      <w:pPr>
        <w:pStyle w:val="Heading3"/>
        <w:bidi w:val="1"/>
        <w:spacing w:line="312" w:lineRule="auto" w:before="200" w:after="120"/>
        <w:jc w:val="right"/>
      </w:pPr>
      <w:r>
        <w:rPr>
          <w:rFonts w:ascii="Times New Roman" w:hAnsi="Times New Roman" w:cs="B Nazanin"/>
          <w:sz w:val="24"/>
          <w:szCs w:val="24"/>
          <w:rtl w:val="1"/>
          <w:b/>
          <w:bCs/>
          <w:color w:val="000000"/>
        </w:rPr>
        <w:t>۳-۱-۱ منابع حقوق بین الملل محیطزیست در وضعیت فعلی آن از منظر گزارش دبیرکل</w:t>
      </w:r>
    </w:p>
    <w:p>
      <w:pPr>
        <w:bidi w:val="1"/>
        <w:spacing w:line="312" w:lineRule="auto" w:before="0" w:after="120"/>
        <w:ind w:firstLine="454"/>
        <w:jc w:val="both"/>
      </w:pPr>
      <w:r>
        <w:rPr>
          <w:rFonts w:ascii="Times New Roman" w:hAnsi="Times New Roman" w:cs="B Nazanin"/>
          <w:sz w:val="22"/>
          <w:szCs w:val="28"/>
          <w:rtl w:val="1"/>
        </w:rPr>
        <w:t>حقوق بین‌الملل محیطزیست شاخه‌ای از حقوق بین‌الملل عمومی است که به تنظیم روابط بین دولت‌ها و سازمان‌های بین‌المللی در زمینه حفاظت از محیطزیست می‌پردازد. این حوزه حقوقی بر پایه قواعد و اصول کلی حقوق بین‌الملل عمومی استوار است و از منابع سنتی حقوق بین‌الملل، که در ماده ۳۸ اساسنامه دیوان بین‌المللی دادگستری ذکر شده‌اند، استفاده می‌کند. این منابع اصلی شامل معاهدات بین‌المللی، عرف بین‌المللی و اصول کلی حقوقی هستند و مجموعه بزرگی از تعهدات حقوقی بین‌المللی را که هدف اصلی آنها حفاظت از محیطزیست و استفاده پایدار از منابع طبیعی است، به ارمغان آوردهاند.</w:t>
      </w:r>
      <w:r>
        <w:rPr>
          <w:rStyle w:val="FootnoteReference"/>
          <w:rtl w:val="1"/>
        </w:rPr>
        <w:footnoteReference w:id="102"/>
      </w:r>
      <w:r>
        <w:rPr>
          <w:rFonts w:ascii="Times New Roman" w:hAnsi="Times New Roman" w:cs="B Nazanin"/>
          <w:sz w:val="22"/>
          <w:szCs w:val="28"/>
          <w:rtl w:val="1"/>
        </w:rPr>
        <w:t xml:space="preserve"> لذا، حقوق بین‌الملل محیطزیست به‌صورت مجزا عمل نمی‌کند، بلکه در چارچوب قواعد و اصول کلی حقوق بین‌الملل عمومی قرار دارد. این تعامل به این معناست که اصولی مانند حاکمیت دولت‌ها، مسئولیت بین‌المللی و همکاری بین‌المللی، پایه‌های حقوق بین‌الملل محیطزیست را تشکیل می‌دهند.</w:t>
      </w:r>
    </w:p>
    <w:p>
      <w:pPr>
        <w:pStyle w:val="Heading3"/>
        <w:bidi w:val="1"/>
        <w:spacing w:line="312" w:lineRule="auto" w:before="200" w:after="120"/>
        <w:jc w:val="right"/>
      </w:pPr>
      <w:r>
        <w:rPr>
          <w:rFonts w:ascii="Times New Roman" w:hAnsi="Times New Roman" w:cs="B Nazanin"/>
          <w:sz w:val="24"/>
          <w:szCs w:val="24"/>
          <w:rtl w:val="1"/>
          <w:b/>
          <w:bCs/>
          <w:color w:val="000000"/>
        </w:rPr>
        <w:t>۳-۱-۱-۱ موافقتنامههای چندجانبه محیطزیستی</w:t>
      </w:r>
    </w:p>
    <w:p>
      <w:pPr>
        <w:bidi w:val="1"/>
        <w:spacing w:line="312" w:lineRule="auto" w:before="0" w:after="120"/>
        <w:ind w:firstLine="454"/>
        <w:jc w:val="both"/>
      </w:pPr>
      <w:r>
        <w:rPr>
          <w:rFonts w:ascii="Times New Roman" w:hAnsi="Times New Roman" w:cs="B Nazanin"/>
          <w:sz w:val="22"/>
          <w:szCs w:val="28"/>
          <w:rtl w:val="1"/>
        </w:rPr>
        <w:t>موافقتنامههایچندجانبهمحیطزیستی</w:t>
      </w:r>
      <w:r>
        <w:rPr>
          <w:rStyle w:val="FootnoteReference"/>
          <w:rtl w:val="1"/>
        </w:rPr>
        <w:footnoteReference w:id="103"/>
      </w:r>
      <w:r>
        <w:rPr>
          <w:rFonts w:ascii="Times New Roman" w:hAnsi="Times New Roman" w:cs="B Nazanin"/>
          <w:sz w:val="22"/>
          <w:szCs w:val="28"/>
          <w:rtl w:val="1"/>
        </w:rPr>
        <w:t>بهعنوان بخشی از و زیرمجموعه تخصصی حقوق بینالملل محیطزیست، در سطح منطقه‌ای و جهانی بهعنوان اصلی‌ترین منبع حقوقبین‌المللمحیطزیست شناخته می‌شوند. این موافقتنامهها با هدف مقابله با چالش‌های خاص محیطزیستی، مانند تغییرات آب‌وهوایی، کاهش تنوع زیستی، آلودگی‌های فرامرزی و ... تدوین شده‌اند. سازمانمللمتحد نقش مهمی در تکامل موافقتنامههایچندجانبه محیطزیستی ایفا نموده است. هر چند همه موافقتنامههایچندجانبه محیطزیستی لزوماً در چارچوب سازمانمللمتحد شکل نگرفتهاند. بهعنوان مثال کنوانسیون تالابهای مهم بینالمللی بهویژه زیستگاه پرندگان آبزی معروف به کنوانسیون رامسر مصوب 1971</w:t>
      </w:r>
      <w:r>
        <w:rPr>
          <w:rStyle w:val="FootnoteReference"/>
          <w:rtl w:val="1"/>
        </w:rPr>
        <w:footnoteReference w:id="104"/>
      </w:r>
      <w:r>
        <w:rPr>
          <w:rFonts w:ascii="Times New Roman" w:hAnsi="Times New Roman" w:cs="B Nazanin"/>
          <w:sz w:val="22"/>
          <w:szCs w:val="28"/>
          <w:rtl w:val="1"/>
        </w:rPr>
        <w:t xml:space="preserve"> و کنوانسیون تجارت بینالمللی گونههای جانوری و گیاهی در خطر انقراض مصوب 1973</w:t>
      </w:r>
      <w:r>
        <w:rPr>
          <w:rStyle w:val="FootnoteReference"/>
          <w:rtl w:val="1"/>
        </w:rPr>
        <w:footnoteReference w:id="105"/>
      </w:r>
      <w:r>
        <w:rPr>
          <w:rFonts w:ascii="Times New Roman" w:hAnsi="Times New Roman" w:cs="B Nazanin"/>
          <w:sz w:val="22"/>
          <w:szCs w:val="28"/>
          <w:rtl w:val="1"/>
        </w:rPr>
        <w:t xml:space="preserve"> در چارچوب اتحادیه جهانی حفاظت از طبیعت</w:t>
      </w:r>
      <w:r>
        <w:rPr>
          <w:rStyle w:val="FootnoteReference"/>
          <w:rtl w:val="1"/>
        </w:rPr>
        <w:footnoteReference w:id="106"/>
      </w:r>
      <w:r>
        <w:rPr>
          <w:rFonts w:ascii="Times New Roman" w:hAnsi="Times New Roman" w:cs="B Nazanin"/>
          <w:sz w:val="22"/>
          <w:szCs w:val="28"/>
          <w:rtl w:val="1"/>
        </w:rPr>
        <w:t xml:space="preserve"> تهیه و تصویب گردیده است.</w:t>
      </w:r>
    </w:p>
    <w:p>
      <w:pPr>
        <w:bidi w:val="1"/>
        <w:spacing w:line="312" w:lineRule="auto" w:before="0" w:after="120"/>
        <w:ind w:firstLine="454"/>
        <w:jc w:val="both"/>
      </w:pPr>
      <w:r>
        <w:rPr>
          <w:rFonts w:ascii="Times New Roman" w:hAnsi="Times New Roman" w:cs="B Nazanin"/>
          <w:sz w:val="22"/>
          <w:szCs w:val="28"/>
          <w:rtl w:val="1"/>
        </w:rPr>
        <w:t>موافقتنامههای چندجانبه محیطزیستی معمولاً اسناد زندهای هستند که رژیم حقوقی آنها در حال تحولند. تکامل آنها معمولاً از طریق جلسات اعضای آن سند و در قالب ارکان حاکم بر آن معاهده صورت میپذیرد.</w:t>
      </w:r>
      <w:r>
        <w:rPr>
          <w:rStyle w:val="FootnoteReference"/>
          <w:rtl w:val="1"/>
        </w:rPr>
        <w:footnoteReference w:id="107"/>
      </w:r>
      <w:r>
        <w:rPr>
          <w:rFonts w:ascii="Times New Roman" w:hAnsi="Times New Roman" w:cs="B Nazanin"/>
          <w:sz w:val="22"/>
          <w:szCs w:val="28"/>
          <w:rtl w:val="1"/>
        </w:rPr>
        <w:t xml:space="preserve"> منطق چنین رویکردتکاملی در تصمیمسازی حقوقبینالمللمحیطزیست، همگامی با پیشرفتهای علمی و پاسخگویی به شرایط سیاسی، اقتصادی و فناوری در حال تحول است. لذا، ماهیت پویا و در حال تحول رژیمهای موافقتنامههایچندجانبه محیطزیستی اقتضا میکند که موضوعات جدید و مهم در دستورکار مذاکره قرار گیرند، نظیر مذاکرات اخیر کشورها از سال 2022 میلادی تاکنون جهت شکلگیری سند الزامآوری راجع به آلودگی پلاستیکی .  به قطعنامه یونپ اشاره شود.</w:t>
      </w:r>
    </w:p>
    <w:p>
      <w:pPr>
        <w:bidi w:val="1"/>
        <w:spacing w:line="312" w:lineRule="auto" w:before="0" w:after="120"/>
        <w:ind w:firstLine="454"/>
        <w:jc w:val="both"/>
      </w:pPr>
      <w:r>
        <w:rPr>
          <w:rFonts w:ascii="Times New Roman" w:hAnsi="Times New Roman" w:cs="B Nazanin"/>
          <w:sz w:val="22"/>
          <w:szCs w:val="28"/>
          <w:rtl w:val="1"/>
        </w:rPr>
        <w:t>گزارش دبیرکل، معاهدات بین‌المللی را منبع غالب حقوق بین‌الملل محیط‌زیست معرفی می‌کند. به گونهای که تاکنون بیش از ۵۰۰ موافقتنامهچندجانبه محیطزیستی به تصویب رسیده است. هر موافقتنامه نیز بهصورت جداگانه و در پاسخ به بحران‌ خاص محیطزیستی توسعه یافته‌اند و از نظر تعهدات حقوقی و نهادی و همچنین مکانیسمهای اجرایی و نظارتی مستقل از سایر موافقتنامهها عمل می‌کند.</w:t>
      </w:r>
      <w:r>
        <w:rPr>
          <w:rStyle w:val="FootnoteReference"/>
          <w:rtl w:val="1"/>
        </w:rPr>
        <w:footnoteReference w:id="108"/>
      </w:r>
      <w:r>
        <w:rPr>
          <w:rFonts w:ascii="Times New Roman" w:hAnsi="Times New Roman" w:cs="B Nazanin"/>
          <w:sz w:val="22"/>
          <w:szCs w:val="28"/>
          <w:rtl w:val="1"/>
        </w:rPr>
        <w:t xml:space="preserve"> این ویژگی باعث شده است که هر موافقتنامه به‌صورت مجزا و بدون ارتباط مستقیم با سایر موافقتنامهها و بدون ایجاد یک چارچوب جامع و یکپارچه برای حفاظت از محیطزیست توسعه یابند. بهعنوان مثال، اولین موافقتنامهچندجانبهمحیطزیستی که همانا کنوانسیون رامسر 1971 میباشد با هدف حفاظت از تالابهای مهم بینالمللی بهویژه زیستگاههای پرندگان آبزی شکل گرفت. سپس، شاهد شکلگیری موافقتنامههای چندجانبه متعدد با موضوع تغییر اقلیم و گرمایش جهانی بودیم. این درحال است که گرمایش جهانی یکی از عوامل تهدید کننده بقای تالابهای مهم بینالمللی و زیستگاههای پرندگان آبزی است. لذا، ماهیت فزاینده و پراکنده قانونگذاری بینالمللی در حوزه محیطزیست منجر به گسترش رژیمهای مقرراتی عمدتاً بخشی</w:t>
      </w:r>
      <w:r>
        <w:rPr>
          <w:rStyle w:val="FootnoteReference"/>
          <w:rtl w:val="1"/>
        </w:rPr>
        <w:footnoteReference w:id="109"/>
      </w:r>
      <w:r>
        <w:rPr>
          <w:rFonts w:ascii="Times New Roman" w:hAnsi="Times New Roman" w:cs="B Nazanin"/>
          <w:sz w:val="22"/>
          <w:szCs w:val="28"/>
          <w:rtl w:val="1"/>
        </w:rPr>
        <w:t xml:space="preserve"> و یک چارچوب حقوقی بینالمللی پراکنده برای حفاظت از محیطزیست شده است.</w:t>
      </w:r>
      <w:r>
        <w:rPr>
          <w:rStyle w:val="FootnoteReference"/>
          <w:rtl w:val="1"/>
        </w:rPr>
        <w:footnoteReference w:id="110"/>
      </w:r>
      <w:r>
        <w:rPr>
          <w:rFonts w:ascii="Times New Roman" w:hAnsi="Times New Roman" w:cs="B Nazanin"/>
          <w:sz w:val="22"/>
          <w:szCs w:val="28"/>
          <w:rtl w:val="1"/>
        </w:rPr>
        <w:t xml:space="preserve"> گرچه این نوع ماهیت به توسعه سریعتر حقوقبینالملل محیطزیست کمک کرده اما اجرای موثر آن را دشوار ساخته است. </w:t>
      </w:r>
    </w:p>
    <w:p>
      <w:pPr>
        <w:bidi w:val="1"/>
        <w:spacing w:line="312" w:lineRule="auto" w:before="0" w:after="120"/>
        <w:ind w:firstLine="454"/>
        <w:jc w:val="both"/>
      </w:pPr>
      <w:r>
        <w:rPr>
          <w:rFonts w:ascii="Times New Roman" w:hAnsi="Times New Roman" w:cs="B Nazanin"/>
          <w:sz w:val="22"/>
          <w:szCs w:val="28"/>
          <w:rtl w:val="1"/>
        </w:rPr>
        <w:t>پراکندگی</w:t>
      </w:r>
      <w:r>
        <w:rPr>
          <w:rStyle w:val="FootnoteReference"/>
          <w:rtl w:val="1"/>
        </w:rPr>
        <w:footnoteReference w:id="111"/>
      </w:r>
      <w:r>
        <w:rPr>
          <w:rFonts w:ascii="Times New Roman" w:hAnsi="Times New Roman" w:cs="B Nazanin"/>
          <w:sz w:val="22"/>
          <w:szCs w:val="28"/>
          <w:rtl w:val="1"/>
        </w:rPr>
        <w:t xml:space="preserve"> به عنوان یکی از پیامدهای تصمیم‌گیری چندجانبه در حقوقبین‌الملل، به وضعیتی اشاره دارد که در آن قواعد و سازوکارهای حقوقی متعدد و گاه متضاد در یک حوزه خاص وجود داشتهباشد. در حقوقبین‌الملل محیطزیست، این پراکندگی ناشی از تعدد موافقتنامههایچندجانبه محیطزیستی و رژیم‌های مقرراتی است که هر یک به‌صورت مستقل عمل می‌کنند. این وضعیت می‌تواند به تعارض در قواعد، همپوشانی در تعهدات، دشواری در اجرای مؤثر حقوقبین‌الملل محیطزیست و همچنین ضعف در هماهنگی که باعث کاهش اثربخشی اقدامات بینالمللی برای حفاظت از محیطزیست میگردد، منجر شود.</w:t>
      </w:r>
      <w:r>
        <w:rPr>
          <w:rStyle w:val="FootnoteReference"/>
          <w:rtl w:val="1"/>
        </w:rPr>
        <w:footnoteReference w:id="112"/>
      </w:r>
      <w:r>
        <w:rPr>
          <w:rFonts w:ascii="Times New Roman" w:hAnsi="Times New Roman" w:cs="B Nazanin"/>
          <w:sz w:val="22"/>
          <w:szCs w:val="28"/>
          <w:rtl w:val="1"/>
        </w:rPr>
        <w:t xml:space="preserve">  </w:t>
      </w:r>
    </w:p>
    <w:p>
      <w:pPr>
        <w:bidi w:val="1"/>
        <w:spacing w:line="312" w:lineRule="auto" w:before="0" w:after="120"/>
        <w:ind w:firstLine="454"/>
        <w:jc w:val="both"/>
      </w:pPr>
      <w:r>
        <w:rPr>
          <w:rFonts w:ascii="Times New Roman" w:hAnsi="Times New Roman" w:cs="B Nazanin"/>
          <w:sz w:val="22"/>
          <w:szCs w:val="28"/>
          <w:rtl w:val="1"/>
        </w:rPr>
        <w:t>بنابراین، درحقوقبین‌الملل محیطزیست هیچ چارچوب هنجاری فراگیر واحدی وجود ندارد که بتوان آن را بهعنوان قواعد و اصول کاربردی کلی مشخص کرد. این در حالیست که، بسیاری از حوزههای حقوقبینالملل دارای کنوانسیونهای چارچوبی</w:t>
      </w:r>
      <w:r>
        <w:rPr>
          <w:rStyle w:val="FootnoteReference"/>
          <w:rtl w:val="1"/>
        </w:rPr>
        <w:footnoteReference w:id="113"/>
      </w:r>
      <w:r>
        <w:rPr>
          <w:rFonts w:ascii="Times New Roman" w:hAnsi="Times New Roman" w:cs="B Nazanin"/>
          <w:sz w:val="22"/>
          <w:szCs w:val="28"/>
          <w:rtl w:val="1"/>
        </w:rPr>
        <w:t xml:space="preserve"> الزامآوری هستند که به بیان قواعد کلی پرداخته و دامنه آنها به اندازه کافی گسترده است تا قواعد و اصول خاصتری را در اسناد بخشی یا منطقهای پوشش دهد و حد خاصی از هماهنگی و انسجام را فراهم کند. بهعنوان مثال میتوان به میثاقین حقوق بشر، حقوقتجارتبینالملل و حقوقبینالمللدریا اشاره کرد. در بیشتر این حوزهها، کنوانسیونهای چارچوبی، هنجارهای عرفی موجود را مدون کردهاند و در بیشتر موارد، نه لزوماً همه، پیش از تدوین کنوانسیونهای خاص</w:t>
      </w:r>
      <w:r>
        <w:rPr>
          <w:rStyle w:val="FootnoteReference"/>
          <w:rtl w:val="1"/>
        </w:rPr>
        <w:footnoteReference w:id="114"/>
      </w:r>
      <w:r>
        <w:rPr>
          <w:rFonts w:ascii="Times New Roman" w:hAnsi="Times New Roman" w:cs="B Nazanin"/>
          <w:sz w:val="22"/>
          <w:szCs w:val="28"/>
          <w:rtl w:val="1"/>
        </w:rPr>
        <w:t>‌ تهیه شدهاند. لذا، ساختار پراکنده حقوقبین‌الملل محیط‌زیست و روند فزاینده آن، ناگزیر به وضعیتی منجر می‌شود که برخی از چالش‌های محیطزیستی مورد توجه قرار می‌گیرند، در حالی که برخی دیگر نه.</w:t>
      </w:r>
    </w:p>
    <w:p>
      <w:pPr>
        <w:bidi w:val="1"/>
        <w:spacing w:line="312" w:lineRule="auto" w:before="0" w:after="120"/>
        <w:ind w:firstLine="454"/>
        <w:jc w:val="both"/>
      </w:pPr>
      <w:r>
        <w:rPr>
          <w:rFonts w:ascii="Times New Roman" w:hAnsi="Times New Roman" w:cs="B Nazanin"/>
          <w:sz w:val="22"/>
          <w:szCs w:val="28"/>
          <w:rtl w:val="1"/>
        </w:rPr>
        <w:t xml:space="preserve"> در گزارش دبیرکل رویکردهای انتقادی نسبت به موافقتنامههای چندجانبه محیطزیستی مطرح شده است. نظیر تکامل واکنشی و تدریجی موافقتنامهها، پراکندگی آنها، شکاف در پوشش موضوعات به گونهای که برخی موضوعات مهم مانند حفاظت از خاک، آلودگی پلاستیکی دریاها، جنگل‌ها و نانومواد فاقد مقررات الزام‌آور هستند</w:t>
      </w:r>
      <w:r>
        <w:rPr>
          <w:rStyle w:val="FootnoteReference"/>
          <w:rtl w:val="1"/>
        </w:rPr>
        <w:footnoteReference w:id="115"/>
      </w:r>
      <w:r>
        <w:rPr>
          <w:rFonts w:ascii="Times New Roman" w:hAnsi="Times New Roman" w:cs="B Nazanin"/>
          <w:sz w:val="22"/>
          <w:szCs w:val="28"/>
          <w:rtl w:val="1"/>
        </w:rPr>
        <w:t xml:space="preserve"> (بند  41) و تعامل پیچیده موافقتنامهها شامل هم‌پوشانی و تداخل میان معاهدات مختلف که چالش هایی را در حوزه تغییرات اقلیمی، لایه اوزن و تنوع زیستی ایجاد کرده است.</w:t>
      </w:r>
      <w:r>
        <w:rPr>
          <w:rStyle w:val="FootnoteReference"/>
          <w:rtl w:val="1"/>
        </w:rPr>
        <w:footnoteReference w:id="116"/>
      </w:r>
      <w:r>
        <w:rPr>
          <w:rFonts w:ascii="Times New Roman" w:hAnsi="Times New Roman" w:cs="B Nazanin"/>
          <w:sz w:val="22"/>
          <w:szCs w:val="28"/>
          <w:rtl w:val="1"/>
        </w:rPr>
        <w:t xml:space="preserve"> (بند ۲۹).</w:t>
      </w:r>
    </w:p>
    <w:p>
      <w:pPr>
        <w:bidi w:val="1"/>
        <w:spacing w:line="312" w:lineRule="auto" w:before="0" w:after="120"/>
        <w:ind w:firstLine="454"/>
        <w:jc w:val="both"/>
      </w:pPr>
      <w:r>
        <w:rPr>
          <w:rFonts w:ascii="Times New Roman" w:hAnsi="Times New Roman" w:cs="B Nazanin"/>
          <w:sz w:val="22"/>
          <w:szCs w:val="28"/>
          <w:rtl w:val="1"/>
        </w:rPr>
        <w:t>برخی معتقدند که «توسعه یک معاهده جامع و واحد از هنجارهای بنیادین محیطزیستی میتواند راهحلی برای مقابله با پراکندگی و ایجاد شفافیت در مورد وضعیت حقوقی مفاهیم مختلف باشد. چنین توافق جامعی ممکن است یک چارچوب حقوقی برای حمایت از ادغام بیشتر جنبههای گوناگون توسعه پایدار را ایجاد کند و توافق جمعی در هنجارهای بنیادین حقوقی را به لحاظ داخلی و بینالمللی تقویت نماید. بنابراین، این موضوع میتواند مجموعه واحدی از مفاهیم بنیادین را برای راهنمایی دولتها،سازمانهایبینالمللی،سازمانهایغیردولتی و افراد به وجود آورد. این چنین توافق جامعی میتواند بسیاری از مفاهیم پذیرفته شده اما پراکنده را که در متون غیرالزامآور در مورد محیطزیست و توسعه پایدار آمدهاند را تحکیم و مدون کند و خلاءهای حقوق موجود را پر کند. همچنین موجب تسهیل پیوندهای نهادین ما بین معاهدات موجود و اجرای آنها گردد و در تصمیمات داوری و قضایی، مذاکرات اسناد جدید بینالمللی و قانونگذاری داخلی مورد ارزیابی و محاسبه قرار گیرند.»</w:t>
      </w:r>
      <w:r>
        <w:rPr>
          <w:rStyle w:val="FootnoteReference"/>
          <w:rtl w:val="1"/>
        </w:rPr>
        <w:footnoteReference w:id="117"/>
      </w:r>
    </w:p>
    <w:p>
      <w:pPr>
        <w:pStyle w:val="Heading3"/>
        <w:bidi w:val="1"/>
        <w:spacing w:line="312" w:lineRule="auto" w:before="200" w:after="120"/>
        <w:jc w:val="right"/>
      </w:pPr>
      <w:r>
        <w:rPr>
          <w:rFonts w:ascii="Times New Roman" w:hAnsi="Times New Roman" w:cs="B Nazanin"/>
          <w:sz w:val="24"/>
          <w:szCs w:val="24"/>
          <w:rtl w:val="1"/>
          <w:b/>
          <w:bCs/>
          <w:color w:val="000000"/>
        </w:rPr>
        <w:t>۳-۱-۱-۲ عرف</w:t>
      </w:r>
    </w:p>
    <w:p>
      <w:pPr>
        <w:bidi w:val="1"/>
        <w:spacing w:line="312" w:lineRule="auto" w:before="0" w:after="120"/>
        <w:ind w:firstLine="454"/>
        <w:jc w:val="both"/>
      </w:pPr>
      <w:r>
        <w:rPr>
          <w:rFonts w:ascii="Times New Roman" w:hAnsi="Times New Roman" w:cs="B Nazanin"/>
          <w:sz w:val="22"/>
          <w:szCs w:val="28"/>
          <w:rtl w:val="1"/>
        </w:rPr>
        <w:t>حقوقبین‌المللعرفی به قواعدی اشاره دارد که از طریق رویه عمومی</w:t>
      </w:r>
      <w:r>
        <w:rPr>
          <w:rStyle w:val="FootnoteReference"/>
          <w:rtl w:val="1"/>
        </w:rPr>
        <w:footnoteReference w:id="118"/>
      </w:r>
      <w:r>
        <w:rPr>
          <w:rFonts w:ascii="Times New Roman" w:hAnsi="Times New Roman" w:cs="B Nazanin"/>
          <w:sz w:val="22"/>
          <w:szCs w:val="28"/>
          <w:rtl w:val="1"/>
        </w:rPr>
        <w:t xml:space="preserve"> و پذیرش آن به عنوان الزام حقوقی</w:t>
      </w:r>
      <w:r>
        <w:rPr>
          <w:rStyle w:val="FootnoteReference"/>
          <w:rtl w:val="1"/>
        </w:rPr>
        <w:footnoteReference w:id="119"/>
      </w:r>
      <w:r>
        <w:rPr>
          <w:rFonts w:ascii="Times New Roman" w:hAnsi="Times New Roman" w:cs="B Nazanin"/>
          <w:sz w:val="22"/>
          <w:szCs w:val="28"/>
          <w:rtl w:val="1"/>
        </w:rPr>
        <w:t xml:space="preserve"> توسط کشورها شکل میگیرد. در حوزه حقوقبین الملل محیطزیست، قواعد عرفی کمتر توسعه یافته‌اند و شناسایی آن‌ها با چالش‌های متعددی همراه است. این امر ناشی از ماهیت پیچیده، چندوجهی و فرامرزی مسائل محیطزیستی و تفاوت در رویکرد کشورها به این مسائل است.</w:t>
      </w:r>
      <w:r>
        <w:rPr>
          <w:rStyle w:val="FootnoteReference"/>
          <w:rtl w:val="1"/>
        </w:rPr>
        <w:footnoteReference w:id="120"/>
      </w:r>
      <w:r>
        <w:rPr>
          <w:rFonts w:ascii="Times New Roman" w:hAnsi="Times New Roman" w:cs="B Nazanin"/>
          <w:sz w:val="22"/>
          <w:szCs w:val="28"/>
          <w:rtl w:val="1"/>
        </w:rPr>
        <w:t>در حوزه حقوقبینالمللمحیطزیست، اثبات آن دو رکن به دلیل تفاوت بین اظهارات و اقدامات عملی کشورها دشوار است. بهعنوان مثال، ممکن است کشورها در سطح بین‌المللی از اصول محیطزیستی حمایت کنند، اما درعمل به دلیل منافع ملی یا محدودیتهای داخلی به تعهدات خود پایبند نباشند. این تفاوت، باعث میشود که اثبات رویه عمومی و باور به الزام حقوقی دشوار شود. با این وجود، برخی از قواعد عرفی موجود در حقوقبینالمللمحیطزیست در موافقتنامههای چندجانبه محیطزیستی به صورت پراکنده تدوین شدهاند. بهعنوان مثال، اصل پیشگیری از آسیب‌های محیطزیستی فرامرزی و اصل انجام ارزیابی اثرات محیطزیستی به عنوان قواعد عرفی شناخته شده‌ در کنوانسیون تغییرات آب‌وهوایی و کنوانسیون تنوع زیستی گنجانده شده‌اند.</w:t>
      </w:r>
      <w:r>
        <w:rPr>
          <w:rStyle w:val="FootnoteReference"/>
          <w:rtl w:val="1"/>
        </w:rPr>
        <w:footnoteReference w:id="121"/>
      </w:r>
      <w:r>
        <w:rPr>
          <w:rFonts w:ascii="Times New Roman" w:hAnsi="Times New Roman" w:cs="B Nazanin"/>
          <w:sz w:val="22"/>
          <w:szCs w:val="28"/>
          <w:rtl w:val="1"/>
        </w:rPr>
        <w:t xml:space="preserve"> این امر باعث گردیده که حقوقبینالمللمحیطزیستعرفی موجود نیز دچار پراکندگی گردد. شایان ذکر است، دادگاه و محاکم بینالمللی از جمله دیوان بین‌المللی دادگستری وجود قواعد حقوق بینالملل عرفی در زمینه حفاظت از محیطزیست را تأیید کردهاند. بهعنوان مثال، در پرونده کارخانه خمیر کاغذ بین آرژانتین و اروگوئه، دیوان بر لزوم انجام ارزیابی اثرات محیطزیستی بهعنوان یک قاعده فی نفسه عرفی تأکید کرد.</w:t>
      </w:r>
      <w:r>
        <w:rPr>
          <w:rStyle w:val="FootnoteReference"/>
          <w:rtl w:val="1"/>
        </w:rPr>
        <w:footnoteReference w:id="122"/>
      </w:r>
    </w:p>
    <w:p>
      <w:pPr>
        <w:bidi w:val="1"/>
        <w:spacing w:line="312" w:lineRule="auto" w:before="0" w:after="120"/>
        <w:ind w:firstLine="454"/>
        <w:jc w:val="both"/>
      </w:pPr>
      <w:r>
        <w:rPr>
          <w:rFonts w:ascii="Times New Roman" w:hAnsi="Times New Roman" w:cs="B Nazanin"/>
          <w:sz w:val="22"/>
          <w:szCs w:val="28"/>
          <w:rtl w:val="1"/>
        </w:rPr>
        <w:t>گزارش دبیرکل تصریح می‌کند که «حقوق بین‌الملل عرفی محیط‌زیست پراکنده و محدود است» (بند ۴گزارش دبیرکل). گزارش به چالش‌برانگیز بودن شناسایی قواعد عرفی در این حوزه اشاره می‌کند، به‌ویژه به دلیل شکاف میان گفتار و رفتار دولت‌ها. (بند 4). با این حال، گزارش چند قاعده عرفی را تأییدشده می‌داند: تعهد به جلوگیری از آسیب‌های فرامرزی (بند ۱۱) انجام ارزیابی اثرات محیط‌زیستی (بند ۱۱) وظیفه همکاری و اعلام‌هشدار در موارد اضطراری (بند ۱۷) و از سوی دیگر اذعان می کند که اصولی مانند اصل احتیاط همچنان محل بحث و اختلاف نظرند و وضعیت عرفی آن‌ها مشخص نیست (بند ۱۲).</w:t>
      </w:r>
    </w:p>
    <w:p>
      <w:pPr>
        <w:bidi w:val="1"/>
        <w:spacing w:line="312" w:lineRule="auto" w:before="0" w:after="120"/>
        <w:ind w:firstLine="454"/>
        <w:jc w:val="both"/>
      </w:pPr>
      <w:r>
        <w:rPr>
          <w:rFonts w:ascii="Times New Roman" w:hAnsi="Times New Roman" w:cs="B Nazanin"/>
          <w:sz w:val="22"/>
          <w:szCs w:val="28"/>
          <w:rtl w:val="1"/>
        </w:rPr>
        <w:t>حقوق ب محیط زیست عرفی نیز پراکنده است. وجود یک قاعده حقوق ب عرفی مستلزم آن است که یک رویه ثابت همراه با باور حقوقی دولت‌ها وجود داشته باشد (اعتقاد به اینکه یک رویه به دلیل وجود یک قاعده حقوقی که آن را ایجاب می کند، الزامی می شود.) با توجه به هنجارهای محیط زیستی بین المللی، شناسایی قواعد حقوق بین الملل عرفی یک کار چالش برانگیز است، به ویژه در شرایطی که بین آنچه دولت ها می گویند و آنچه واقعا انجام می دهند، فاصله وجود دارد. با این وجود، قواعد عرفی موجود در حقوق ب محیط زیست از قبل در معاهدات تدوین شده است. علاوه بر این، دادگاه و محاکم بین المللی وجود قواعد حقوق بین الملل عرفی در زمینه حفاظت از محیط زیست را تأیید کرده اند. پارا 4</w:t>
      </w:r>
    </w:p>
    <w:p>
      <w:pPr>
        <w:pStyle w:val="Heading3"/>
        <w:bidi w:val="1"/>
        <w:spacing w:line="312" w:lineRule="auto" w:before="200" w:after="120"/>
        <w:jc w:val="right"/>
      </w:pPr>
      <w:r>
        <w:rPr>
          <w:rFonts w:ascii="Times New Roman" w:hAnsi="Times New Roman" w:cs="B Nazanin"/>
          <w:sz w:val="24"/>
          <w:szCs w:val="24"/>
          <w:rtl w:val="1"/>
          <w:b/>
          <w:bCs/>
          <w:color w:val="000000"/>
        </w:rPr>
        <w:t>۳-۱-۱-۳ اصول کلی حقوقی</w:t>
      </w:r>
    </w:p>
    <w:p>
      <w:pPr>
        <w:bidi w:val="1"/>
        <w:spacing w:line="312" w:lineRule="auto" w:before="0" w:after="120"/>
        <w:ind w:firstLine="454"/>
        <w:jc w:val="both"/>
      </w:pPr>
      <w:r>
        <w:rPr>
          <w:rFonts w:ascii="Times New Roman" w:hAnsi="Times New Roman" w:cs="B Nazanin"/>
          <w:sz w:val="22"/>
          <w:szCs w:val="28"/>
          <w:rtl w:val="1"/>
        </w:rPr>
        <w:t>«اصول کلی حقوقی یک منبع مستقل حقوقبینالملل محسوب میشود که دارای قلمرو جهانی بوده و پیش از اینکه ناشی از اراده دولتها باشد، بیانگر وجدان حقوقی نوع بشر است. این اصول دارای ویژگی عینی است و کل نظام حقوقبینالملل باید در پرتو این اصول، تفسیر و اعمال شوند.»</w:t>
      </w:r>
      <w:r>
        <w:rPr>
          <w:rStyle w:val="FootnoteReference"/>
          <w:rtl w:val="1"/>
        </w:rPr>
        <w:footnoteReference w:id="123"/>
      </w:r>
      <w:r>
        <w:rPr>
          <w:rFonts w:ascii="Times New Roman" w:hAnsi="Times New Roman" w:cs="B Nazanin"/>
          <w:sz w:val="22"/>
          <w:szCs w:val="28"/>
          <w:rtl w:val="1"/>
        </w:rPr>
        <w:t xml:space="preserve"> هم چنین، «اصول کلی حقوقی، اصول مشترکی هستند که هم در سیستم حقوقی بینالمللی و هم در بسیاری از سیستمهای حقوقی داخلی کشورها معمول میباشند. دیوان بینالمللی دادگستری برخی اوقات اصول حقوق داخلی را بهمنظور توسعه یک قاعده مناسب حقوقبینالملل مورد بررسی قرار میدهد.»</w:t>
      </w:r>
      <w:r>
        <w:rPr>
          <w:rStyle w:val="FootnoteReference"/>
          <w:rtl w:val="1"/>
        </w:rPr>
        <w:footnoteReference w:id="124"/>
      </w:r>
      <w:r>
        <w:rPr>
          <w:rFonts w:ascii="Times New Roman" w:hAnsi="Times New Roman" w:cs="B Nazanin"/>
          <w:sz w:val="22"/>
          <w:szCs w:val="28"/>
          <w:rtl w:val="1"/>
        </w:rPr>
        <w:t xml:space="preserve"> « اصول کلی حقوقی از طرق مختلفی همچون رویه دولتها، درج در اسناد حقوقی بینالمللی، درج آنها در قوانین و مقررات داخلی و از طریق احکام دادگاهها و مراجع قضایی مورد شناسایی قرار میگیرند.»</w:t>
      </w:r>
      <w:r>
        <w:rPr>
          <w:rStyle w:val="FootnoteReference"/>
          <w:rtl w:val="1"/>
        </w:rPr>
        <w:footnoteReference w:id="125"/>
      </w:r>
      <w:r>
        <w:rPr>
          <w:rFonts w:ascii="Times New Roman" w:hAnsi="Times New Roman" w:cs="B Nazanin"/>
          <w:sz w:val="22"/>
          <w:szCs w:val="28"/>
          <w:rtl w:val="1"/>
        </w:rPr>
        <w:t xml:space="preserve"> «تقریباً، تمام اسناد بینالمللی محیطزیستی الزامآور و غیرالزامآور شامل این اصول هستند و یا به آنها ارجاع میدهند و در واقع این اصول موتورهای تکامل حقوقمحیطزیست هستند.»</w:t>
      </w:r>
      <w:r>
        <w:rPr>
          <w:rStyle w:val="FootnoteReference"/>
          <w:rtl w:val="1"/>
        </w:rPr>
        <w:footnoteReference w:id="126"/>
      </w:r>
    </w:p>
    <w:p>
      <w:pPr>
        <w:bidi w:val="1"/>
        <w:spacing w:line="312" w:lineRule="auto" w:before="0" w:after="120"/>
        <w:ind w:firstLine="454"/>
        <w:jc w:val="both"/>
      </w:pPr>
      <w:r>
        <w:rPr>
          <w:rFonts w:ascii="Times New Roman" w:hAnsi="Times New Roman" w:cs="B Nazanin"/>
          <w:sz w:val="22"/>
          <w:szCs w:val="28"/>
          <w:rtl w:val="1"/>
        </w:rPr>
        <w:t>«برخی از اصول به طور خاص در اسناد الزامآور منطقهای و جهانی بیان میشوند، در حالی که برخی دیگر غالباً مبنایی در حقوق عرفی دارند. در بسیاری از موارد تعیین مولفههای دقیق یا وضعیت حقوقی یک اصل خاص مشکل است. روشی که برای هر اصل در ارتباط با یک فعالیت یا حادثه خاص به کار میرود، نسبت به واقعیات و اوضاع و احوال آن مورد خاص در نظر گرفته میشود و عوامل گوناگون از قبیل منابع و سیاق متنی، زبان، فعالیتها و اوضاع و احوال مرتبط با آن از جمله بازیگران و منطقه جغرافیایی و هم چنین اثر حقوقی اصول که ممکن است از یک سیستم حقوقی به سیستم حقوقی دیگر تغییر کند را مورد توجه قرار میدهد.»</w:t>
      </w:r>
      <w:r>
        <w:rPr>
          <w:rStyle w:val="FootnoteReference"/>
          <w:rtl w:val="1"/>
        </w:rPr>
        <w:footnoteReference w:id="127"/>
      </w:r>
    </w:p>
    <w:p>
      <w:pPr>
        <w:bidi w:val="1"/>
        <w:spacing w:line="312" w:lineRule="auto" w:before="0" w:after="120"/>
        <w:ind w:firstLine="454"/>
        <w:jc w:val="both"/>
      </w:pPr>
      <w:r>
        <w:rPr>
          <w:rFonts w:ascii="Times New Roman" w:hAnsi="Times New Roman" w:cs="B Nazanin"/>
          <w:sz w:val="22"/>
          <w:szCs w:val="28"/>
          <w:rtl w:val="1"/>
        </w:rPr>
        <w:t>در جامعه جهانی دو دسته اصول کلی حقوقی مجزا وجود دارد: الف) اصول کلی حقوقبینالملل که از رهگذر استدلال و استنباط از قواعد عرفی و قراردادی حقوقبینالملل به دست میآیند، همانند اصل تساوی حاکمیت دولتها و ب) اصولی که به شاخه خاصی از حقوقبینالملل نظیر حقوق دریاها، حقوق محیطزیست و ... اختصاص دارد.</w:t>
      </w:r>
      <w:r>
        <w:rPr>
          <w:rStyle w:val="FootnoteReference"/>
          <w:rtl w:val="1"/>
        </w:rPr>
        <w:footnoteReference w:id="128"/>
      </w:r>
      <w:r>
        <w:rPr>
          <w:rFonts w:ascii="Times New Roman" w:hAnsi="Times New Roman" w:cs="B Nazanin"/>
          <w:sz w:val="22"/>
          <w:szCs w:val="28"/>
          <w:rtl w:val="1"/>
        </w:rPr>
        <w:t xml:space="preserve"> این اصول معیارهای کلی حقوقی هستند که پیکره کلی حقوق حاکم بر یک حوزه موضوعی خاص را تحت پوشش خود قرار میدهند. هر دو نوع این اصول دو کارکرد مهم دارند. نخستین کارکرد، پرکردن خلاءهای احتمالی در قواعد عرفی و قراردادی و اجتناب تا حد ممکن از ابهام است. دومین کارکرد نیز انتخاب بین دو یا چند تفسیر متعارض از یک قاعده عرفی یا قراردادی است.</w:t>
      </w:r>
      <w:r>
        <w:rPr>
          <w:rStyle w:val="FootnoteReference"/>
          <w:rtl w:val="1"/>
        </w:rPr>
        <w:footnoteReference w:id="129"/>
      </w:r>
      <w:r>
        <w:rPr>
          <w:rFonts w:ascii="Times New Roman" w:hAnsi="Times New Roman" w:cs="B Nazanin"/>
          <w:sz w:val="22"/>
          <w:szCs w:val="28"/>
          <w:rtl w:val="1"/>
        </w:rPr>
        <w:t xml:space="preserve"> این دو کارکرد، تضمینی بر حفظ انسجام نظم حقوقی بینالمللی خواهدبود.</w:t>
      </w:r>
    </w:p>
    <w:p>
      <w:pPr>
        <w:bidi w:val="1"/>
        <w:spacing w:line="312" w:lineRule="auto" w:before="0" w:after="120"/>
        <w:ind w:firstLine="454"/>
        <w:jc w:val="both"/>
      </w:pPr>
      <w:r>
        <w:rPr>
          <w:rFonts w:ascii="Times New Roman" w:hAnsi="Times New Roman" w:cs="B Nazanin"/>
          <w:sz w:val="22"/>
          <w:szCs w:val="28"/>
          <w:rtl w:val="1"/>
        </w:rPr>
        <w:t>گستردگی دامنه اصول از یک سو و ارتباط متقابل اصول کلی با سایر منابع حقوقبینالملل (معاهده و عرف) از سوی دیگر، موجب تنوع نقش اصول شده است. با درنظر گرفتن نقشهای مختلفی که اصول کلی در ساخت، مدیریت، توسعه و بسط حقوقبینالملل ایفا میکند، میتوان آن را در چهار دسته اصلی شامل اصول کلی بنیادین</w:t>
      </w:r>
      <w:r>
        <w:rPr>
          <w:rStyle w:val="FootnoteReference"/>
          <w:rtl w:val="1"/>
        </w:rPr>
        <w:footnoteReference w:id="130"/>
      </w:r>
      <w:r>
        <w:rPr>
          <w:rFonts w:ascii="Times New Roman" w:hAnsi="Times New Roman" w:cs="B Nazanin"/>
          <w:sz w:val="22"/>
          <w:szCs w:val="28"/>
          <w:rtl w:val="1"/>
        </w:rPr>
        <w:t>، راهنما</w:t>
      </w:r>
      <w:r>
        <w:rPr>
          <w:rStyle w:val="FootnoteReference"/>
          <w:rtl w:val="1"/>
        </w:rPr>
        <w:footnoteReference w:id="131"/>
      </w:r>
      <w:r>
        <w:rPr>
          <w:rFonts w:ascii="Times New Roman" w:hAnsi="Times New Roman" w:cs="B Nazanin"/>
          <w:sz w:val="22"/>
          <w:szCs w:val="28"/>
          <w:rtl w:val="1"/>
        </w:rPr>
        <w:t>، مکمل</w:t>
      </w:r>
      <w:r>
        <w:rPr>
          <w:rStyle w:val="FootnoteReference"/>
          <w:rtl w:val="1"/>
        </w:rPr>
        <w:footnoteReference w:id="132"/>
      </w:r>
      <w:r>
        <w:rPr>
          <w:rFonts w:ascii="Times New Roman" w:hAnsi="Times New Roman" w:cs="B Nazanin"/>
          <w:sz w:val="22"/>
          <w:szCs w:val="28"/>
          <w:rtl w:val="1"/>
        </w:rPr>
        <w:t xml:space="preserve"> و تفسیری</w:t>
      </w:r>
      <w:r>
        <w:rPr>
          <w:rStyle w:val="FootnoteReference"/>
          <w:rtl w:val="1"/>
        </w:rPr>
        <w:footnoteReference w:id="133"/>
      </w:r>
      <w:r>
        <w:rPr>
          <w:rFonts w:ascii="Times New Roman" w:hAnsi="Times New Roman" w:cs="B Nazanin"/>
          <w:sz w:val="22"/>
          <w:szCs w:val="28"/>
          <w:rtl w:val="1"/>
        </w:rPr>
        <w:t xml:space="preserve"> تقسیمبندی کرد.</w:t>
      </w:r>
      <w:r>
        <w:rPr>
          <w:rStyle w:val="FootnoteReference"/>
          <w:rtl w:val="1"/>
        </w:rPr>
        <w:footnoteReference w:id="134"/>
      </w:r>
      <w:r>
        <w:rPr>
          <w:rFonts w:ascii="Times New Roman" w:hAnsi="Times New Roman" w:cs="B Nazanin"/>
          <w:sz w:val="22"/>
          <w:szCs w:val="28"/>
          <w:rtl w:val="1"/>
        </w:rPr>
        <w:t xml:space="preserve"> اصول کلی راهنما در روند ایجاد قواعد جدید برای حوزههای جدید حقوقبینالملل نقش بهسزایی دارند. اصولی همچون پیشگیری، احتیاط، مسئولیت مشترک اما متفاوت و پرداخت آلودهساز که همگی از مصادیق اصول راهنما در حوزه حقوقبینالمللمحیطزیست هستند. در این حوزه نسبتاً جدید، نمونههای بسیاری وجود دارد که نشان میدهد اصول کلی، هدایتگر واضعان در وضع قواعد حقوقی جدید بودهاند. برای مثال، اصل احتیاط به عنوان اصلی جدید برای هدایت فعالیتهای بشر و جلوگیری از صدمه به محیطزیست و حفظ سلامت انسان در حقوقبینالملل محیطزیست پدیدار شده و بعد از پذیرش اعلامیه ریو (1992) در اغلب موافقتنامههایچندجانبه محیطزیستی بهصورت صریح یا ضمنی درج شده است. روند روبه رشد اصول کلی راهنما میتواند دولتها را به وضع مقررات بینالمللی الزامآور در حوزههای جدید تشویق کند.</w:t>
      </w:r>
      <w:r>
        <w:rPr>
          <w:rStyle w:val="FootnoteReference"/>
          <w:rtl w:val="1"/>
        </w:rPr>
        <w:footnoteReference w:id="135"/>
      </w:r>
      <w:r>
        <w:rPr>
          <w:rFonts w:ascii="Times New Roman" w:hAnsi="Times New Roman" w:cs="B Nazanin"/>
          <w:sz w:val="22"/>
          <w:szCs w:val="28"/>
          <w:rtl w:val="1"/>
        </w:rPr>
        <w:t>نقش مهم اصول مکمل (آنچه در ماده 38 اساسنامه دیوان بینالمللی دادگستری آمده است) شفافسازی و جلوگیری از ابهام است. طبیعتاً به هر میزان که حوزهای جدیدتر باشد (مثلاً حقوقبینالملل محیطزیست) خلاءهای حقوقیاش نیز بیشتر است و در نتیجه، اصول مکمل ماهوی میتوانند نقش پررنگتر و موثرتری داشته باشد. اعمال اصول یادشده، علاوه بر رفع خلاءها، سبب توسعه حقوقبینالملل در این بخشها شده و نهایتاً بر رابطه میان شاخههای جدید با سایر حوزههای حقوقبینالملل، تاثیر مثبت خواهد گذاشت.</w:t>
      </w:r>
      <w:r>
        <w:rPr>
          <w:rStyle w:val="FootnoteReference"/>
          <w:rtl w:val="1"/>
        </w:rPr>
        <w:footnoteReference w:id="136"/>
      </w:r>
      <w:r>
        <w:rPr>
          <w:rFonts w:ascii="Times New Roman" w:hAnsi="Times New Roman" w:cs="B Nazanin"/>
          <w:sz w:val="22"/>
          <w:szCs w:val="28"/>
          <w:rtl w:val="1"/>
        </w:rPr>
        <w:t xml:space="preserve"> </w:t>
      </w:r>
    </w:p>
    <w:p>
      <w:pPr>
        <w:bidi w:val="1"/>
        <w:spacing w:line="312" w:lineRule="auto" w:before="0" w:after="120"/>
        <w:ind w:firstLine="454"/>
        <w:jc w:val="both"/>
      </w:pPr>
      <w:r>
        <w:rPr>
          <w:rFonts w:ascii="Times New Roman" w:hAnsi="Times New Roman" w:cs="B Nazanin"/>
          <w:sz w:val="22"/>
          <w:szCs w:val="28"/>
          <w:rtl w:val="1"/>
        </w:rPr>
        <w:t>«توسعه حقوقمحیطزیست در طی دهههای اخیر منجر به شکلگیری شمار زیادی از مفاهیم، اصول و هنجارها شده است. دلیل اینکه چرا این اصول از چنین نقشهای مهمی برخوردارند، در واقع به توسعه حقوق بینالملل محیطزیست باز میگردد. حقوق محیطزیست عمدتاً به صورت یک مدل مقطعی توسعه یافته است نه در یک مسیر ساختاری منظم و در واقع این توسعه در قالب پاسخهای موضعی و موقتی به چالشها و تهدیدهای محیطزیستی بوده است. از این رو، اصول و مفاهیم در بسیاری از معاهدات و یا اسناد غیرالزامآور تکرار شدهاند یا به آنها ارجاع شده است. گنجاندن مکرر این اصول در اسناد بینالمللی موجب تقویت آنها میشود و به همراه رویه دولتها در ایجاد یک چارچوب جهانی برای حقوقبینالملل محیطزیست مشارکت میکنند.»</w:t>
      </w:r>
      <w:r>
        <w:rPr>
          <w:rStyle w:val="FootnoteReference"/>
          <w:rtl w:val="1"/>
        </w:rPr>
        <w:footnoteReference w:id="137"/>
      </w:r>
    </w:p>
    <w:p>
      <w:pPr>
        <w:bidi w:val="1"/>
        <w:spacing w:line="312" w:lineRule="auto" w:before="0" w:after="120"/>
        <w:ind w:firstLine="454"/>
        <w:jc w:val="both"/>
      </w:pPr>
      <w:r>
        <w:rPr>
          <w:rFonts w:ascii="Times New Roman" w:hAnsi="Times New Roman" w:cs="B Nazanin"/>
          <w:sz w:val="22"/>
          <w:szCs w:val="28"/>
          <w:rtl w:val="1"/>
        </w:rPr>
        <w:t>در رویه معاصر، ابهام و دشواری در بهکارگیری این اصول دیده میشود. برخی این اصول را ابزاری برای ارزیابی نوآورانه پدیدههای اجتماعی با تاکید کمتر بر حاکمیت سنتی دولتها میدانند، در حالی که برخی دیگر که حامیان دیدگاه کلاسیک هستند، ترجیح میدهند که حاکمیت دولتها را همچنان در اولویت قرار دهند.</w:t>
      </w:r>
      <w:r>
        <w:rPr>
          <w:rStyle w:val="FootnoteReference"/>
          <w:rtl w:val="1"/>
        </w:rPr>
        <w:footnoteReference w:id="138"/>
      </w:r>
      <w:r>
        <w:rPr>
          <w:rFonts w:ascii="Times New Roman" w:hAnsi="Times New Roman" w:cs="B Nazanin"/>
          <w:sz w:val="22"/>
          <w:szCs w:val="28"/>
          <w:rtl w:val="1"/>
        </w:rPr>
        <w:t xml:space="preserve"> نکته متقن در این است که «دولتها نسبت به اصول کلی با احتیاط عمل میکنند، چون میترسند بیجهت آزادی عمل خود را محدود سازند. در نتیجه به ندرت از این اصول استفاده مینمایند، جز زمانی که فکر میکنند استفاده از این اصول در برابر دولت دیگر، به نفع آنهاست و بر این باورند که برخی اصول موجود، حاکمیت آنها را محدود میسازد.»</w:t>
      </w:r>
      <w:r>
        <w:rPr>
          <w:rStyle w:val="FootnoteReference"/>
          <w:rtl w:val="1"/>
        </w:rPr>
        <w:footnoteReference w:id="139"/>
      </w:r>
      <w:r>
        <w:rPr>
          <w:rFonts w:ascii="Times New Roman" w:hAnsi="Times New Roman" w:cs="B Nazanin"/>
          <w:sz w:val="22"/>
          <w:szCs w:val="28"/>
          <w:rtl w:val="1"/>
        </w:rPr>
        <w:t xml:space="preserve"> در رویه نیز تعیین و تشخیص اصول در خلاءهای هنجاری و در نتیجه توسعه و تقویت پیکره کلی حقوقبینالملل بر عهده محاکم و دادگاههای بینالمللی بوده است.</w:t>
      </w:r>
      <w:r>
        <w:rPr>
          <w:rStyle w:val="FootnoteReference"/>
          <w:rtl w:val="1"/>
        </w:rPr>
        <w:footnoteReference w:id="140"/>
      </w:r>
      <w:r>
        <w:rPr>
          <w:rFonts w:ascii="Times New Roman" w:hAnsi="Times New Roman" w:cs="B Nazanin"/>
          <w:sz w:val="22"/>
          <w:szCs w:val="28"/>
          <w:rtl w:val="1"/>
        </w:rPr>
        <w:t xml:space="preserve"> رویه محاکم نیز نخست، رجوع به اصول مختص یک شاخه خاص از حقوقبینالملل و سپس در مقام شناسایی اصول کلی حقوقبینالملل میباشد.</w:t>
      </w:r>
      <w:r>
        <w:rPr>
          <w:rStyle w:val="FootnoteReference"/>
          <w:rtl w:val="1"/>
        </w:rPr>
        <w:footnoteReference w:id="141"/>
      </w:r>
      <w:r>
        <w:rPr>
          <w:rFonts w:ascii="Times New Roman" w:hAnsi="Times New Roman" w:cs="B Nazanin"/>
          <w:sz w:val="22"/>
          <w:szCs w:val="28"/>
          <w:rtl w:val="1"/>
        </w:rPr>
        <w:t xml:space="preserve"> اساساً اصول کلی حقوقی در حوزههای جدید حقوقبینالملل که هنوز در مرحله تکوین، مملو از خلاء یا دارای قاعدهای مبهم هستند، منبعی مفید فایده ارزیابی میگردد. </w:t>
      </w:r>
    </w:p>
    <w:p>
      <w:pPr>
        <w:bidi w:val="1"/>
        <w:spacing w:line="312" w:lineRule="auto" w:before="0" w:after="120"/>
        <w:ind w:firstLine="454"/>
        <w:jc w:val="both"/>
      </w:pPr>
      <w:r>
        <w:rPr>
          <w:rFonts w:ascii="Times New Roman" w:hAnsi="Times New Roman" w:cs="B Nazanin"/>
          <w:sz w:val="22"/>
          <w:szCs w:val="28"/>
          <w:rtl w:val="1"/>
        </w:rPr>
        <w:t>نکته قابل توجه در حوزه حقوقبینالملل محیطزیست این است که این حوزه از حقوق، دوره دیپلماسی و قانونگذاری فشرده بینالمللی خود را با کنفرانسملل متحد در مورد محیطزیست انسانی، معروف به کنفرانس استکهلم</w:t>
      </w:r>
      <w:r>
        <w:rPr>
          <w:rStyle w:val="FootnoteReference"/>
          <w:rtl w:val="1"/>
        </w:rPr>
        <w:footnoteReference w:id="142"/>
      </w:r>
      <w:r>
        <w:rPr>
          <w:rFonts w:ascii="Times New Roman" w:hAnsi="Times New Roman" w:cs="B Nazanin"/>
          <w:sz w:val="22"/>
          <w:szCs w:val="28"/>
          <w:rtl w:val="1"/>
        </w:rPr>
        <w:t xml:space="preserve"> در سال 1972 آغاز نمود. در همان گام که برای اولین بار مسائل محیطزیستی به طور رسمی در سطح جهانی مطرح گردید، دولتهای حاضر در کنفرانس، موفق به توافق بر سر 26 اصل در راستای حفاظت از محیطزیست در قالب اعلامیه استکهلم شدند. این اعلامیه توانست ضمن جمعآوری برخی از اصول عرفی پراکنده در یک متن حقوقی غیرالزامآور، باعث توسعه محتوای حقوقبینالملل محیطزیست در طول دهههای گذشته و ظهور شمار زیادی از موافقتنامههای چندجانبه محیطزیستی، اصول، مفاهیم و هنجارهای حقوقی شود.</w:t>
      </w:r>
      <w:r>
        <w:rPr>
          <w:rStyle w:val="FootnoteReference"/>
          <w:rtl w:val="1"/>
        </w:rPr>
        <w:footnoteReference w:id="143"/>
      </w:r>
      <w:r>
        <w:rPr>
          <w:rFonts w:ascii="Times New Roman" w:hAnsi="Times New Roman" w:cs="B Nazanin"/>
          <w:sz w:val="22"/>
          <w:szCs w:val="28"/>
          <w:rtl w:val="1"/>
        </w:rPr>
        <w:t xml:space="preserve"> 20 سال بعد، کنفرانس سازمانملل در مورد محیطزیست و توسعه معروف به نشست زمین</w:t>
      </w:r>
      <w:r>
        <w:rPr>
          <w:rStyle w:val="FootnoteReference"/>
          <w:rtl w:val="1"/>
        </w:rPr>
        <w:footnoteReference w:id="144"/>
      </w:r>
      <w:r>
        <w:rPr>
          <w:rFonts w:ascii="Times New Roman" w:hAnsi="Times New Roman" w:cs="B Nazanin"/>
          <w:sz w:val="22"/>
          <w:szCs w:val="28"/>
          <w:rtl w:val="1"/>
        </w:rPr>
        <w:t xml:space="preserve"> در سال 1992 ، منتهی به پذیرش اعلامیه ریو و طرح 27  اصل همچون اصل توسعه پایدار گردید. هرچند که این دو اعلامیه جزء اسناد حقوقی الزامآور محسوب نمیشوند ولی مبین ظهور اصولی هستند که در عملکرد دولتها مورد توجه قرار گرفته و مبنای شکلگیری سایر کنوانسیونهای بینالمللی محیطزیستی و شالوده حقوقبینالملل محیطزیست قرار گرفتهاند.</w:t>
      </w:r>
      <w:r>
        <w:rPr>
          <w:rStyle w:val="FootnoteReference"/>
          <w:rtl w:val="1"/>
        </w:rPr>
        <w:footnoteReference w:id="145"/>
      </w:r>
    </w:p>
    <w:p>
      <w:pPr>
        <w:bidi w:val="1"/>
        <w:spacing w:line="312" w:lineRule="auto" w:before="0" w:after="120"/>
        <w:ind w:firstLine="454"/>
        <w:jc w:val="both"/>
      </w:pPr>
      <w:r>
        <w:rPr>
          <w:rFonts w:ascii="Times New Roman" w:hAnsi="Times New Roman" w:cs="B Nazanin"/>
          <w:sz w:val="22"/>
          <w:szCs w:val="28"/>
          <w:rtl w:val="1"/>
        </w:rPr>
        <w:t>در گزارش دبیرکل،  اصول حقوق بینالملل محیطزیست را به عنوان «بلوک‌های ساختمانی</w:t>
      </w:r>
      <w:r>
        <w:rPr>
          <w:rStyle w:val="FootnoteReference"/>
          <w:rtl w:val="1"/>
        </w:rPr>
        <w:footnoteReference w:id="146"/>
      </w:r>
      <w:r>
        <w:rPr>
          <w:rFonts w:ascii="Times New Roman" w:hAnsi="Times New Roman" w:cs="B Nazanin"/>
          <w:sz w:val="22"/>
          <w:szCs w:val="28"/>
          <w:rtl w:val="1"/>
        </w:rPr>
        <w:t>» معرفی می‌کنند (بند ۹).این اصول در منابع مختلف (معاهدات، اسناد غیرالزام‌آور و رویه قضایی) پراکنده‌اند. گزارش به صورت منتقدانه اشاره میکند که در مورد بسیاری از اصول، شفافیتی در مورد ماهیت، محتوا و جایگاه حقوقی آن‌ها وجود ندارد. همچنین در خصوص قابلیت اجرای بسیاری از اصول، اجماع قضایی شکل نگرفته است. عدم شناسایی در اسناد حقوقی الزامآور نیز قابل ذکر است. این وضعیت اصول تأثیر مستقیم و غیرمستقیم بر پیشبینی پذیری و اجرای رژیمهای محیطزیستی بخشی دارد. در پایان بند، گزارش برآن است که تدوین این اصول در یک سند جامع و وحدت‌بخش می‌تواند به هماهنگی، پیش‌بینی‌پذیری و اجرای مؤثرتر آن‌ها کمک کند (بند ۱۰۲).</w:t>
      </w:r>
    </w:p>
    <w:p>
      <w:pPr>
        <w:bidi w:val="1"/>
        <w:spacing w:line="312" w:lineRule="auto" w:before="0" w:after="120"/>
        <w:ind w:firstLine="454"/>
        <w:jc w:val="both"/>
      </w:pPr>
      <w:r>
        <w:rPr>
          <w:rFonts w:ascii="Times New Roman" w:hAnsi="Times New Roman" w:cs="B Nazanin"/>
          <w:sz w:val="22"/>
          <w:szCs w:val="28"/>
          <w:rtl w:val="1"/>
        </w:rPr>
        <w:t>در مجموع، اصول کلی حقوقی نقش حیاتی در شکل‌گیری، تفسیر، توسعه و تحکیم قواعد حقوقبینالملل محیطزیست ایفا می‌کنند. این اصول نه تنها بهعنوان ابزاری برای پرکردن خلأهای قانونی</w:t>
      </w:r>
      <w:r>
        <w:rPr>
          <w:rStyle w:val="FootnoteReference"/>
          <w:rtl w:val="1"/>
        </w:rPr>
        <w:footnoteReference w:id="147"/>
      </w:r>
      <w:r>
        <w:rPr>
          <w:rFonts w:ascii="Times New Roman" w:hAnsi="Times New Roman" w:cs="B Nazanin"/>
          <w:sz w:val="22"/>
          <w:szCs w:val="28"/>
          <w:rtl w:val="1"/>
        </w:rPr>
        <w:t xml:space="preserve"> و تفسیر قواعد موجود</w:t>
      </w:r>
      <w:r>
        <w:rPr>
          <w:rStyle w:val="FootnoteReference"/>
          <w:rtl w:val="1"/>
        </w:rPr>
        <w:footnoteReference w:id="148"/>
      </w:r>
      <w:r>
        <w:rPr>
          <w:rFonts w:ascii="Times New Roman" w:hAnsi="Times New Roman" w:cs="B Nazanin"/>
          <w:sz w:val="22"/>
          <w:szCs w:val="28"/>
          <w:rtl w:val="1"/>
        </w:rPr>
        <w:t xml:space="preserve"> عمل می‌کنند، بلکه بهعنوان چارچوبی برای هدایت توسعه حقوقبین‌الملل محیطزیست</w:t>
      </w:r>
      <w:r>
        <w:rPr>
          <w:rStyle w:val="FootnoteReference"/>
          <w:rtl w:val="1"/>
        </w:rPr>
        <w:footnoteReference w:id="149"/>
      </w:r>
      <w:r>
        <w:rPr>
          <w:rFonts w:ascii="Times New Roman" w:hAnsi="Times New Roman" w:cs="B Nazanin"/>
          <w:sz w:val="22"/>
          <w:szCs w:val="28"/>
          <w:rtl w:val="1"/>
        </w:rPr>
        <w:t xml:space="preserve"> نیز مورد استفاده قرار می‌گیرند. با این حال، چالش‌هایی مانند ابهام در تعریف و نحوه اجرای این اصول و تضاد احتمالی با منافع ملی، نیازمند توجه و درک دقیق از نظریههای حقوقی و رویه تاریخی هستند. «اغلب اصول کلی محیط زیست به صورت مبهم و کلی و بدون تعهدات خاص یا اهداف کمی تدوین شدهاند. بنابراین، اجرا و اثربخشی این اصول منحصراً به اراده سیاسی کشورها و ظرفیت مالی و فنی آنها بستگی دارد.»</w:t>
      </w:r>
      <w:r>
        <w:rPr>
          <w:rStyle w:val="FootnoteReference"/>
          <w:rtl w:val="1"/>
        </w:rPr>
        <w:footnoteReference w:id="150"/>
      </w:r>
      <w:r>
        <w:rPr>
          <w:rFonts w:ascii="Times New Roman" w:hAnsi="Times New Roman" w:cs="B Nazanin"/>
          <w:sz w:val="22"/>
          <w:szCs w:val="28"/>
          <w:rtl w:val="1"/>
        </w:rPr>
        <w:t xml:space="preserve"> با توجه به پویایی حقوقبینالملل محیطزیست به دلیل تغییرات مداوم چالشهای محیطزیستی، استفاده از اصول کلی حقوقبینالملل محیطزیست در شکل دادن به پاسخهای موثر و منصفانه به مسائل محیطزیستی جهانی، حیاتی تلقی میشود. پویایی حقوقبینالملل محیطزیست ثابت نموده است که گرچه برخی اصول کلی حقوقی محصول گذشتهاند، اما محصور به گذشته نیستند. در نهایت این مهم را باید در نظر داشت که حقوقبینالملل محیطزیست بخش جداناپذیری از حقوق بینالملل عمومی است. بنابراین اصول حقوقبینالملل عمومی میتواند به طور کلی بر تکامل اصول حقوقبینالملل محیطزیست موثر باشد. (همان)</w:t>
      </w:r>
    </w:p>
    <w:p>
      <w:pPr>
        <w:pStyle w:val="Heading3"/>
        <w:bidi w:val="1"/>
        <w:spacing w:line="312" w:lineRule="auto" w:before="200" w:after="120"/>
        <w:jc w:val="right"/>
      </w:pPr>
      <w:r>
        <w:rPr>
          <w:rFonts w:ascii="Times New Roman" w:hAnsi="Times New Roman" w:cs="B Nazanin"/>
          <w:sz w:val="24"/>
          <w:szCs w:val="24"/>
          <w:rtl w:val="1"/>
          <w:b/>
          <w:bCs/>
          <w:color w:val="000000"/>
        </w:rPr>
        <w:t>۳-۱-۱-۴ رویه قضایی و دکترین</w:t>
      </w:r>
    </w:p>
    <w:p>
      <w:pPr>
        <w:bidi w:val="1"/>
        <w:spacing w:line="312" w:lineRule="auto" w:before="0" w:after="120"/>
        <w:ind w:firstLine="454"/>
        <w:jc w:val="both"/>
      </w:pPr>
      <w:r>
        <w:rPr>
          <w:rFonts w:ascii="Times New Roman" w:hAnsi="Times New Roman" w:cs="B Nazanin"/>
          <w:sz w:val="22"/>
          <w:szCs w:val="28"/>
          <w:rtl w:val="1"/>
        </w:rPr>
        <w:t xml:space="preserve">منبع چهارمی که در بند یک ماده 38 اساسنامه دیوان بینالمللی دادگستری ذکر شده است، رویه قضایی و آموزههای برجستهترین صاحب نظران حقوقبینالملل کشورهای مختلف جهان، در حد ابزاری کمکی برای تعیین حد و حدود قواعد حقوقی شایسته میباشد. از تصمیمات دیوان بینالمللی دادگستری یا دیگر مراجع بینالمللی و نوشتههای صاحبنظران حقوقبینالملل پیداست که در صورتی که، معاهدهای در مورد مسئله چالش برانگیز خاص در حقوقبینالملل وجود نداشته باشد، قاعده عرفی حقوقبینالمللی و هیچ قاعده قابل اجرایی از اصول کلی حقوقی در ارتباط با آن موضوع خاص وجود نداشته باشد، رویه قضایی و دکترین به عنوان منبع استفاده میشود.  </w:t>
      </w:r>
    </w:p>
    <w:p>
      <w:pPr>
        <w:bidi w:val="1"/>
        <w:spacing w:line="312" w:lineRule="auto" w:before="0" w:after="120"/>
        <w:ind w:firstLine="454"/>
        <w:jc w:val="both"/>
      </w:pPr>
      <w:r>
        <w:rPr>
          <w:rFonts w:ascii="Times New Roman" w:hAnsi="Times New Roman" w:cs="B Nazanin"/>
          <w:sz w:val="22"/>
          <w:szCs w:val="28"/>
          <w:rtl w:val="1"/>
        </w:rPr>
        <w:t xml:space="preserve">در گزارش دبیرکل تصممیات دیوان ب دادگستری بررسی شود. </w:t>
      </w:r>
    </w:p>
    <w:p>
      <w:pPr>
        <w:bidi w:val="1"/>
        <w:spacing w:line="312" w:lineRule="auto" w:before="0" w:after="120"/>
        <w:ind w:firstLine="454"/>
        <w:jc w:val="both"/>
      </w:pPr>
      <w:r>
        <w:rPr>
          <w:rFonts w:ascii="Times New Roman" w:hAnsi="Times New Roman" w:cs="B Nazanin"/>
          <w:sz w:val="22"/>
          <w:szCs w:val="28"/>
          <w:rtl w:val="1"/>
        </w:rPr>
        <w:t>شایان ذکر است که ماده 38 اساسنامه، در نظر ندارد تا یک فهرست جامعی از منابع حقوقبینالملل را فراهم کند. «منابع احتمالی دیگری نیز وجود دارد که دیوان بینالمللی دادگستری ممکن است بر آنها برای کمک به بررسیهایش جهت اتخاذ تصمیم اتکا کند که میتوان به اعمال سازمانهای بینالمللی و منطقهای، قطعنامههای شورای امنیت و مجمع عمومی سازمانمللمتحد و مقررات و تصمیمات و دستورالعملهای اتحادیه اروپا اشاره کرد. همچنین تصمیمات کنفرانس اعضای یک موافقتنامهچندجانبه محیطزیستی، بیانیهها و اعلامیههای کنفرانسها نیز میتوانند در توسعه حقوقبینالملل نقش داشته باشند.»</w:t>
      </w:r>
      <w:r>
        <w:rPr>
          <w:rStyle w:val="FootnoteReference"/>
          <w:rtl w:val="1"/>
        </w:rPr>
        <w:footnoteReference w:id="151"/>
      </w:r>
    </w:p>
    <w:p>
      <w:pPr>
        <w:pStyle w:val="Heading3"/>
        <w:bidi w:val="1"/>
        <w:spacing w:line="312" w:lineRule="auto" w:before="200" w:after="120"/>
        <w:jc w:val="right"/>
      </w:pPr>
      <w:r>
        <w:rPr>
          <w:rFonts w:ascii="Times New Roman" w:hAnsi="Times New Roman" w:cs="B Nazanin"/>
          <w:sz w:val="24"/>
          <w:szCs w:val="24"/>
          <w:rtl w:val="1"/>
          <w:b/>
          <w:bCs/>
          <w:color w:val="000000"/>
        </w:rPr>
        <w:t>۳-۱-۱-۵ جایگاه حقوق نرم در نظام منابع حقوق بین‌الملل محیط‌زیست</w:t>
      </w:r>
    </w:p>
    <w:p>
      <w:pPr>
        <w:bidi w:val="1"/>
        <w:spacing w:line="312" w:lineRule="auto" w:before="0" w:after="120"/>
        <w:ind w:firstLine="454"/>
        <w:jc w:val="both"/>
      </w:pPr>
      <w:r>
        <w:rPr>
          <w:rFonts w:ascii="Times New Roman" w:hAnsi="Times New Roman" w:cs="B Nazanin"/>
          <w:sz w:val="22"/>
          <w:szCs w:val="28"/>
          <w:rtl w:val="1"/>
        </w:rPr>
        <w:t>گزارش دبیرکل با عنوان «خلاءها در حقوق بین‌الملل محیط‌زیست و اسناد مرتبط با محیط‌زیست: به سوی پیمان جهانی برای محیط‌زیست» (نوامبر ۲۰۱۸) به عنوان نخستین سند سازمان ملل در این سطح، جایگاه ویژه‌ای را به تحلیل اسناد غیرالزام‌آور یا «حقوق نرم» اختصاص داده است. این گزارش با نگاهی انتقادی و در عین حال کاربردی، نقش این اسناد را در ساختار حقوق بین‌الملل محیط‌زیست و نسبت آن با خلاءهای موجود بررسی می‌کند. در ادامه، واکاوی دقیق این گزارش از حیث حقوق نرم ارائه می‌شود.</w:t>
      </w:r>
    </w:p>
    <w:p>
      <w:pPr>
        <w:bidi w:val="1"/>
        <w:spacing w:line="312" w:lineRule="auto" w:before="0" w:after="120"/>
        <w:ind w:firstLine="454"/>
        <w:jc w:val="both"/>
      </w:pPr>
      <w:r>
        <w:rPr>
          <w:rFonts w:ascii="Times New Roman" w:hAnsi="Times New Roman" w:cs="B Nazanin"/>
          <w:sz w:val="22"/>
          <w:szCs w:val="28"/>
          <w:rtl w:val="1"/>
        </w:rPr>
        <w:t>با توجه به چالش‌های حیاتی ناشی از مسائل محیط زیستی و همچنین فوریت اقدام و مشکلات ناشی از حصول توافق در خصوص اسناد بین‌المللی الزام‌آور، در نتیجه، مجموعه مهمی از اسناد غیرالزام‌آور نظیر اعلامیه‌ها، قطعنامه‌ها، دستورالعمل‌ها و توصیه‌ها - در حقوق بین الملل محیط زیست پدیدار شده است. نمونه های قابل توجه عبارتند از اعلامیه کنفرانس سازمان ملل متحد در مورد محیط زیست انسانی (اعلامیه استکهلم) و اعلامیه ریو در مورد محیط زیست و توسعه. چنین اسناد غیر الزام آوری به عنوان راهنمای مهم برای اقدامات ملی و بین المللی عمل می کنند و اغلب به عنوان پیشگامی برای توسعه بعدی و پذیرش اسناد الزام آور عمل می کنند. آنها معمولاً در چارچوب موافقت نامه های چندجانبه محیط زیستی برای تبیین معنای مقرره ی خاص نیز استفاده می شوند. پارا 5 گزارش دبیرکل</w:t>
      </w:r>
    </w:p>
    <w:p>
      <w:pPr>
        <w:bidi w:val="1"/>
        <w:spacing w:line="312" w:lineRule="auto" w:before="0" w:after="120"/>
        <w:ind w:firstLine="454"/>
        <w:jc w:val="both"/>
      </w:pPr>
      <w:r>
        <w:rPr>
          <w:rFonts w:ascii="Times New Roman" w:hAnsi="Times New Roman" w:cs="B Nazanin"/>
          <w:sz w:val="22"/>
          <w:szCs w:val="28"/>
          <w:rtl w:val="1"/>
        </w:rPr>
        <w:t>گزارش در بند ۵ به روشنی به نقش اسناد غیرالزام‌آور اشاره کرده و آن‌ها را چنین معرفی می‌کند: به دلیل چالش‌های بحرانی ناشی از مسائل محیط‌زیستی و نیز فوریت اقدام و دشواری‌های ذاتی در دستیابی به توافق بر روی اسناد الزام‌آور بین‌المللی، مجموعه مهمی از اسناد غیرالزام‌آور - اعلامیه‌ها، قطعنامه‌ها، رهنمودها و توصیه‌ها - در حقوق بین‌الملل محیط‌زیست پدید آمده است. ( بند 5) گزارش با این بیان، دو کارکرد مهم حقوق نرم را برجسته می‌کند. نخست پاسخ به فوریت، در شرایطی که دستیابی به توافق الزام‌آور زمان‌بر و دشوار است، اسناد غیرالزام‌آور امکان واکنش سریع‌تر به بحران‌ها را فراهم می‌کنند.سپس، تنوع شکلی، حقوق نرم طیف وسیعی از اعلامیه‌های سیاسی تا رهنمودهای فنی را شامل می‌شود.</w:t>
      </w:r>
    </w:p>
    <w:p>
      <w:pPr>
        <w:bidi w:val="1"/>
        <w:spacing w:line="312" w:lineRule="auto" w:before="0" w:after="120"/>
        <w:ind w:firstLine="454"/>
        <w:jc w:val="both"/>
      </w:pPr>
      <w:r>
        <w:rPr>
          <w:rFonts w:ascii="Times New Roman" w:hAnsi="Times New Roman" w:cs="B Nazanin"/>
          <w:sz w:val="22"/>
          <w:szCs w:val="28"/>
          <w:rtl w:val="1"/>
        </w:rPr>
        <w:t>گزارش در بند ۵ این اعلامیه استکهلم ۱۹۷۲ و اعلامیه ریو ۱۹۹۲ را به عنوان «نمونه‌های قابل توجه» اسناد غیرالزام‌آور معرفی می‌کند. ارجاعات متعدد به این دو سند در سراسر گزارش نشان‌دهنده اهمیت بنیادین آن‌ها به عنوان منابع الهام‌بخش و جهت‌دهنده به حقوق بین‌الملل محیط‌زیست است. که از آن‌ها می‌توان به‌عنوان نقاط عطف در تحولات حقوق بین‌الملل محیط زیست یاد کرد</w:t>
      </w:r>
    </w:p>
    <w:p>
      <w:pPr>
        <w:bidi w:val="1"/>
        <w:spacing w:line="312" w:lineRule="auto" w:before="0" w:after="120"/>
        <w:ind w:firstLine="454"/>
        <w:jc w:val="both"/>
      </w:pPr>
      <w:r>
        <w:rPr>
          <w:rFonts w:ascii="Times New Roman" w:hAnsi="Times New Roman" w:cs="B Nazanin"/>
          <w:sz w:val="22"/>
          <w:szCs w:val="28"/>
          <w:rtl w:val="1"/>
        </w:rPr>
        <w:t>کارکرد حقوق نرم در گزارش دبیرکل به شرح ذیلند. بند ۵ گزارش به نقش حیاتی اسناد غیرالزام‌آور اشاره کرده و آن‌ها را به عنوان راهنمای مهمی برای اقدام ملی و بین‌المللی معرفی می‌کنند. این کارکرد به ویژه در شرایطی که قواعد الزام‌آور مبهم یا ناقص هستند، برجسته می‌شود. شکلگیری حقوق نرم اغلب پیش‌درآمدی برای تدوین و تصویب معاهدات الزام‌آور بعدی هستند و این امر حاکی از نقش تکاملی حقوق نرم در فرآیند شکل‌گیری حقوق بین‌الملل محیطزیست اذعان می‌کند. حقوق نرم، در چارچوب موافقتنامه‌ها برای شفاف‌سازی مفاد آن‌ها استفاده می‌شوند. این بدان معناست که حقوق نرم حتی پس از شکل‌گیری معاهدات الزام‌آور نیز نقش خود را به عنوان ابزاری برای تفسیر و اجرای بهتر آن‌ها حفظ می‌کند. گزارش در بخش‌های متعدد (از جمله بندهای ۱۰ و ۱۰۶) به کارکرد پرکننده خلاءها اشاره کرده است. برای نمونه، در بحث حفاظت از منابع آب شیرین (بند ۱۰۶) آمده: «اصول محیط‌زیستی می‌توانند خلاءهای هنجاری و نهادی ناشی از این ابزارها را پر کنند و ممکن است به هماهنگ‌سازی کاربرد آن‌ها کمک نمایند.» گزارش به رهنمودهای فنی سازمان‌های بین‌المللی به عنوان بخشی از حقوق نرم نظیر فائو و OECD اشاره می‌کند. این اشاره نشان می‌دهد که حقوق نرم صرفاً به اعلامیه‌های سیاسی سطح بالا محدود نمی‌شود، بلکه شامل رهنمودهای فنی و تخصصی نیز می‌گردد.</w:t>
      </w:r>
    </w:p>
    <w:p>
      <w:pPr>
        <w:bidi w:val="1"/>
        <w:spacing w:line="312" w:lineRule="auto" w:before="0" w:after="120"/>
        <w:ind w:firstLine="454"/>
        <w:jc w:val="both"/>
      </w:pPr>
      <w:r>
        <w:rPr>
          <w:rFonts w:ascii="Times New Roman" w:hAnsi="Times New Roman" w:cs="B Nazanin"/>
          <w:sz w:val="22"/>
          <w:szCs w:val="28"/>
          <w:rtl w:val="1"/>
        </w:rPr>
        <w:t>مهم‌ترین یافته گزارش در مورد حقوق نرم، ارتباط آن با خلاءهای حقوق بینالملل محیطزیست است. حقوق نرم گاهی به عنوان پاسخ به خلاء هنجاری به کار می رود. در مواردی که امکان دستیابی به توافق الزام‌آور وجود ندارد (مانند برخی مسائل نوظهور)، حقوق نرم به عنوان راهکاری موقت یا مکمل برای پر کردن خلاء هنجاری عمل می‌کند. حقوق نرم گاهی خود منبع خلاء می گردد. گزارش در بند ۱۴، عدم‌تقارن جغرافیایی در توسعه حقوق نرم را خود «یک خلاء قابل توجه» معرفی می‌کند. به عبارت دیگر، پراکندگی و ناهماهنگی در اسناد غیرالزام‌آور نیز می‌تواند منجر به ایجاد خلاء شود. ابهام در جایگاه حقوق نرم نیز قابل توجه است. بند ۲۰ در مورد توسعه پایدار نشان می‌دهد که عدم‌شفافیت در الزام‌آور بودن یا نبودن برخی اصول (که عمدتاً در اسناد نرم بیان شده‌اند) خود یک خلاء محسوب می‌شود.</w:t>
      </w:r>
    </w:p>
    <w:p>
      <w:pPr>
        <w:bidi w:val="1"/>
        <w:spacing w:line="312" w:lineRule="auto" w:before="0" w:after="120"/>
        <w:ind w:firstLine="454"/>
        <w:jc w:val="both"/>
      </w:pPr>
      <w:r>
        <w:rPr>
          <w:rFonts w:ascii="Times New Roman" w:hAnsi="Times New Roman" w:cs="B Nazanin"/>
          <w:sz w:val="22"/>
          <w:szCs w:val="28"/>
          <w:rtl w:val="1"/>
        </w:rPr>
        <w:t>گزارش دبیرکل تصویری دوگانه اما واقع‌بینانه از حقوق نرم در حقوق بین‌الملل محیط‌زیست ارائه می‌دهد. نقش حیاتی اما مکمل، حقوق نرم نمی‌تواند جایگزین تعهدات الزام‌آور شود، اما در فرآیند شکل‌گیری، تفسیر و اجرای آن‌ها نقشی بی‌بدیل دارد. گزارش در بند ۱۰۲ اذعان می کند که «یک سند بین‌المللی جامع و وحدت‌بخش که تمامی اصول حقوق محیط‌زیست را گرد آورد، می‌تواند هماهنگی، پیش‌بینی‌پذیری و قطعیت بهتری را فراهم آورد.» این دقیقاً اشاره به ضرورت تبدیل حقوق نرم پراکنده به یک سند الزام‌آور (یا دست‌کم منسجم) است. در مجموع، گزارش دبیرکل با واکاوی دقیق حقوق نرم، آن را نه در تقابل با حقوق سخت، بلکه در یک طیف تکاملی و با کارکردهای مکمل می‌بیند و بر ضرورت شفاف‌سازی، هماهنگ‌سازی و نهایتاً تدوین تدریجی آن‌ها در اسناد الزام‌آور تأکید می‌کند.</w:t>
      </w:r>
    </w:p>
    <w:p>
      <w:pPr>
        <w:pStyle w:val="Heading3"/>
        <w:bidi w:val="1"/>
        <w:spacing w:line="312" w:lineRule="auto" w:before="200" w:after="120"/>
        <w:jc w:val="right"/>
      </w:pPr>
      <w:r>
        <w:rPr>
          <w:rFonts w:ascii="Times New Roman" w:hAnsi="Times New Roman" w:cs="B Nazanin"/>
          <w:sz w:val="24"/>
          <w:szCs w:val="24"/>
          <w:rtl w:val="1"/>
          <w:b/>
          <w:bCs/>
          <w:color w:val="000000"/>
        </w:rPr>
        <w:t>۳-۱-۱-۶ جمع‌بندی و ارزیابی کلی از وضعیت منابع</w:t>
      </w:r>
    </w:p>
    <w:p>
      <w:pPr>
        <w:bidi w:val="1"/>
        <w:spacing w:line="312" w:lineRule="auto" w:before="0" w:after="120"/>
        <w:ind w:firstLine="454"/>
        <w:jc w:val="both"/>
      </w:pPr>
      <w:r>
        <w:rPr>
          <w:rFonts w:ascii="Times New Roman" w:hAnsi="Times New Roman" w:cs="B Nazanin"/>
          <w:sz w:val="22"/>
          <w:szCs w:val="28"/>
          <w:rtl w:val="1"/>
        </w:rPr>
        <w:t xml:space="preserve">پراکندگی هنجاری و نهادی حقوق بین‌الملل محیط‌زیست و رویکرد بخشی به مقررات محیط زیستی در طول سال‌ها منجر به ارائه پیشنهادهایی برای افزایش انسجام و هماهنگی حکمرانی جهانی محیط‌زیست شده است. از جمله پیشنهادات موفقیت آمیز برای تقویت هماهنگی میان موافقت نامه های چندجانبه محیط زیستی خاص، و پیشنهادات کمتر موفق برای ایجاد سازمان جهانی محیط زیست یا تصویب میثاق بین المللی محیط زیست و توسعه. اخیراً نیز ایده شکل گیری پیمان جهانی محیط زیست که اصول حقوق بین‌الملل محیط‌زیست را در یک سند ترکیب و تدوین ‌کند، مطرح شد. پارا 6 </w:t>
      </w:r>
    </w:p>
    <w:p>
      <w:pPr>
        <w:bidi w:val="1"/>
        <w:spacing w:line="312" w:lineRule="auto" w:before="0" w:after="120"/>
        <w:ind w:firstLine="454"/>
        <w:jc w:val="both"/>
      </w:pPr>
      <w:r>
        <w:rPr>
          <w:rFonts w:ascii="Times New Roman" w:hAnsi="Times New Roman" w:cs="B Nazanin"/>
          <w:sz w:val="22"/>
          <w:szCs w:val="28"/>
          <w:rtl w:val="1"/>
        </w:rPr>
        <w:t>گزارش دبیرکل در نتیجه‌گیری خود (بندهای ۱۰۰ تا ۱۱۳) وضعیت منابع حقوق بین‌الملل محیط‌زیست را چنین جمع‌بندی می‌کند:</w:t>
      </w:r>
    </w:p>
    <w:p>
      <w:pPr>
        <w:bidi w:val="1"/>
        <w:spacing w:line="312" w:lineRule="auto" w:before="0" w:after="120"/>
        <w:ind w:firstLine="454"/>
        <w:jc w:val="both"/>
      </w:pPr>
      <w:r>
        <w:rPr>
          <w:rFonts w:ascii="Times New Roman" w:hAnsi="Times New Roman" w:cs="B Nazanin"/>
          <w:sz w:val="22"/>
          <w:szCs w:val="28"/>
          <w:rtl w:val="1"/>
        </w:rPr>
        <w:t>منابع موجود با وجود گستردگی، دچار کاستی‌های بنیادین هستند. این کاستی‌ها در سطوح مختلف از جمله محتوا و جایگاه اصول حقوقی، هماهنگی میان معاهدات، ساختار حکمرانی و اجرا مشاهده می‌شود.</w:t>
      </w:r>
    </w:p>
    <w:p>
      <w:pPr>
        <w:bidi w:val="1"/>
        <w:spacing w:line="312" w:lineRule="auto" w:before="0" w:after="120"/>
        <w:ind w:firstLine="454"/>
        <w:jc w:val="both"/>
      </w:pPr>
      <w:r>
        <w:rPr>
          <w:rFonts w:ascii="Times New Roman" w:hAnsi="Times New Roman" w:cs="B Nazanin"/>
          <w:sz w:val="22"/>
          <w:szCs w:val="28"/>
          <w:rtl w:val="1"/>
        </w:rPr>
        <w:t>چندپارگی یک ویژگی ذاتی اما چالش‌زا است. اگرچه چندپارگی ناشی از ماهیت تدریجی و واکنشی این رشته حقوقی است، اما برای افزایش کارآمدی نیازمند تلاش‌های آگاهانه برای ایجاد هماهنگی و همافزایی است.</w:t>
      </w:r>
    </w:p>
    <w:p>
      <w:pPr>
        <w:bidi w:val="1"/>
        <w:spacing w:line="312" w:lineRule="auto" w:before="0" w:after="120"/>
        <w:ind w:firstLine="454"/>
        <w:jc w:val="both"/>
      </w:pPr>
      <w:r>
        <w:rPr>
          <w:rFonts w:ascii="Times New Roman" w:hAnsi="Times New Roman" w:cs="B Nazanin"/>
          <w:sz w:val="22"/>
          <w:szCs w:val="28"/>
          <w:rtl w:val="1"/>
        </w:rPr>
        <w:t>شکاف در پوشش موضوعی و رویکرد بخشی‌نگر موجب شده برخی موضوعات مهم محیطزیستی همچنان فاقد مقررات الزام‌آور بمانند.</w:t>
      </w:r>
    </w:p>
    <w:p>
      <w:pPr>
        <w:bidi w:val="1"/>
        <w:spacing w:line="312" w:lineRule="auto" w:before="0" w:after="120"/>
        <w:ind w:firstLine="454"/>
        <w:jc w:val="both"/>
      </w:pPr>
      <w:r>
        <w:rPr>
          <w:rFonts w:ascii="Times New Roman" w:hAnsi="Times New Roman" w:cs="B Nazanin"/>
          <w:sz w:val="22"/>
          <w:szCs w:val="28"/>
          <w:rtl w:val="1"/>
        </w:rPr>
        <w:t>گزارش در نهایت پیشنهاد می‌کند که تدوین اصول پراکنده در یک سند جامع بین‌المللی می‌تواند به رفع ابهامات، ایجاد هماهنگی و تقویت اجرای حقوق بین‌الملل محیط‌زیست کمک کند. این دقیقاً همان نقطه‌ای است که بحث «پیمان جهانی محیط‌زیست» را به عنوان راهکاری برای ساماندهی منابع موجود مطرح می‌سازد.</w:t>
      </w:r>
    </w:p>
    <w:p>
      <w:pPr>
        <w:pStyle w:val="Heading3"/>
        <w:bidi w:val="1"/>
        <w:spacing w:line="312" w:lineRule="auto" w:before="200" w:after="120"/>
        <w:jc w:val="right"/>
      </w:pPr>
      <w:r>
        <w:rPr>
          <w:rFonts w:ascii="Times New Roman" w:hAnsi="Times New Roman" w:cs="B Nazanin"/>
          <w:sz w:val="24"/>
          <w:szCs w:val="24"/>
          <w:rtl w:val="1"/>
          <w:b/>
          <w:bCs/>
          <w:color w:val="000000"/>
        </w:rPr>
        <w:t>۳-۱-۲ مفهوم‌شناسی خلاء: تعریف، تشخیص و انواع آن</w:t>
      </w:r>
    </w:p>
    <w:p>
      <w:pPr>
        <w:bidi w:val="1"/>
        <w:spacing w:line="312" w:lineRule="auto" w:before="0" w:after="120"/>
        <w:ind w:firstLine="454"/>
        <w:jc w:val="both"/>
      </w:pPr>
      <w:r>
        <w:rPr>
          <w:rFonts w:ascii="Times New Roman" w:hAnsi="Times New Roman" w:cs="B Nazanin"/>
          <w:sz w:val="22"/>
          <w:szCs w:val="28"/>
          <w:rtl w:val="1"/>
        </w:rPr>
        <w:t>مفهوم‌شناسی خلاء گامی اساسی و نقطه‌شروع  واکاوی خلاءها حقوق بین الملل محیط زیست محسوب می‌شود. بدون این مفهوم‌شناسی، نه‌تنها نمی‌توان خلاءهای واقعی را از غیرواقعی تشخیص داد، بلکه هر گونه راهکارِ اصلاحی نیز به‌جای ریشه‌یابیِ دقیق، به امری سطحی و ناکارآمد بدل خواهد شد. ازاین‌رو، بخش حاضر با تمرکز بر تبیین تعریف، شاخص‌های تشخیص و انواع خلاء، بستر تحلیلی لازم را برای واکاوی تفصیلی خلاء‌های حقوق بین‌الملل محیط‌زیست فراهم می‌آورد.</w:t>
      </w:r>
    </w:p>
    <w:p>
      <w:pPr>
        <w:pStyle w:val="Heading3"/>
        <w:bidi w:val="1"/>
        <w:spacing w:line="312" w:lineRule="auto" w:before="200" w:after="120"/>
        <w:jc w:val="right"/>
      </w:pPr>
      <w:r>
        <w:rPr>
          <w:rFonts w:ascii="Times New Roman" w:hAnsi="Times New Roman" w:cs="B Nazanin"/>
          <w:sz w:val="24"/>
          <w:szCs w:val="24"/>
          <w:rtl w:val="1"/>
          <w:b/>
          <w:bCs/>
          <w:color w:val="000000"/>
        </w:rPr>
        <w:t>۳-۱-۲-۱ تعریف و تشخیص خلاء</w:t>
      </w:r>
    </w:p>
    <w:p>
      <w:pPr>
        <w:bidi w:val="1"/>
        <w:spacing w:line="312" w:lineRule="auto" w:before="0" w:after="120"/>
        <w:ind w:firstLine="454"/>
        <w:jc w:val="both"/>
      </w:pPr>
      <w:r>
        <w:rPr>
          <w:rFonts w:ascii="Times New Roman" w:hAnsi="Times New Roman" w:cs="B Nazanin"/>
          <w:sz w:val="22"/>
          <w:szCs w:val="28"/>
          <w:rtl w:val="1"/>
        </w:rPr>
        <w:t>در قطعنامه 277 /72 مجمععمومی که به دبیرکل ماموریت داده شده تا «خلاءهای احتمالی در حقوقبینالملل محیطزیست و اسناد مرتبط با محیطزیست» را شناسایی و ارزیابی کند، تعریفی از خلاء ارائه نشده است. قطعنامه سازمانملل از عبارت «خلاءهای احتمالی»</w:t>
      </w:r>
      <w:r>
        <w:rPr>
          <w:rStyle w:val="FootnoteReference"/>
          <w:rtl w:val="1"/>
        </w:rPr>
        <w:footnoteReference w:id="152"/>
      </w:r>
      <w:r>
        <w:rPr>
          <w:rFonts w:ascii="Times New Roman" w:hAnsi="Times New Roman" w:cs="B Nazanin"/>
          <w:sz w:val="22"/>
          <w:szCs w:val="28"/>
          <w:rtl w:val="1"/>
        </w:rPr>
        <w:t xml:space="preserve"> استفاده کرده است. این ابهام، تعمدی و برای جلب حمایت گستردهتر کشورها بهکاررفته است. چراکه در فرایندهای بینالدولی، هرگونه پیشداوری و قضاوت زودهنگام نسبت به موضوع مورد مذاکره قبیح شمرده میشود. برخی از صاحبنظران، زبان قطعنامه در مورد خلاء را «پیشرو» و در عین حال برخی آن را «از نظر مفهومی نامنسجم» توصیف نمودهاند. زیرا از یک سو، خلاء فی نفسه دارای پیچیدگیهای زبانی و مفهومی است و از سوی دیگر، شناسایی خلاءها را با مقوله اجرای آنها مرتبط دانسته است. </w:t>
      </w:r>
      <w:r>
        <w:rPr>
          <w:rStyle w:val="FootnoteReference"/>
          <w:rtl w:val="1"/>
        </w:rPr>
        <w:footnoteReference w:id="153"/>
      </w:r>
      <w:r>
        <w:rPr>
          <w:rFonts w:ascii="Times New Roman" w:hAnsi="Times New Roman" w:cs="B Nazanin"/>
          <w:sz w:val="22"/>
          <w:szCs w:val="28"/>
          <w:rtl w:val="1"/>
        </w:rPr>
        <w:t xml:space="preserve"> علاوهبراین، پروفسور بودانسکی با طرح این سوال که آیا میتوان «خلاءها» را به شیوهای «فنی و مبتنی بر شواهد» آنطور که در قطعنامه قید گردیده است، شناسایی و ارزیابی نمود؟ ماموریت محوله به دبیرکل از سوی مجمععمومی را زیر سوال میبرد.</w:t>
      </w:r>
      <w:r>
        <w:rPr>
          <w:rStyle w:val="FootnoteReference"/>
          <w:rtl w:val="1"/>
        </w:rPr>
        <w:footnoteReference w:id="154"/>
      </w:r>
      <w:r>
        <w:rPr>
          <w:rFonts w:ascii="Times New Roman" w:hAnsi="Times New Roman" w:cs="B Nazanin"/>
          <w:sz w:val="22"/>
          <w:szCs w:val="28"/>
          <w:rtl w:val="1"/>
        </w:rPr>
        <w:t xml:space="preserve"> این سوال حاکی از چالش روششناختی در فرایند شناسایی خلاءهاست. وی به این نکته اشاره می‌کند که درخواست مجمععمومی سازمانملل برای تهیه‌ یک گزارش «فنی و مبتنی بر شواهد» درباره‌ خلاء‌ها، ممکن است غیرواقع‌بینانه باشد. او استدلال می‌کند که شناسایی خلاءها در حقوق بین‌الملل محیطزیست بیشتر به دیدگاه‌های سیاسی و اخلاقی بستگی دارد تا به شواهد عینی. بنابراین، این گزارش نمی‌تواند کاملاً بی‌طرفانه و علمی باشد.</w:t>
      </w:r>
      <w:r>
        <w:rPr>
          <w:rStyle w:val="FootnoteReference"/>
          <w:rtl w:val="1"/>
        </w:rPr>
        <w:footnoteReference w:id="155"/>
      </w:r>
    </w:p>
    <w:p>
      <w:pPr>
        <w:bidi w:val="1"/>
        <w:spacing w:line="312" w:lineRule="auto" w:before="0" w:after="120"/>
        <w:ind w:firstLine="454"/>
        <w:jc w:val="both"/>
      </w:pPr>
      <w:r>
        <w:rPr>
          <w:rFonts w:ascii="Times New Roman" w:hAnsi="Times New Roman" w:cs="B Nazanin"/>
          <w:sz w:val="22"/>
          <w:szCs w:val="28"/>
          <w:rtl w:val="1"/>
        </w:rPr>
        <w:t>دبیرکل در گزارش خود در سال 2018 در پاراگراف هفتم، به عنوان یک موضوع مقدماتی خلاء را مستفاد از یک فرهنگ لغت حقوقی به عنوان «شکاف، نقص، عیب یا کمبود»</w:t>
      </w:r>
      <w:r>
        <w:rPr>
          <w:rStyle w:val="FootnoteReference"/>
          <w:rtl w:val="1"/>
        </w:rPr>
        <w:footnoteReference w:id="156"/>
      </w:r>
      <w:r>
        <w:rPr>
          <w:rFonts w:ascii="Times New Roman" w:hAnsi="Times New Roman" w:cs="B Nazanin"/>
          <w:sz w:val="22"/>
          <w:szCs w:val="28"/>
          <w:rtl w:val="1"/>
        </w:rPr>
        <w:t xml:space="preserve"> تعریف میکند. تعریف ارائه شده در گزارش دبیرکل به جای ارائه پاسخ روشن، سوالات بیشتری را قابل طرح میسازد. خلاء چیست و چگونه تعریف میشود؟ این سؤال اساسی نشان‌دهنده فقدان تعریف دقیق و مورد توافق از مفهوم خلاء در چارچوب حقوقبین‌الملل محیط‌زیست است. تعریف ارائه‌شده در گزارش دبیرکل، اگرچه مختصر و مفید است، اما ممکن است به اندازه کافی برای همه ذینفعان قانع‌کننده نباشد. آیا خلاء‌های شناسایی‌شده توسط دبیرکل واقعاً خلاء محسوب می‌شوند؟ این سؤال به ماهیت خلاء‌های شناسایی‌شده اشاره دارد. آیا این خلاء‌ها ناشی از کمبودها یا نقص‌های واقعی و ناخواسته در حقوقبین‌الملل محیط‌زیست هستند، یا نتیجه تصمیمات سیاستی آگاهانه و عمدی کشورها در فرایند مذاکره بوده‌اند؟ این موضوع اهمیت تمایز بین «خلاء‌های ناخواسته» و «خلاءهای برنامه‌ریزی‌شده» را نشان می‌دهد. این امر نشان می‌دهد که فرآیند شناسایی و رفع خلاء‌ها در حقوقبین‌الملل محیط‌زیست با چالش‌های مفهومی و عملی مواجه است. لذا، تعریف و تشخیص «خلاء» در حقوق بین‌الملل محیط‌زیست می‌تواند پیچیده و مورد اختلاف باشد و به دیدگاه‌ها و رویکردهای مختلف کشورها بستگی پیدا کند.</w:t>
      </w:r>
    </w:p>
    <w:p>
      <w:pPr>
        <w:bidi w:val="1"/>
        <w:spacing w:line="312" w:lineRule="auto" w:before="0" w:after="120"/>
        <w:ind w:firstLine="454"/>
        <w:jc w:val="both"/>
      </w:pPr>
      <w:r>
        <w:rPr>
          <w:rFonts w:ascii="Times New Roman" w:hAnsi="Times New Roman" w:cs="B Nazanin"/>
          <w:sz w:val="22"/>
          <w:szCs w:val="28"/>
          <w:rtl w:val="1"/>
        </w:rPr>
        <w:t>در حقوقبینالمللمحیطزیست گاهی اوقات شاهد خلاءهای عمدی، آگاهانه و حسابشده</w:t>
      </w:r>
      <w:r>
        <w:rPr>
          <w:rStyle w:val="FootnoteReference"/>
          <w:rtl w:val="1"/>
        </w:rPr>
        <w:footnoteReference w:id="157"/>
      </w:r>
      <w:r>
        <w:rPr>
          <w:rFonts w:ascii="Times New Roman" w:hAnsi="Times New Roman" w:cs="B Nazanin"/>
          <w:sz w:val="22"/>
          <w:szCs w:val="28"/>
          <w:rtl w:val="1"/>
        </w:rPr>
        <w:t xml:space="preserve"> در چارچوب موافقتنامههایچندجانبه محیطزیستی هستیم. این امر لزوماً نشاندهنده نقص یا کمبود در نظام حقوقی نیست، بلکه بازتابی از مصالحه سیاسی</w:t>
      </w:r>
      <w:r>
        <w:rPr>
          <w:rStyle w:val="FootnoteReference"/>
          <w:rtl w:val="1"/>
        </w:rPr>
        <w:footnoteReference w:id="158"/>
      </w:r>
      <w:r>
        <w:rPr>
          <w:rFonts w:ascii="Times New Roman" w:hAnsi="Times New Roman" w:cs="B Nazanin"/>
          <w:sz w:val="22"/>
          <w:szCs w:val="28"/>
          <w:rtl w:val="1"/>
        </w:rPr>
        <w:t xml:space="preserve"> و انتخاب آگاهانه مذاکرهکنندگان به منظور حصول توافق است و به خلاء ضروری</w:t>
      </w:r>
      <w:r>
        <w:rPr>
          <w:rStyle w:val="FootnoteReference"/>
          <w:rtl w:val="1"/>
        </w:rPr>
        <w:footnoteReference w:id="159"/>
      </w:r>
      <w:r>
        <w:rPr>
          <w:rFonts w:ascii="Times New Roman" w:hAnsi="Times New Roman" w:cs="B Nazanin"/>
          <w:sz w:val="22"/>
          <w:szCs w:val="28"/>
          <w:rtl w:val="1"/>
        </w:rPr>
        <w:t xml:space="preserve"> تعبیر شدهاست.</w:t>
      </w:r>
      <w:r>
        <w:rPr>
          <w:rStyle w:val="FootnoteReference"/>
          <w:rtl w:val="1"/>
        </w:rPr>
        <w:footnoteReference w:id="160"/>
      </w:r>
      <w:r>
        <w:rPr>
          <w:rFonts w:ascii="Times New Roman" w:hAnsi="Times New Roman" w:cs="B Nazanin"/>
          <w:sz w:val="22"/>
          <w:szCs w:val="28"/>
          <w:rtl w:val="1"/>
        </w:rPr>
        <w:t xml:space="preserve"> این امر حاکی از وجود فضای تعاملی برای تحقق توافق میباشد. «ایالات متحده امریکا معتقد است که چنین وضعیتی را نباید به عنوان خلاء در موافقتنامههایچندجانبه محیطزیستی تلقی کرد»</w:t>
      </w:r>
      <w:r>
        <w:rPr>
          <w:rStyle w:val="FootnoteReference"/>
          <w:rtl w:val="1"/>
        </w:rPr>
        <w:footnoteReference w:id="161"/>
      </w:r>
      <w:r>
        <w:rPr>
          <w:rFonts w:ascii="Times New Roman" w:hAnsi="Times New Roman" w:cs="B Nazanin"/>
          <w:sz w:val="22"/>
          <w:szCs w:val="28"/>
          <w:rtl w:val="1"/>
        </w:rPr>
        <w:t>.این بدین معناست که چنین رویکردی بخشی از روند توافق حاصل شده به حساب میآید. بهعنوان مثال، تدوین مقررههای غیرالزامآور، لحاظ استثناءهایی بر قاعده کلی، امکان انصراف از تعهد خاص، فقدان سازوکارهای نظارتی و اجرایی چنین خلاءهایی تحت تاثیر ملاحظات مختلفی مانند ماهیت موضوع، زمینههای سیاسی و جلب مشارکت کشورها قرار دارد.</w:t>
      </w:r>
      <w:r>
        <w:rPr>
          <w:rStyle w:val="FootnoteReference"/>
          <w:rtl w:val="1"/>
        </w:rPr>
        <w:footnoteReference w:id="162"/>
      </w:r>
      <w:r>
        <w:rPr>
          <w:rFonts w:ascii="Times New Roman" w:hAnsi="Times New Roman" w:cs="B Nazanin"/>
          <w:sz w:val="22"/>
          <w:szCs w:val="28"/>
          <w:rtl w:val="1"/>
        </w:rPr>
        <w:t xml:space="preserve"> بنابراین بهنظرمیرسد این حالت را نمیتوان نقص یا کمبود در نظام حقوقی بدانیم، بلکه آنها بخشی از طراحی مذاکره هستند. رویکردهای حقوقی و سیاستی برای حل این خلاءها باید با در نظر گرفتن این پیچیدگی‌ها و تعادل‌ها طراحی شوند و در چارچوب همان سند و سازوکارهای موجود در آن، مورد بحث و بررسی قرار گیرند. این امر ریشه در ذات بخشیبودن حقوق بینالملل محیطزیست دارد.</w:t>
      </w:r>
    </w:p>
    <w:p>
      <w:pPr>
        <w:bidi w:val="1"/>
        <w:spacing w:line="312" w:lineRule="auto" w:before="0" w:after="120"/>
        <w:ind w:firstLine="454"/>
        <w:jc w:val="both"/>
      </w:pPr>
      <w:r>
        <w:rPr>
          <w:rFonts w:ascii="Times New Roman" w:hAnsi="Times New Roman" w:cs="B Nazanin"/>
          <w:sz w:val="22"/>
          <w:szCs w:val="28"/>
          <w:rtl w:val="1"/>
        </w:rPr>
        <w:t>منظور از بررسی خلاء، «خلاء در یک سیستم است ، نه تفاوتها در تعهدات فردی دولتها.»</w:t>
      </w:r>
      <w:r>
        <w:rPr>
          <w:rStyle w:val="FootnoteReference"/>
          <w:rtl w:val="1"/>
        </w:rPr>
        <w:footnoteReference w:id="163"/>
      </w:r>
      <w:r>
        <w:rPr>
          <w:rFonts w:ascii="Times New Roman" w:hAnsi="Times New Roman" w:cs="B Nazanin"/>
          <w:sz w:val="22"/>
          <w:szCs w:val="28"/>
          <w:rtl w:val="1"/>
        </w:rPr>
        <w:t xml:space="preserve"> اگر متن یک توافق ‌محیط زیستی به نظر برسد که موضوعی را به طور کامل پوشش می‌دهد، اما به آن مسئله در عمل به صورت رضایت‌بخشی پرداخته نشود، آیا این یک خلأ است؟ برعکس، اگر یک توافق از نظر حقوقی ناقص به نظر برسد، با این حال مسئله زیست‌محیطی در عمل به طور کافی پرداخته شود، آیا آن یک خلأ است؟ اینجاست که مسائل مربوط به آستانه</w:t>
      </w:r>
      <w:r>
        <w:rPr>
          <w:rStyle w:val="FootnoteReference"/>
          <w:rtl w:val="1"/>
        </w:rPr>
        <w:footnoteReference w:id="164"/>
      </w:r>
      <w:r>
        <w:rPr>
          <w:rFonts w:ascii="Times New Roman" w:hAnsi="Times New Roman" w:cs="B Nazanin"/>
          <w:sz w:val="22"/>
          <w:szCs w:val="28"/>
          <w:rtl w:val="1"/>
        </w:rPr>
        <w:t xml:space="preserve"> در مورد میزان وجود «خلأها» در حقوق بین‌الملل محیط زیست اهمیت خواهد داشت.</w:t>
      </w:r>
      <w:r>
        <w:rPr>
          <w:rStyle w:val="FootnoteReference"/>
          <w:rtl w:val="1"/>
        </w:rPr>
        <w:footnoteReference w:id="165"/>
      </w:r>
    </w:p>
    <w:p>
      <w:pPr>
        <w:bidi w:val="1"/>
        <w:spacing w:line="312" w:lineRule="auto" w:before="0" w:after="120"/>
        <w:ind w:firstLine="454"/>
        <w:jc w:val="both"/>
      </w:pPr>
      <w:r>
        <w:rPr>
          <w:rFonts w:ascii="Times New Roman" w:hAnsi="Times New Roman" w:cs="B Nazanin"/>
          <w:sz w:val="22"/>
          <w:szCs w:val="28"/>
          <w:rtl w:val="1"/>
        </w:rPr>
        <w:t>در جلسات مذاکره قطعنامه 277 /72 موضوع بررسی مفهوم خلاء از موضوعات جدی مذاکرات واقع شد. برخی از هیئت‌های نمایندگی استدلال کردند که مفهوم «خلاء‌» باید به‌صورت محدود و در چارچوب خلاء هنجاری</w:t>
      </w:r>
      <w:r>
        <w:rPr>
          <w:rStyle w:val="FootnoteReference"/>
          <w:rtl w:val="1"/>
        </w:rPr>
        <w:footnoteReference w:id="166"/>
      </w:r>
      <w:r>
        <w:rPr>
          <w:rFonts w:ascii="Times New Roman" w:hAnsi="Times New Roman" w:cs="B Nazanin"/>
          <w:sz w:val="22"/>
          <w:szCs w:val="28"/>
          <w:rtl w:val="1"/>
        </w:rPr>
        <w:t xml:space="preserve"> ( این نوع خلاء زمانی وجود دارد که هیچ توافقی در مورد لزوم رسیدگی به یک موضوع خاص وجود ندارد.) تفسیر شود. بر اساس این دیدگاه، خلاءهای مرتبط با اجرا نباید به‌عنوان خلاء در نظر گرفته شوند، بلکه صرفاً به‌عنوان «چالش‌» طبقه‌بندی شوند. آنها معتقد بودند که پرداختن به کمبو‌دهای اجرایی و چالش‌های مرتبط، کار در مراحل بعدی (مذاکرات در گروه کاری) را پیچیده می‌کند و بنابراین در این مرحله نباید مورد بحث قرار گیرد. با این حال، این تفسیر محدود از مفهوم خلاء‌ با استقبال مواجه نشد، زیرا بسیاری از هیئت‌های نمایندگی بر این موضوع تأکید داشتند که ابزارهای اجرا</w:t>
      </w:r>
      <w:r>
        <w:rPr>
          <w:rStyle w:val="FootnoteReference"/>
          <w:rtl w:val="1"/>
        </w:rPr>
        <w:footnoteReference w:id="167"/>
      </w:r>
      <w:r>
        <w:rPr>
          <w:rFonts w:ascii="Times New Roman" w:hAnsi="Times New Roman" w:cs="B Nazanin"/>
          <w:sz w:val="22"/>
          <w:szCs w:val="28"/>
          <w:rtl w:val="1"/>
        </w:rPr>
        <w:t xml:space="preserve"> یکی از نگرانی‌های اصلی آن‌ها است و بدون توجه به چالش‌های اجرایی، نمی‌توان به‌طور مؤثر به خلاء‌های موجود در حقوق بین‌الملل محیط‌زیست پرداخت. این کشورها معتقد بودند که کمبودهای مالی، فنی، نهادی و سیاسی به‌عنوان موانع اصلی در اجرای تعهدات محیط‌زیستی باید در فرآیند شناسایی و رفع خلاء‌ها مورد توجه قرار گیرند. لذا، آنها طرفدار مفهوم موسع خلاء شامل خلاءهای هنجاری، نهادی و اجرایی بودند.</w:t>
      </w:r>
      <w:r>
        <w:rPr>
          <w:rStyle w:val="FootnoteReference"/>
          <w:rtl w:val="1"/>
        </w:rPr>
        <w:footnoteReference w:id="168"/>
      </w:r>
      <w:r>
        <w:rPr>
          <w:rFonts w:ascii="Times New Roman" w:hAnsi="Times New Roman" w:cs="B Nazanin"/>
          <w:sz w:val="22"/>
          <w:szCs w:val="28"/>
          <w:rtl w:val="1"/>
        </w:rPr>
        <w:t xml:space="preserve"> در نهایت، گزارش دبیرکل تفسیر موسع خلاء را در نظر گرفت. بنابرآنچه در پاراگراف هفتم گزارش دبیرکل مقرر شده است، «با توجه به اهداف این گزارش، خلاءهای مقرراتی</w:t>
      </w:r>
      <w:r>
        <w:rPr>
          <w:rStyle w:val="FootnoteReference"/>
          <w:rtl w:val="1"/>
        </w:rPr>
        <w:footnoteReference w:id="169"/>
      </w:r>
      <w:r>
        <w:rPr>
          <w:rFonts w:ascii="Times New Roman" w:hAnsi="Times New Roman" w:cs="B Nazanin"/>
          <w:sz w:val="22"/>
          <w:szCs w:val="28"/>
          <w:rtl w:val="1"/>
        </w:rPr>
        <w:t xml:space="preserve"> به معنای خلاءهای ماهوی/هنجاری</w:t>
      </w:r>
      <w:r>
        <w:rPr>
          <w:rStyle w:val="FootnoteReference"/>
          <w:rtl w:val="1"/>
        </w:rPr>
        <w:footnoteReference w:id="170"/>
      </w:r>
      <w:r>
        <w:rPr>
          <w:rFonts w:ascii="Times New Roman" w:hAnsi="Times New Roman" w:cs="B Nazanin"/>
          <w:sz w:val="22"/>
          <w:szCs w:val="28"/>
          <w:rtl w:val="1"/>
        </w:rPr>
        <w:t xml:space="preserve"> ( ازجمله رویه ای و نهادی</w:t>
      </w:r>
      <w:r>
        <w:rPr>
          <w:rStyle w:val="FootnoteReference"/>
          <w:rtl w:val="1"/>
        </w:rPr>
        <w:footnoteReference w:id="171"/>
      </w:r>
      <w:r>
        <w:rPr>
          <w:rFonts w:ascii="Times New Roman" w:hAnsi="Times New Roman" w:cs="B Nazanin"/>
          <w:sz w:val="22"/>
          <w:szCs w:val="28"/>
          <w:rtl w:val="1"/>
        </w:rPr>
        <w:t>) و خلاءهای حکمرانی</w:t>
      </w:r>
      <w:r>
        <w:rPr>
          <w:rStyle w:val="FootnoteReference"/>
          <w:rtl w:val="1"/>
        </w:rPr>
        <w:footnoteReference w:id="172"/>
      </w:r>
      <w:r>
        <w:rPr>
          <w:rFonts w:ascii="Times New Roman" w:hAnsi="Times New Roman" w:cs="B Nazanin"/>
          <w:sz w:val="22"/>
          <w:szCs w:val="28"/>
          <w:rtl w:val="1"/>
        </w:rPr>
        <w:t xml:space="preserve"> به معنای خلاءهای اجرایی در چارچوب حقوقی بین المللی</w:t>
      </w:r>
      <w:r>
        <w:rPr>
          <w:rStyle w:val="FootnoteReference"/>
          <w:rtl w:val="1"/>
        </w:rPr>
        <w:footnoteReference w:id="173"/>
      </w:r>
      <w:r>
        <w:rPr>
          <w:rFonts w:ascii="Times New Roman" w:hAnsi="Times New Roman" w:cs="B Nazanin"/>
          <w:sz w:val="22"/>
          <w:szCs w:val="28"/>
          <w:rtl w:val="1"/>
        </w:rPr>
        <w:t xml:space="preserve"> خواهد بود.»</w:t>
      </w:r>
      <w:r>
        <w:rPr>
          <w:rStyle w:val="FootnoteReference"/>
          <w:rtl w:val="1"/>
        </w:rPr>
        <w:footnoteReference w:id="174"/>
      </w:r>
      <w:r>
        <w:rPr>
          <w:rFonts w:ascii="Times New Roman" w:hAnsi="Times New Roman" w:cs="B Nazanin"/>
          <w:sz w:val="22"/>
          <w:szCs w:val="28"/>
          <w:rtl w:val="1"/>
        </w:rPr>
        <w:t xml:space="preserve">  گزارش خود در پاراگراف 7 اظهار نموده است که، خلاء میتواند در شکلهای مختلف ظاهر شود: </w:t>
      </w:r>
    </w:p>
    <w:p>
      <w:pPr>
        <w:bidi w:val="1"/>
        <w:spacing w:line="312" w:lineRule="auto" w:before="0" w:after="120"/>
        <w:ind w:firstLine="454"/>
        <w:jc w:val="both"/>
      </w:pPr>
      <w:r>
        <w:rPr>
          <w:rFonts w:ascii="Times New Roman" w:hAnsi="Times New Roman" w:cs="B Nazanin"/>
          <w:sz w:val="22"/>
          <w:szCs w:val="28"/>
          <w:rtl w:val="1"/>
        </w:rPr>
        <w:t>خلاء در یک موافقتنامه چندجانبه محیطزیستی؛ در این حالت، خلاء میتواند در رابطه با محتوای آن موافقتنامه یا ناتوانی آن در تحقق اهداف و مقاصد تعیینشده صورت پذیرد. به عبارت دیگر، ممکن است موافقتنامه از نظر محتوایی کامل نباشد یا نهادها و رویههای لازم برای اجرای موثر آن وجود نداشته باشد.</w:t>
      </w:r>
    </w:p>
    <w:p>
      <w:pPr>
        <w:bidi w:val="1"/>
        <w:spacing w:line="312" w:lineRule="auto" w:before="0" w:after="120"/>
        <w:ind w:firstLine="454"/>
        <w:jc w:val="both"/>
      </w:pPr>
      <w:r>
        <w:rPr>
          <w:rFonts w:ascii="Times New Roman" w:hAnsi="Times New Roman" w:cs="B Nazanin"/>
          <w:sz w:val="22"/>
          <w:szCs w:val="28"/>
          <w:rtl w:val="1"/>
        </w:rPr>
        <w:t xml:space="preserve"> خلاء در میان چارچوبهای حقوقی؛ این نوع از خلاء به شکل همپوشانی، تناقض و تعارضهای ماهوی یا رویهای بین موافقتنامههای مختلف بروز میکند.</w:t>
      </w:r>
    </w:p>
    <w:p>
      <w:pPr>
        <w:bidi w:val="1"/>
        <w:spacing w:line="312" w:lineRule="auto" w:before="0" w:after="120"/>
        <w:ind w:firstLine="454"/>
        <w:jc w:val="both"/>
      </w:pPr>
      <w:r>
        <w:rPr>
          <w:rFonts w:ascii="Times New Roman" w:hAnsi="Times New Roman" w:cs="B Nazanin"/>
          <w:sz w:val="22"/>
          <w:szCs w:val="28"/>
          <w:rtl w:val="1"/>
        </w:rPr>
        <w:t xml:space="preserve">جایی که اصلاً مقرراتی وجود ندارد؛ در برخی موارد ممکن است هیچ مقرراتی در مورد یک موضوع خاص وجود نداشته باشد. این میتواند ناشی از محدودیتهای ماهوی، نهادی ( فقدان نهادهای لازم برای نظارت و اجرا) یا جغرافیایی (عدم پوشش همه مناطق جهان). </w:t>
      </w:r>
      <w:r>
        <w:rPr>
          <w:rStyle w:val="FootnoteReference"/>
          <w:rtl w:val="1"/>
        </w:rPr>
        <w:footnoteReference w:id="175"/>
      </w:r>
      <w:r>
        <w:rPr>
          <w:rFonts w:ascii="Times New Roman" w:hAnsi="Times New Roman" w:cs="B Nazanin"/>
          <w:sz w:val="22"/>
          <w:szCs w:val="28"/>
          <w:rtl w:val="1"/>
        </w:rPr>
        <w:t xml:space="preserve"> </w:t>
      </w:r>
    </w:p>
    <w:p>
      <w:pPr>
        <w:bidi w:val="1"/>
        <w:spacing w:line="312" w:lineRule="auto" w:before="0" w:after="120"/>
        <w:ind w:firstLine="454"/>
        <w:jc w:val="both"/>
      </w:pPr>
      <w:r>
        <w:rPr>
          <w:rFonts w:ascii="Times New Roman" w:hAnsi="Times New Roman" w:cs="B Nazanin"/>
          <w:sz w:val="22"/>
          <w:szCs w:val="28"/>
          <w:rtl w:val="1"/>
        </w:rPr>
        <w:t>اختلاف نظرها در مورد تعریف خلاء یکی از چالش‌های اصلی در فرآیند مذاکرات OEWG گروه کاری موقت نیز بوده است. در خصوص وجود خلاء، میان کشورها اختلاف نظر جدی برقرار بود. عده ای معتقد بودند که در حقوق بین‌الملل محیط‌زیست هیچ خلاءای وجود ندارد. آن چه هست در وهله نخست، پراکندگی است که خصیصه ذاتی حوزه محیطزیست است که موافقتنامههای چندجانبه محیطزیستی مختلفی برای پاسخگویی به نیازهای متفاوت طراحی و تدوین شود. در وهله دوم، خلاءهای موجود در نتیجه انتخاب آگاهانه کشورهاست. برخی دیگر با خلاءهای گزارش شده توسط دبیرکل موافقند، اما با طبقه بندی آن ها مخالفند. گروهی دیگر نیز با پذیرش وجود خلاء، قائل به خلاءهایی متفاوت از آن چه در گزارش آمده است، هستند. ترکیه در مذاکرات اذعان نمود که گاهی یک خلاء دوژوره بر روی کاغذ ممکن است به صورت دو فاکتو خلاء نباشد و برعکس.</w:t>
      </w:r>
      <w:r>
        <w:rPr>
          <w:rStyle w:val="FootnoteReference"/>
          <w:rtl w:val="1"/>
        </w:rPr>
        <w:footnoteReference w:id="176"/>
      </w:r>
      <w:r>
        <w:rPr>
          <w:rFonts w:ascii="Times New Roman" w:hAnsi="Times New Roman" w:cs="B Nazanin"/>
          <w:sz w:val="22"/>
          <w:szCs w:val="28"/>
          <w:rtl w:val="1"/>
        </w:rPr>
        <w:t xml:space="preserve"> این بدین معناست که نباید فقط خلاء را در بحث هنجار محدود نمود، اجرا و سازوکارهای اجرایی نیز حایز اهمیتاند. </w:t>
      </w:r>
    </w:p>
    <w:p>
      <w:pPr>
        <w:bidi w:val="1"/>
        <w:spacing w:line="312" w:lineRule="auto" w:before="0" w:after="120"/>
        <w:ind w:firstLine="454"/>
        <w:jc w:val="both"/>
      </w:pPr>
      <w:r>
        <w:rPr>
          <w:rFonts w:ascii="Times New Roman" w:hAnsi="Times New Roman" w:cs="B Nazanin"/>
          <w:sz w:val="22"/>
          <w:szCs w:val="28"/>
          <w:rtl w:val="1"/>
        </w:rPr>
        <w:t>عدم اجماع در مورد تعریف و شناسایی خلاء یکی از چالشهای اصلی این حوزه بوده است. عدهای طرفدار تفسیر مضیق و محدود شدن آن به خلاء هنجاری و عدهای طرفدار تفسیر موسع و مبتنی بر فرایند علمی که شامل خلاءهای هنجاری، نهادی، اجرایی گردیدند. دبیرخانه مستفاد از مذاکرات صورت گرفته در نشست دوم گروهکاری، به این نتیجه رسید که خلاء باید به صورت موسع تفسیر گردد تا شامل کمبود و نقص و چالش نیز بشود و تعریف صورت گرفته در گزارش دبیرکل را تایید می نماید. درنهایت، این اختلاف نظرها نه تنها بر روند کار تأثیر گذاشت، بلکه بر نتیجه‌گیری‌های نهایی نیز تأثیر مستقیمی داشت. برخی از کشورها با پررنگ سازی عدم اجماع در خصوص خلاء سعی در اجتناب از نهایی سازی نتیجه مذاکرات ( ارائه توصیههای لازم به مجمععمومی) بودند. تلاش‌هایی مانند پیشنهاد «منوی راه‌حل‌های عملی»</w:t>
      </w:r>
      <w:r>
        <w:rPr>
          <w:rStyle w:val="FootnoteReference"/>
          <w:rtl w:val="1"/>
        </w:rPr>
        <w:footnoteReference w:id="177"/>
      </w:r>
      <w:r>
        <w:rPr>
          <w:rFonts w:ascii="Times New Roman" w:hAnsi="Times New Roman" w:cs="B Nazanin"/>
          <w:sz w:val="22"/>
          <w:szCs w:val="28"/>
          <w:rtl w:val="1"/>
        </w:rPr>
        <w:t xml:space="preserve"> توسط ژاپن و کانادا نشان‌دهنده تمایل به عبور از اختلاف نظرها و تمرکز بر اقدامات عملی است. این رویکرد می‌توانست به عنوان یک راه‌حل موقت برای پیشرفت در مذاکرات در شرایطی که اجماع وجود ندارد، در نظر گرفته شود. اختلاف نظرها در مورد تعریف و تشخیص خلاء‌ها به حدی جدی بود که امکان توافق بر سر استفاده از این واژه وجود نداشت. در نهایت، حذف واژه «خلاء» از توصیه‌های نهایی نیز نشان‌دهنده این است که گاهی اوقات برای پیشبرد مذاکرات، لازم است از ذکر مفاهیم بحث‌برانگیز اجتناب شود و به جای آن بر مفاهیم کلی‌تر یا اقدامات عملی تمرکز کرد. </w:t>
      </w:r>
    </w:p>
    <w:p>
      <w:pPr>
        <w:bidi w:val="1"/>
        <w:spacing w:line="312" w:lineRule="auto" w:before="0" w:after="120"/>
        <w:ind w:firstLine="454"/>
        <w:jc w:val="both"/>
      </w:pPr>
      <w:r>
        <w:rPr>
          <w:rFonts w:ascii="Times New Roman" w:hAnsi="Times New Roman" w:cs="B Nazanin"/>
          <w:sz w:val="22"/>
          <w:szCs w:val="28"/>
          <w:rtl w:val="1"/>
        </w:rPr>
        <w:t xml:space="preserve">بنابراین، تعریف و شناسایی خلاء‌ها در حقوق بین‌الملل محیط‌زیست یک مسئله پیچیده و چندوجهی است که نیازمند درک مشترک بین کشورها است. زیرا اختلاف نظرها در مورد وجود یا فقدان خلاء‌ها، تعریف، ماهیت آن‌ها و نحوه رسیدگی به آن‌ها نشان‌دهنده تفاوت در اولویت‌ها و دیدگاه‌های کشورها است. باید در نظر گرفت که خلاء‌ها لزوماً نشان‌دهنده نقص در نظام حقوقی نیستند، چراکه اغلب نتیجه تصمیمات سیاستی، مصالحه‌های سیاسی و طراحی‌های آگاهانه هستند. </w:t>
      </w:r>
    </w:p>
    <w:p>
      <w:pPr>
        <w:pStyle w:val="Heading3"/>
        <w:bidi w:val="1"/>
        <w:spacing w:line="312" w:lineRule="auto" w:before="200" w:after="120"/>
        <w:jc w:val="right"/>
      </w:pPr>
      <w:r>
        <w:rPr>
          <w:rFonts w:ascii="Times New Roman" w:hAnsi="Times New Roman" w:cs="B Nazanin"/>
          <w:sz w:val="24"/>
          <w:szCs w:val="24"/>
          <w:rtl w:val="1"/>
          <w:b/>
          <w:bCs/>
          <w:color w:val="000000"/>
        </w:rPr>
        <w:t>۳-۱-۲-۲ انواع خلاء</w:t>
      </w:r>
    </w:p>
    <w:p>
      <w:pPr>
        <w:bidi w:val="1"/>
        <w:spacing w:line="312" w:lineRule="auto" w:before="0" w:after="120"/>
        <w:ind w:firstLine="454"/>
        <w:jc w:val="both"/>
      </w:pPr>
      <w:r>
        <w:rPr>
          <w:rFonts w:ascii="Times New Roman" w:hAnsi="Times New Roman" w:cs="B Nazanin"/>
          <w:sz w:val="22"/>
          <w:szCs w:val="28"/>
          <w:rtl w:val="1"/>
        </w:rPr>
        <w:t>باید توجه نمود که در گزارش دبیرکل، دستهبندی خلاءها در گزارش نهایی به‌صورت دقیق منعکس نشدهاند و گزارش به چارچوب کلی برای تحلیل مفهوم خلاء بسنده نموده است. چراکه، مخاطبان بین‌الدولی ترجیح میدهند به جای جزئیات فنی، به یک تحلیل کلی و جامع قناعت کنند. این رویکرد نشان‌دهنده تعادل بین دقت مفهومی و نیازهای عملی در فرآیندهای بین‌الدولی است. سایر نویسندگان، خلاء در حقوق بینالملل محیطزیست را به گونههای مختلفی تقسیم بندی نمودهاند. در ادامه به برخی از آنها اشاره میکنیم.</w:t>
      </w:r>
    </w:p>
    <w:p>
      <w:pPr>
        <w:bidi w:val="1"/>
        <w:spacing w:line="312" w:lineRule="auto" w:before="0" w:after="120"/>
        <w:ind w:firstLine="454"/>
        <w:jc w:val="both"/>
      </w:pPr>
      <w:r>
        <w:rPr>
          <w:rFonts w:ascii="Times New Roman" w:hAnsi="Times New Roman" w:cs="B Nazanin"/>
          <w:sz w:val="22"/>
          <w:szCs w:val="28"/>
          <w:rtl w:val="1"/>
        </w:rPr>
        <w:t>پروفسور بودانسکی در مقالهای خلاء را به توصیفی</w:t>
      </w:r>
      <w:r>
        <w:rPr>
          <w:rStyle w:val="FootnoteReference"/>
          <w:rtl w:val="1"/>
        </w:rPr>
        <w:footnoteReference w:id="178"/>
      </w:r>
      <w:r>
        <w:rPr>
          <w:rFonts w:ascii="Times New Roman" w:hAnsi="Times New Roman" w:cs="B Nazanin"/>
          <w:sz w:val="22"/>
          <w:szCs w:val="28"/>
          <w:rtl w:val="1"/>
        </w:rPr>
        <w:t xml:space="preserve"> و هنجاری</w:t>
      </w:r>
      <w:r>
        <w:rPr>
          <w:rStyle w:val="FootnoteReference"/>
          <w:rtl w:val="1"/>
        </w:rPr>
        <w:footnoteReference w:id="179"/>
      </w:r>
      <w:r>
        <w:rPr>
          <w:rFonts w:ascii="Times New Roman" w:hAnsi="Times New Roman" w:cs="B Nazanin"/>
          <w:sz w:val="22"/>
          <w:szCs w:val="28"/>
          <w:rtl w:val="1"/>
        </w:rPr>
        <w:t xml:space="preserve"> تقسیم میکند. از منظر توصیفی، خلاء صرفاً یک ناپیوستگی</w:t>
      </w:r>
      <w:r>
        <w:rPr>
          <w:rStyle w:val="FootnoteReference"/>
          <w:rtl w:val="1"/>
        </w:rPr>
        <w:footnoteReference w:id="180"/>
      </w:r>
      <w:r>
        <w:rPr>
          <w:rFonts w:ascii="Times New Roman" w:hAnsi="Times New Roman" w:cs="B Nazanin"/>
          <w:sz w:val="22"/>
          <w:szCs w:val="28"/>
          <w:rtl w:val="1"/>
        </w:rPr>
        <w:t xml:space="preserve"> است. از نظر هنجاری، خلاء چیزی است که وجود ندارد و نیاز به پر شدن دارد، نقص یا کمبود است. وی توضیح میدهد که «خلاء حقوقی در معنای توصیفی به ندرت وجود دارد</w:t>
      </w:r>
      <w:r>
        <w:rPr>
          <w:rStyle w:val="FootnoteReference"/>
          <w:rtl w:val="1"/>
        </w:rPr>
        <w:footnoteReference w:id="181"/>
      </w:r>
      <w:r>
        <w:rPr>
          <w:rFonts w:ascii="Times New Roman" w:hAnsi="Times New Roman" w:cs="B Nazanin"/>
          <w:sz w:val="22"/>
          <w:szCs w:val="28"/>
          <w:rtl w:val="1"/>
        </w:rPr>
        <w:t>. زیرا فقدان یک قاعده حقوقی در مورد موضوعی (به عنوان مثال آلودگی پلاستیکی)، لزوماً به معنای خلاء نیست. بلکه به این معناست که کشورها از نظر حقوقی آزادند به هر نحوی که مایلند عمل کنند. این یک ناپیوستگی است، نه یک نقص که نیاز به رفع داشته باشد.»</w:t>
      </w:r>
      <w:r>
        <w:rPr>
          <w:rStyle w:val="FootnoteReference"/>
          <w:rtl w:val="1"/>
        </w:rPr>
        <w:footnoteReference w:id="182"/>
      </w:r>
      <w:r>
        <w:rPr>
          <w:rFonts w:ascii="Times New Roman" w:hAnsi="Times New Roman" w:cs="B Nazanin"/>
          <w:sz w:val="22"/>
          <w:szCs w:val="28"/>
          <w:rtl w:val="1"/>
        </w:rPr>
        <w:t xml:space="preserve"> لذا، منبع ناپیوستگی، فقدان قاعده‌ حقوقی در مورد یک موضوع خاص است و لزوماً به معنای نقص نیست. این نوع از خلاء، مشابه تعریف نویسندگان از خلاءهای فنی و واقعی است که بدانها اشاره خواهیم کرد. بودانسکی تاکید می‌کند که شناسایی این خلاءها یک فرآیند فنی، عینی و مبتنی بر شواهد نیست، بلکه یک فرآیند ذهنی و ارزش‌محور است که به قضاوت‌های سیاسی و اخلاقی بستگی دارد.</w:t>
      </w:r>
      <w:r>
        <w:rPr>
          <w:rStyle w:val="FootnoteReference"/>
          <w:rtl w:val="1"/>
        </w:rPr>
        <w:footnoteReference w:id="183"/>
      </w:r>
      <w:r>
        <w:rPr>
          <w:rFonts w:ascii="Times New Roman" w:hAnsi="Times New Roman" w:cs="B Nazanin"/>
          <w:sz w:val="22"/>
          <w:szCs w:val="28"/>
          <w:rtl w:val="1"/>
        </w:rPr>
        <w:t xml:space="preserve">  برخی دیگر از منابع</w:t>
      </w:r>
      <w:r>
        <w:rPr>
          <w:rStyle w:val="FootnoteReference"/>
          <w:rtl w:val="1"/>
        </w:rPr>
        <w:footnoteReference w:id="184"/>
      </w:r>
      <w:r>
        <w:rPr>
          <w:rFonts w:ascii="Times New Roman" w:hAnsi="Times New Roman" w:cs="B Nazanin"/>
          <w:sz w:val="22"/>
          <w:szCs w:val="28"/>
          <w:rtl w:val="1"/>
        </w:rPr>
        <w:t>، خلاء را به دو دسته کلی واقعی و هنجاری  به شرح زیر تقسیم میکنند.</w:t>
      </w:r>
    </w:p>
    <w:p>
      <w:pPr>
        <w:bidi w:val="1"/>
        <w:spacing w:line="312" w:lineRule="auto" w:before="0" w:after="120"/>
        <w:ind w:firstLine="454"/>
        <w:jc w:val="both"/>
      </w:pPr>
      <w:r>
        <w:rPr>
          <w:rFonts w:ascii="Times New Roman" w:hAnsi="Times New Roman" w:cs="B Nazanin"/>
          <w:sz w:val="22"/>
          <w:szCs w:val="28"/>
          <w:rtl w:val="1"/>
        </w:rPr>
        <w:t>«خلاءهای واقعی</w:t>
      </w:r>
      <w:r>
        <w:rPr>
          <w:rStyle w:val="FootnoteReference"/>
          <w:rtl w:val="1"/>
        </w:rPr>
        <w:footnoteReference w:id="185"/>
      </w:r>
      <w:r>
        <w:rPr>
          <w:rFonts w:ascii="Times New Roman" w:hAnsi="Times New Roman" w:cs="B Nazanin"/>
          <w:sz w:val="22"/>
          <w:szCs w:val="28"/>
          <w:rtl w:val="1"/>
        </w:rPr>
        <w:t xml:space="preserve"> شامل:</w:t>
      </w:r>
    </w:p>
    <w:p>
      <w:pPr>
        <w:bidi w:val="1"/>
        <w:spacing w:line="312" w:lineRule="auto" w:before="0" w:after="120"/>
        <w:ind w:firstLine="454"/>
        <w:jc w:val="both"/>
      </w:pPr>
      <w:r>
        <w:rPr>
          <w:rFonts w:ascii="Times New Roman" w:hAnsi="Times New Roman" w:cs="B Nazanin"/>
          <w:sz w:val="22"/>
          <w:szCs w:val="28"/>
          <w:rtl w:val="1"/>
        </w:rPr>
        <w:t>خلاء‌های ماهوی</w:t>
      </w:r>
      <w:r>
        <w:rPr>
          <w:rStyle w:val="FootnoteReference"/>
          <w:rtl w:val="1"/>
        </w:rPr>
        <w:footnoteReference w:id="186"/>
      </w:r>
      <w:r>
        <w:rPr>
          <w:rFonts w:ascii="Times New Roman" w:hAnsi="Times New Roman" w:cs="B Nazanin"/>
          <w:sz w:val="22"/>
          <w:szCs w:val="28"/>
          <w:rtl w:val="1"/>
        </w:rPr>
        <w:t>: زمانی که یک موضوع خاص تحت پوشش موافقتنامه‌های موجود قرار ندارد. (بالاترین سطح خلاء، زمانی است که یک موضوع محیطزیستی به طور کامل نادیده گرفته شده یا به اندازه کافی به آن پرداخته نشده است. مثال بارز آن آلودگی پلاستیکی در محیطزیست دریایی)</w:t>
      </w:r>
    </w:p>
    <w:p>
      <w:pPr>
        <w:bidi w:val="1"/>
        <w:spacing w:line="312" w:lineRule="auto" w:before="0" w:after="120"/>
        <w:ind w:firstLine="454"/>
        <w:jc w:val="both"/>
      </w:pPr>
      <w:r>
        <w:rPr>
          <w:rFonts w:ascii="Times New Roman" w:hAnsi="Times New Roman" w:cs="B Nazanin"/>
          <w:sz w:val="22"/>
          <w:szCs w:val="28"/>
          <w:rtl w:val="1"/>
        </w:rPr>
        <w:t>خلاءهای حقوقی</w:t>
      </w:r>
      <w:r>
        <w:rPr>
          <w:rStyle w:val="FootnoteReference"/>
          <w:rtl w:val="1"/>
        </w:rPr>
        <w:footnoteReference w:id="187"/>
      </w:r>
      <w:r>
        <w:rPr>
          <w:rFonts w:ascii="Times New Roman" w:hAnsi="Times New Roman" w:cs="B Nazanin"/>
          <w:sz w:val="22"/>
          <w:szCs w:val="28"/>
          <w:rtl w:val="1"/>
        </w:rPr>
        <w:t>: مربوط به ماهیت حقوقی است. زمانی که دستورالعمل‌ها وجود دارند، اما از نظر حقوقی الزام‌آور نیستند.</w:t>
      </w:r>
    </w:p>
    <w:p>
      <w:pPr>
        <w:bidi w:val="1"/>
        <w:spacing w:line="312" w:lineRule="auto" w:before="0" w:after="120"/>
        <w:ind w:firstLine="454"/>
        <w:jc w:val="both"/>
      </w:pPr>
      <w:r>
        <w:rPr>
          <w:rFonts w:ascii="Times New Roman" w:hAnsi="Times New Roman" w:cs="B Nazanin"/>
          <w:sz w:val="22"/>
          <w:szCs w:val="28"/>
          <w:rtl w:val="1"/>
        </w:rPr>
        <w:t>خلاء‌های مرتبط با عضویت</w:t>
      </w:r>
      <w:r>
        <w:rPr>
          <w:rStyle w:val="FootnoteReference"/>
          <w:rtl w:val="1"/>
        </w:rPr>
        <w:footnoteReference w:id="188"/>
      </w:r>
      <w:r>
        <w:rPr>
          <w:rFonts w:ascii="Times New Roman" w:hAnsi="Times New Roman" w:cs="B Nazanin"/>
          <w:sz w:val="22"/>
          <w:szCs w:val="28"/>
          <w:rtl w:val="1"/>
        </w:rPr>
        <w:t>: زمانی که برخی از اعضای موافقتنامه از تمام یا برخی تعهدات مستثنی شده‌اند.</w:t>
      </w:r>
    </w:p>
    <w:p>
      <w:pPr>
        <w:bidi w:val="1"/>
        <w:spacing w:line="312" w:lineRule="auto" w:before="0" w:after="120"/>
        <w:ind w:firstLine="454"/>
        <w:jc w:val="both"/>
      </w:pPr>
      <w:r>
        <w:rPr>
          <w:rFonts w:ascii="Times New Roman" w:hAnsi="Times New Roman" w:cs="B Nazanin"/>
          <w:sz w:val="22"/>
          <w:szCs w:val="28"/>
          <w:rtl w:val="1"/>
        </w:rPr>
        <w:t>خلاء‌های جغرافیایی</w:t>
      </w:r>
      <w:r>
        <w:rPr>
          <w:rStyle w:val="FootnoteReference"/>
          <w:rtl w:val="1"/>
        </w:rPr>
        <w:footnoteReference w:id="189"/>
      </w:r>
      <w:r>
        <w:rPr>
          <w:rFonts w:ascii="Times New Roman" w:hAnsi="Times New Roman" w:cs="B Nazanin"/>
          <w:sz w:val="22"/>
          <w:szCs w:val="28"/>
          <w:rtl w:val="1"/>
        </w:rPr>
        <w:t>: زمانی که یک سند حقوقی بر همه مناطق جهان اعمال نمی‌شود.</w:t>
      </w:r>
    </w:p>
    <w:p>
      <w:pPr>
        <w:bidi w:val="1"/>
        <w:spacing w:line="312" w:lineRule="auto" w:before="0" w:after="120"/>
        <w:ind w:firstLine="454"/>
        <w:jc w:val="both"/>
      </w:pPr>
      <w:r>
        <w:rPr>
          <w:rFonts w:ascii="Times New Roman" w:hAnsi="Times New Roman" w:cs="B Nazanin"/>
          <w:sz w:val="22"/>
          <w:szCs w:val="28"/>
          <w:rtl w:val="1"/>
        </w:rPr>
        <w:t>خلاهای نهادی</w:t>
      </w:r>
      <w:r>
        <w:rPr>
          <w:rStyle w:val="FootnoteReference"/>
          <w:rtl w:val="1"/>
        </w:rPr>
        <w:footnoteReference w:id="190"/>
      </w:r>
      <w:r>
        <w:rPr>
          <w:rFonts w:ascii="Times New Roman" w:hAnsi="Times New Roman" w:cs="B Nazanin"/>
          <w:sz w:val="22"/>
          <w:szCs w:val="28"/>
          <w:rtl w:val="1"/>
        </w:rPr>
        <w:t>: زمانی که نهاد، سازمان یا سازوکاری برای انجام وظایف خاص وجود ندارد.</w:t>
      </w:r>
    </w:p>
    <w:p>
      <w:pPr>
        <w:bidi w:val="1"/>
        <w:spacing w:line="312" w:lineRule="auto" w:before="0" w:after="120"/>
        <w:ind w:firstLine="454"/>
        <w:jc w:val="both"/>
      </w:pPr>
      <w:r>
        <w:rPr>
          <w:rFonts w:ascii="Times New Roman" w:hAnsi="Times New Roman" w:cs="B Nazanin"/>
          <w:sz w:val="22"/>
          <w:szCs w:val="28"/>
          <w:rtl w:val="1"/>
        </w:rPr>
        <w:t>خلاء‌های مرتبط با اجرا و پایبندی</w:t>
      </w:r>
      <w:r>
        <w:rPr>
          <w:rStyle w:val="FootnoteReference"/>
          <w:rtl w:val="1"/>
        </w:rPr>
        <w:footnoteReference w:id="191"/>
      </w:r>
      <w:r>
        <w:rPr>
          <w:rFonts w:ascii="Times New Roman" w:hAnsi="Times New Roman" w:cs="B Nazanin"/>
          <w:sz w:val="22"/>
          <w:szCs w:val="28"/>
          <w:rtl w:val="1"/>
        </w:rPr>
        <w:t xml:space="preserve">: زمانی که موافقتنامه و تعهدات مرتبط وجود دارد، اما مکانیسم‌های اجرایی و پایبندی وجود ندارد یا بسیار ضعیف هستند. </w:t>
      </w:r>
    </w:p>
    <w:p>
      <w:pPr>
        <w:bidi w:val="1"/>
        <w:spacing w:line="312" w:lineRule="auto" w:before="0" w:after="120"/>
        <w:ind w:firstLine="454"/>
        <w:jc w:val="both"/>
      </w:pPr>
      <w:r>
        <w:rPr>
          <w:rFonts w:ascii="Times New Roman" w:hAnsi="Times New Roman" w:cs="B Nazanin"/>
          <w:sz w:val="22"/>
          <w:szCs w:val="28"/>
          <w:rtl w:val="1"/>
        </w:rPr>
        <w:t>خلاءهای هنجاری</w:t>
      </w:r>
      <w:r>
        <w:rPr>
          <w:rStyle w:val="FootnoteReference"/>
          <w:rtl w:val="1"/>
        </w:rPr>
        <w:footnoteReference w:id="192"/>
      </w:r>
      <w:r>
        <w:rPr>
          <w:rFonts w:ascii="Times New Roman" w:hAnsi="Times New Roman" w:cs="B Nazanin"/>
          <w:sz w:val="22"/>
          <w:szCs w:val="28"/>
          <w:rtl w:val="1"/>
        </w:rPr>
        <w:t>: این نوع خلاء زمانی وجود دارد که هیچ توافقی در مورد لزوم رسیدگی به یک موضوع خاص وجود ندارد. برای مثال، ممکن است همه توافق داشته باشند که سند حقوقی خاصی برای یک موضوع وجود ندارد (خلاء ماهوی)، اما در مورد ضرورت ایجاد چنین سندی اختلافنظر وجود داشته باشد. »</w:t>
      </w:r>
      <w:r>
        <w:rPr>
          <w:rStyle w:val="FootnoteReference"/>
          <w:rtl w:val="1"/>
        </w:rPr>
        <w:footnoteReference w:id="193"/>
      </w:r>
    </w:p>
    <w:p>
      <w:pPr>
        <w:bidi w:val="1"/>
        <w:spacing w:line="312" w:lineRule="auto" w:before="0" w:after="120"/>
        <w:ind w:firstLine="454"/>
        <w:jc w:val="both"/>
      </w:pPr>
      <w:r>
        <w:rPr>
          <w:rFonts w:ascii="Times New Roman" w:hAnsi="Times New Roman" w:cs="B Nazanin"/>
          <w:sz w:val="22"/>
          <w:szCs w:val="28"/>
          <w:rtl w:val="1"/>
        </w:rPr>
        <w:t>برخی دیگری از منابع، خلاء را به سه دسته واقعی، فنی و هنجاری تقسیم میکنند که با توجه به اهمیت تبیین آن ، در ادامه بررسی خواهد شد. شایان ذکر است، اکثر نویسندگان تأکید می‌کنند که این دسته‌بندی‌ها ممکن است با هم همپوشانی داشته باشند. برای مثال، یک خلاء واقعی ممکن است به شناسایی یک خلاء هنجاری نیز منجر شود.</w:t>
      </w:r>
    </w:p>
    <w:p>
      <w:pPr>
        <w:pStyle w:val="Heading3"/>
        <w:bidi w:val="1"/>
        <w:spacing w:line="312" w:lineRule="auto" w:before="200" w:after="120"/>
        <w:jc w:val="right"/>
      </w:pPr>
      <w:r>
        <w:rPr>
          <w:rFonts w:ascii="Times New Roman" w:hAnsi="Times New Roman" w:cs="B Nazanin"/>
          <w:sz w:val="24"/>
          <w:szCs w:val="24"/>
          <w:rtl w:val="1"/>
          <w:b/>
          <w:bCs/>
          <w:color w:val="000000"/>
        </w:rPr>
        <w:t>۳-۱-۲-۲-۱ خلاءهای واقعی</w:t>
      </w:r>
    </w:p>
    <w:p>
      <w:pPr>
        <w:bidi w:val="1"/>
        <w:spacing w:line="312" w:lineRule="auto" w:before="0" w:after="120"/>
        <w:ind w:firstLine="454"/>
        <w:jc w:val="both"/>
      </w:pPr>
      <w:r>
        <w:rPr>
          <w:rFonts w:ascii="Times New Roman" w:hAnsi="Times New Roman" w:cs="B Nazanin"/>
          <w:sz w:val="22"/>
          <w:szCs w:val="28"/>
          <w:rtl w:val="1"/>
        </w:rPr>
        <w:t>خلاء‌های واقعی به مواردی اشاره دارند که در حقوق بین‌الملل محیطزیست به اندازه کافی پوشش داده نشده‌اند و به نظر می‌رسد باید تنظیم شوند. شناسایی یک خلاء واقعی اولین مرحله برای احراز وجود خلاء هنجاری است، اگرچه این دو متمایز هستند. خلاء هنجاری به این موضوع اشاره دارد که آیا یک مشکل خاص نیاز به پاسخ حقوقی دارد یا خیر. این نوع خلاء‌ها مستقل از خلاء‌های واقعی هستند و ممکن است حتی اگر مشکلی پذیرفته شده باشد، لزوماً نیاز به پاسخ حقوقی نداشته باشد.</w:t>
      </w:r>
      <w:r>
        <w:rPr>
          <w:rStyle w:val="FootnoteReference"/>
          <w:rtl w:val="1"/>
        </w:rPr>
        <w:footnoteReference w:id="194"/>
      </w:r>
      <w:r>
        <w:rPr>
          <w:rFonts w:ascii="Times New Roman" w:hAnsi="Times New Roman" w:cs="B Nazanin"/>
          <w:sz w:val="22"/>
          <w:szCs w:val="28"/>
          <w:rtl w:val="1"/>
        </w:rPr>
        <w:t xml:space="preserve"> بهترین مثال برای این موضوع، مقوله آلودگی پلاستیکی در محیطزیست دریایی است. در ابتدا این موضوع به عنوان یک خلاء واقعی شناسایی شده است. در این خصوص اجماع گسترده، اگر نه جهانی، وجود دارد که باید اقدامی صورت پذیرد. اما این که آیا این اقدام باید شامل یک پاسخ حقوقی باشد، یا اگر باشد، ماهیت و شکل پاسخ چگونه باشد، در حال مذاکره میباشد. در این حوزه چارچوب کلی و گستردهای از قواعد عمومی وجود دارد، اما آیا وجود قواعد چارچوبی کلی</w:t>
      </w:r>
      <w:r>
        <w:rPr>
          <w:rStyle w:val="FootnoteReference"/>
          <w:rtl w:val="1"/>
        </w:rPr>
        <w:footnoteReference w:id="195"/>
      </w:r>
      <w:r>
        <w:rPr>
          <w:rFonts w:ascii="Times New Roman" w:hAnsi="Times New Roman" w:cs="B Nazanin"/>
          <w:sz w:val="22"/>
          <w:szCs w:val="28"/>
          <w:rtl w:val="1"/>
        </w:rPr>
        <w:t xml:space="preserve"> برای اعلام فقدان خلاء اعم از واقعی یا هنجاری کافی است؟ در پاسخ «این دیدگاه عمومی وجود دارد که مؤثرترین شکل تنظیم حقوق بین‌الملل محیطزیست، تصویب قواعد دقیق در چارچوب رژیم‌های خاص معاهدهای</w:t>
      </w:r>
      <w:r>
        <w:rPr>
          <w:rStyle w:val="FootnoteReference"/>
          <w:rtl w:val="1"/>
        </w:rPr>
        <w:footnoteReference w:id="196"/>
      </w:r>
      <w:r>
        <w:rPr>
          <w:rFonts w:ascii="Times New Roman" w:hAnsi="Times New Roman" w:cs="B Nazanin"/>
          <w:sz w:val="22"/>
          <w:szCs w:val="28"/>
          <w:rtl w:val="1"/>
        </w:rPr>
        <w:t xml:space="preserve"> است. تجمیع اصول کلی و هنجارهای فراگیر به ندرت به عنوان جایگزین در نظرگرفته می‌شوند، اگرچه می‌توانند چارچوبی مفید برای تنظیم مقررههای بیشتر فراهم کنند.»</w:t>
      </w:r>
      <w:r>
        <w:rPr>
          <w:rStyle w:val="FootnoteReference"/>
          <w:rtl w:val="1"/>
        </w:rPr>
        <w:footnoteReference w:id="197"/>
      </w:r>
      <w:r>
        <w:rPr>
          <w:rFonts w:ascii="Times New Roman" w:hAnsi="Times New Roman" w:cs="B Nazanin"/>
          <w:sz w:val="22"/>
          <w:szCs w:val="28"/>
          <w:rtl w:val="1"/>
        </w:rPr>
        <w:t xml:space="preserve"> نمونهای از موفقیت این رویکرد، موضوع حفاظت از لایه اوزن میباشد که در ابتدا کنوانسیون چارچوبی حفاظت از لایه اوزن به بیان اهداف، تعهدات کلی و هنجارهای فراگیر پرداخته، سپس تعهدات جزئی و دقیق در قالب پروتکل مونترال (اسم پروتکل) و اصلاحیههای مکرر ( آخرین اصلاحیه: اصلاحیه کیگالی 2016) درج گردید. </w:t>
      </w:r>
    </w:p>
    <w:p>
      <w:pPr>
        <w:bidi w:val="1"/>
        <w:spacing w:line="312" w:lineRule="auto" w:before="0" w:after="120"/>
        <w:ind w:firstLine="454"/>
        <w:jc w:val="both"/>
      </w:pPr>
      <w:r>
        <w:rPr>
          <w:rFonts w:ascii="Times New Roman" w:hAnsi="Times New Roman" w:cs="B Nazanin"/>
          <w:sz w:val="22"/>
          <w:szCs w:val="28"/>
          <w:rtl w:val="1"/>
        </w:rPr>
        <w:t>«با این حال، همه مسائل به راحتی به اجماع جهانی کافی دست نمییابند تا بتوان گفت که یک خلاء واقعی وجود دارد و در نتیجه نیاز فوری به تنظیم این نگرانی‌ها از طریق رژیم‌های دقیق و جزئیتر احساس می‌شود (خلاء هنجاری). به عنوان مثال در خصوص زباله‌های فضایی و رفاه حیوانات بسیاری از محققان این موارد را نگرانی‌های حیاتی می‌دانند که به خودی خود مستحق تنظیم مقررههای جهانی هستند. اما به نظر نمی‌رسد (هنوز) اجماع سیاسی کافی در مورد این که آیا این‌ها "مشکلات محیطزیستی" هستند که نیاز به تنظیم مقررات بین‌المللی دارند یا حتی اگر هستند، ماهیت و شکلی که چنین مقررات بین‌المللی باید داشته باشد، وجود داشته باشد.»</w:t>
      </w:r>
      <w:r>
        <w:rPr>
          <w:rStyle w:val="FootnoteReference"/>
          <w:rtl w:val="1"/>
        </w:rPr>
        <w:footnoteReference w:id="198"/>
      </w:r>
      <w:r>
        <w:rPr>
          <w:rFonts w:ascii="Times New Roman" w:hAnsi="Times New Roman" w:cs="B Nazanin"/>
          <w:sz w:val="22"/>
          <w:szCs w:val="28"/>
          <w:rtl w:val="1"/>
        </w:rPr>
        <w:t xml:space="preserve"> به عبارتی، برای پرکردن خلاء‌های هنجاری، ابتدا باید خلاءهای واقعی را بهدرستی درک کرد و سپس اجماع سیاسی برای اقدام لازم ایجاد نمود. در مورد تثبیت گازهای گلخانه‌ای در سطح ۱.۵ درجه سانتیگراد بالاتر از سطح پیش از صنعتی شدن، شاهد اجماع در عین اختلافات سیاسی بهدلیل درک آسیبهای مخرب گازهای گلخانهای برای محیطزیست جهانی بودهایم. گرچه هنوز در عرصه محیطزیست، آسیبهای ناشناخته بسیاری وجود دارد که هنوز به طور کامل آنها را درک نمیکنیم یا هنوز نمیدانیم که باعث آنها هستیم. در نتیجه، ما به سادگی یا خطرات را به اندازه کافی درک نمی‌کنیم یا هنوز از نظر سیاسی آماده اقدام متناسب نیستیم.</w:t>
      </w:r>
    </w:p>
    <w:p>
      <w:pPr>
        <w:pStyle w:val="Heading3"/>
        <w:bidi w:val="1"/>
        <w:spacing w:line="312" w:lineRule="auto" w:before="200" w:after="120"/>
        <w:jc w:val="right"/>
      </w:pPr>
      <w:r>
        <w:rPr>
          <w:rFonts w:ascii="Times New Roman" w:hAnsi="Times New Roman" w:cs="B Nazanin"/>
          <w:sz w:val="24"/>
          <w:szCs w:val="24"/>
          <w:rtl w:val="1"/>
          <w:b/>
          <w:bCs/>
          <w:color w:val="000000"/>
        </w:rPr>
        <w:t>۳-۱-۲-۲-۲ خلاءهای فنی</w:t>
      </w:r>
    </w:p>
    <w:p>
      <w:pPr>
        <w:bidi w:val="1"/>
        <w:spacing w:line="312" w:lineRule="auto" w:before="0" w:after="120"/>
        <w:ind w:firstLine="454"/>
        <w:jc w:val="both"/>
      </w:pPr>
      <w:r>
        <w:rPr>
          <w:rFonts w:ascii="Times New Roman" w:hAnsi="Times New Roman" w:cs="B Nazanin"/>
          <w:sz w:val="22"/>
          <w:szCs w:val="28"/>
          <w:rtl w:val="1"/>
        </w:rPr>
        <w:t>نوع دوم خلاء، خلاء‌های فنی</w:t>
      </w:r>
      <w:r>
        <w:rPr>
          <w:rStyle w:val="FootnoteReference"/>
          <w:rtl w:val="1"/>
        </w:rPr>
        <w:footnoteReference w:id="199"/>
      </w:r>
      <w:r>
        <w:rPr>
          <w:rFonts w:ascii="Times New Roman" w:hAnsi="Times New Roman" w:cs="B Nazanin"/>
          <w:sz w:val="22"/>
          <w:szCs w:val="28"/>
          <w:rtl w:val="1"/>
        </w:rPr>
        <w:t xml:space="preserve"> است که با توجه به محتوای قطعنامه 277 /72 مجمععمومی، حولمحور مقوله اجرا تفسیر می‌گردد. منظور از اجرا در این قطعنامه اجرای حقوق بین‌الملل محیطزیست و اسناد مرتبط با محیطزیست میباشد. این موضوع سؤالات مهمی را درباره هدف از شناسایی خلاء‌ها و سپس، بررسی گزینه‌های ممکن برای رسیدگی به خلاء‌های احتمالی مطرح میسازد. بنابراین، این نوع از خلاء به طور خاص به چگونگی تقویت اجرای تعهدات کشورها و بهبود اثربخشی حقوق بین‌الملل محیطزیست مربوط می‌شوند. بدون شک فاصلهای بین تعهداتی که کشورها می‌پذیرند و اجرای کامل آنها وجود دارد و فاصله بزرگ‌تری بین این تعهدات، وضعیت فعلی محیطزیست و وضعیت مطلوب وجود دارد. از این رو، برخی کشوها مانند فدراسیون روسیه معتقدند که تمرکز اصلی باید بر اجرای مؤثر تعهدات موجود باشد، نه ایجاد سندها یا معاهدات جدید.</w:t>
      </w:r>
      <w:r>
        <w:rPr>
          <w:rStyle w:val="FootnoteReference"/>
          <w:rtl w:val="1"/>
        </w:rPr>
        <w:footnoteReference w:id="200"/>
      </w:r>
      <w:r>
        <w:rPr>
          <w:rFonts w:ascii="Times New Roman" w:hAnsi="Times New Roman" w:cs="B Nazanin"/>
          <w:sz w:val="22"/>
          <w:szCs w:val="28"/>
          <w:rtl w:val="1"/>
        </w:rPr>
        <w:t xml:space="preserve"> از نظر سیاسی، مسئله اجرا یکی از مسایل محوری در حقوق بین‌الملل محیطزیست است. این سوال مطرح گردیده است که با توجه به چالشهای اجرایی در حقوق بینالملل محیطزیست از جمله فاصله موجود میان تعهد و اجرا، آیا به هنجارها و سند جدیدی نیاز داریم یا خیر؟ این سوال در چارچوب قطعنامه 277 /72 مجمععمومی با توجه به هدف غایی آن که تدوین پیمان جهانی محیطزیست بود، مطرح گردید. از همان ابتدا یکی از نگرانی‌های اصلی این بود که «گسترش هنجاری</w:t>
      </w:r>
      <w:r>
        <w:rPr>
          <w:rStyle w:val="FootnoteReference"/>
          <w:rtl w:val="1"/>
        </w:rPr>
        <w:footnoteReference w:id="201"/>
      </w:r>
      <w:r>
        <w:rPr>
          <w:rFonts w:ascii="Times New Roman" w:hAnsi="Times New Roman" w:cs="B Nazanin"/>
          <w:sz w:val="22"/>
          <w:szCs w:val="28"/>
          <w:rtl w:val="1"/>
        </w:rPr>
        <w:t xml:space="preserve"> ممکن است منجر به تورم معاهدهای</w:t>
      </w:r>
      <w:r>
        <w:rPr>
          <w:rStyle w:val="FootnoteReference"/>
          <w:rtl w:val="1"/>
        </w:rPr>
        <w:footnoteReference w:id="202"/>
      </w:r>
      <w:r>
        <w:rPr>
          <w:rFonts w:ascii="Times New Roman" w:hAnsi="Times New Roman" w:cs="B Nazanin"/>
          <w:sz w:val="22"/>
          <w:szCs w:val="28"/>
          <w:rtl w:val="1"/>
        </w:rPr>
        <w:t xml:space="preserve"> گردد و به جای حل مشکل باعث تشدید پراکندگی در نظام‌ حقوقی و حکمرانی جهانی محیطزیست شود.»</w:t>
      </w:r>
      <w:r>
        <w:rPr>
          <w:rStyle w:val="FootnoteReference"/>
          <w:rtl w:val="1"/>
        </w:rPr>
        <w:footnoteReference w:id="203"/>
      </w:r>
      <w:r>
        <w:rPr>
          <w:rFonts w:ascii="Times New Roman" w:hAnsi="Times New Roman" w:cs="B Nazanin"/>
          <w:sz w:val="22"/>
          <w:szCs w:val="28"/>
          <w:rtl w:val="1"/>
        </w:rPr>
        <w:t xml:space="preserve"> شایان ذکر است، این مسئله با هدف "تقویت انسجام حکمرانی جهانی محیطزیست" که در قطعنامه مورد اشاره آمده است، در تضاد است.</w:t>
      </w:r>
    </w:p>
    <w:p>
      <w:pPr>
        <w:bidi w:val="1"/>
        <w:spacing w:line="312" w:lineRule="auto" w:before="0" w:after="120"/>
        <w:ind w:firstLine="454"/>
        <w:jc w:val="both"/>
      </w:pPr>
      <w:r>
        <w:rPr>
          <w:rFonts w:ascii="Times New Roman" w:hAnsi="Times New Roman" w:cs="B Nazanin"/>
          <w:sz w:val="22"/>
          <w:szCs w:val="28"/>
          <w:rtl w:val="1"/>
        </w:rPr>
        <w:t>مسئله اجرا در حقوق بینالملل محیطزیست به شدت سیاسی و ماحصل مذاکرات طولانی مدت است. علاوه بر این، مسئله اجرا با اصل مسئولیت‌های مشترک اما متفاوت</w:t>
      </w:r>
      <w:r>
        <w:rPr>
          <w:rStyle w:val="FootnoteReference"/>
          <w:rtl w:val="1"/>
        </w:rPr>
        <w:footnoteReference w:id="204"/>
      </w:r>
      <w:r>
        <w:rPr>
          <w:rFonts w:ascii="Times New Roman" w:hAnsi="Times New Roman" w:cs="B Nazanin"/>
          <w:sz w:val="22"/>
          <w:szCs w:val="28"/>
          <w:rtl w:val="1"/>
        </w:rPr>
        <w:t xml:space="preserve"> و توانایی‌های مربوطه مرتبط است. این اصل به طور خاص در روابط بین کشورهای توسعه‌یافته (شمال) و کشورهای درحال توسعه (جنوب) مطرح می‌شود و نشان‌دهنده اختلافات عمیق در اولویت‌ها و توانایی‌های این کشورها است. همچنین جنبه دوم (مرتبط اما مجزا) در مفهوم خلاء‌های فنی مربوط به وجود خلاء‌ در داده‌های فنی، علمی و اجتماعی-اقتصادی</w:t>
      </w:r>
      <w:r>
        <w:rPr>
          <w:rStyle w:val="FootnoteReference"/>
          <w:rtl w:val="1"/>
        </w:rPr>
        <w:footnoteReference w:id="205"/>
      </w:r>
      <w:r>
        <w:rPr>
          <w:rFonts w:ascii="Times New Roman" w:hAnsi="Times New Roman" w:cs="B Nazanin"/>
          <w:sz w:val="22"/>
          <w:szCs w:val="28"/>
          <w:rtl w:val="1"/>
        </w:rPr>
        <w:t xml:space="preserve"> است که برای درک چالش‌های محیطزیستی بهمنظور توسعه هنجارهای استراتژیک و متمرکز ضروری است و در نهایت بستری را برای اجرای بهتر تعهدات بینالمللی فراهم می‌کنند.</w:t>
      </w:r>
      <w:r>
        <w:rPr>
          <w:rStyle w:val="FootnoteReference"/>
          <w:rtl w:val="1"/>
        </w:rPr>
        <w:footnoteReference w:id="206"/>
      </w:r>
      <w:r>
        <w:rPr>
          <w:rFonts w:ascii="Times New Roman" w:hAnsi="Times New Roman" w:cs="B Nazanin"/>
          <w:sz w:val="22"/>
          <w:szCs w:val="28"/>
          <w:rtl w:val="1"/>
        </w:rPr>
        <w:t xml:space="preserve"> باید در نظر داشته باشیم که شناسایی چنین خلاء‌هایی یک موضوع است، در حالی که ارزیابی آن‌ها و اقدام جهت رفع آن موضوع دیگری است. بهعنوان مثال، چالش انتقال فناوری به عنوان یکی از نمونههای کلیدی خلاء فنی، بهطور گسترده‌ در نظام‌های بین‌المللی مورد بحث قرارگرفته است، اما پیشرفت چندانی در حل آن حاصل نشده است. زیرا برای اصلاح آن‌ به اراده سیاسی بیشتر و منابع قابل توجهی نیاز بوده که تاکنون محقق نگردیده است.</w:t>
      </w:r>
    </w:p>
    <w:p>
      <w:pPr>
        <w:pStyle w:val="Heading3"/>
        <w:bidi w:val="1"/>
        <w:spacing w:line="312" w:lineRule="auto" w:before="200" w:after="120"/>
        <w:jc w:val="right"/>
      </w:pPr>
      <w:r>
        <w:rPr>
          <w:rFonts w:ascii="Times New Roman" w:hAnsi="Times New Roman" w:cs="B Nazanin"/>
          <w:sz w:val="24"/>
          <w:szCs w:val="24"/>
          <w:rtl w:val="1"/>
          <w:b/>
          <w:bCs/>
          <w:color w:val="000000"/>
        </w:rPr>
        <w:t>۳-۱-۲-۲-۳ خلاءهای هنجاری</w:t>
      </w:r>
    </w:p>
    <w:p>
      <w:pPr>
        <w:bidi w:val="1"/>
        <w:spacing w:line="312" w:lineRule="auto" w:before="0" w:after="120"/>
        <w:ind w:firstLine="454"/>
        <w:jc w:val="both"/>
      </w:pPr>
      <w:r>
        <w:rPr>
          <w:rFonts w:ascii="Times New Roman" w:hAnsi="Times New Roman" w:cs="B Nazanin"/>
          <w:sz w:val="22"/>
          <w:szCs w:val="28"/>
          <w:rtl w:val="1"/>
        </w:rPr>
        <w:t xml:space="preserve">همانطور که پیشتر بدان اشاره شد، خلاء هنجاری زمانی ایجاد میشود که هیچ توافقی در مورد لزوم رسیدگی یا پاسخ حقوقی به یک موضوع خاص وجود ندارد. از آن جایی که حقوق بین‌الملل محیطزیست از طیف گسترده‌ای از منابع، از جمله قواعد معاهده‌ای، قواعد عرفی، رویه قضایی،  حقوقنرم و تصمیمات کنفرانس‌های اعضای موافقتنامههای چندجانبه محیطزیستی بهرهمند است، این تنوع باعث می‌شود که تعیین خلاءهای هنجاری پیچیده‌تر شود. سوالی که مطرح میشود این است که هنگامی که از خلاءهای هنجاری صحبت میکنیم منظور فقط قواعد الزامآور است یا قواعد غیرالزامآور را هم شامل میشود؟ پاسخ به این سوال به دیدگاه غالب نسبت به سیستم حقوق بینالملل و نحوه نگرش هر دیدگاه به جایگاه و نقش این قواعد در حقوق بین‌الملل بستگی دارد. </w:t>
      </w:r>
    </w:p>
    <w:p>
      <w:pPr>
        <w:bidi w:val="1"/>
        <w:spacing w:line="312" w:lineRule="auto" w:before="0" w:after="120"/>
        <w:ind w:firstLine="454"/>
        <w:jc w:val="both"/>
      </w:pPr>
      <w:r>
        <w:rPr>
          <w:rFonts w:ascii="Times New Roman" w:hAnsi="Times New Roman" w:cs="B Nazanin"/>
          <w:sz w:val="22"/>
          <w:szCs w:val="28"/>
          <w:rtl w:val="1"/>
        </w:rPr>
        <w:t>سه دیدگاه نسبت به سیستم حقوق بینالملل وجود دارد: بسته، کامل و باز.</w:t>
      </w:r>
      <w:r>
        <w:rPr>
          <w:rStyle w:val="FootnoteReference"/>
          <w:rtl w:val="1"/>
        </w:rPr>
        <w:footnoteReference w:id="207"/>
      </w:r>
      <w:r>
        <w:rPr>
          <w:rFonts w:ascii="Times New Roman" w:hAnsi="Times New Roman" w:cs="B Nazanin"/>
          <w:sz w:val="22"/>
          <w:szCs w:val="28"/>
          <w:rtl w:val="1"/>
        </w:rPr>
        <w:t>برخی معتقدند که حقوق بین‌الملل یک سیستم بسته است و براساس فرضیه لوتوس</w:t>
      </w:r>
      <w:r>
        <w:rPr>
          <w:rStyle w:val="FootnoteReference"/>
          <w:rtl w:val="1"/>
        </w:rPr>
        <w:footnoteReference w:id="208"/>
      </w:r>
      <w:r>
        <w:rPr>
          <w:rFonts w:ascii="Times New Roman" w:hAnsi="Times New Roman" w:cs="B Nazanin"/>
          <w:sz w:val="22"/>
          <w:szCs w:val="28"/>
          <w:rtl w:val="1"/>
        </w:rPr>
        <w:t xml:space="preserve">، هر آنچه ممنوع نشده است، مجاز است. براین اساس، تنها قواعد الزامآور دارای اعتبار هستند و قواعد غیرالزامآور فاقد اثرحقوقی هستند. لذا، خلاء هنجاری در این سیستم، بهمعنای فقدان قواعد الزامآور است. این دیدگاه ممکن است مانع از توسعه حقوق بین‌الملل شود. زیرا خلاءهای هنجاری را بهعنوان مجوزی برای آزادی عمل دولتها تفسیر میکند. با توجه به اینکه حقوق بین‌الملل محیطزیست با چالش‌های پیچیده‌ای روبهرو است که نیازمند تعریف دقیق مفاهیم، تعیین استانداردهای رفتاری و انعطاف‌پذیری در مواجهه با تفاوت‌های بین کشورهای شمال و جنوب هستند، به نظر میرسد که فرضیه لوتوس، دیگر نمی‌تواند پاسخگوی نیازهای پیچیده حقوق بینالملل محیطزیست باشد و بهعنوان یک اصل راهنما در حقوق بین‌الملل محیطزیست پذیرفته شود. </w:t>
      </w:r>
    </w:p>
    <w:p>
      <w:pPr>
        <w:bidi w:val="1"/>
        <w:spacing w:line="312" w:lineRule="auto" w:before="0" w:after="120"/>
        <w:ind w:firstLine="454"/>
        <w:jc w:val="both"/>
      </w:pPr>
      <w:r>
        <w:rPr>
          <w:rFonts w:ascii="Times New Roman" w:hAnsi="Times New Roman" w:cs="B Nazanin"/>
          <w:sz w:val="22"/>
          <w:szCs w:val="28"/>
          <w:rtl w:val="1"/>
        </w:rPr>
        <w:t xml:space="preserve">برخی دیگر معتقدند که حقوق بین‌الملل یک سیستم کامل است که اگرچه ممکن است خلاء‌هایی داشته باشد، اما روش‌هایی برای رفع آن خلاءها مانند تفسیر قواعد موجود یا استفاده از اصول کلی حقوقی و حتی استناد به قواعد غیرالزامآور بهعنوان ابزاری برای تفسیر یا تکمیل قواعد الزامآور وجود دارد. در این سیستم از یکسو شاهد ثبات و پیشبینیپذیری بهجهت استفاده از قواعد موجود و پرکردن خلاءها با استفاده از اصول کلی حقوقی و از سویدیگر شاهد محدودیت در توسعه قواعد و در نتیجه عدم انعطافپذیری در مواجهه با مسائل جدید و پیچیده حقوق بینالملل محیطزیست هستیم. </w:t>
      </w:r>
    </w:p>
    <w:p>
      <w:pPr>
        <w:bidi w:val="1"/>
        <w:spacing w:line="312" w:lineRule="auto" w:before="0" w:after="120"/>
        <w:ind w:firstLine="454"/>
        <w:jc w:val="both"/>
      </w:pPr>
      <w:r>
        <w:rPr>
          <w:rFonts w:ascii="Times New Roman" w:hAnsi="Times New Roman" w:cs="B Nazanin"/>
          <w:sz w:val="22"/>
          <w:szCs w:val="28"/>
          <w:rtl w:val="1"/>
        </w:rPr>
        <w:t>دیدگاه سوم این است که حقوق بین‌الملل یک سیستم باز است و ممکن است در مورد برخی مسائل سکوت کند. این دیدگاه توسط قاضی برونو سیما، قاضی دیوان بین‌المللی دادگستری</w:t>
      </w:r>
      <w:r>
        <w:rPr>
          <w:rStyle w:val="FootnoteReference"/>
          <w:rtl w:val="1"/>
        </w:rPr>
        <w:footnoteReference w:id="209"/>
      </w:r>
      <w:r>
        <w:rPr>
          <w:rFonts w:ascii="Times New Roman" w:hAnsi="Times New Roman" w:cs="B Nazanin"/>
          <w:sz w:val="22"/>
          <w:szCs w:val="28"/>
          <w:rtl w:val="1"/>
        </w:rPr>
        <w:t>، نیز تأیید شده است.</w:t>
      </w:r>
      <w:r>
        <w:rPr>
          <w:rStyle w:val="FootnoteReference"/>
          <w:rtl w:val="1"/>
        </w:rPr>
        <w:footnoteReference w:id="210"/>
      </w:r>
      <w:r>
        <w:rPr>
          <w:rFonts w:ascii="Times New Roman" w:hAnsi="Times New Roman" w:cs="B Nazanin"/>
          <w:sz w:val="22"/>
          <w:szCs w:val="28"/>
          <w:rtl w:val="1"/>
        </w:rPr>
        <w:t xml:space="preserve"> براساس این دیدگاه، حقوق بینالملل محیطزیست میتواند با توجه به تحولات جدید و نیازهای روز توسعه یابد. در نتیجه میتوانیم شاهد انعطافپذیری، توسعهپذیری و هماهنگی با واقعیتهای بینالمللی (تفاوتهای بین کشورهای شمال و جنوب) باشیم. به نظر میرسد، با توجه به پویایی و پیچیدگی مسائل محیطزیستی، سیستم باز گزینه مناسب‌تری برای مواجهه با خلاءهای هنجاری و تحولات بین‌المللی است. چراکه در این سیستم، قواعد غیرالزامآور نه تنها در پرکردن خلاء هنجاری، بلکه بهعنوان ابزاری برای توسعه و تکامل حقوق بینالملل تاثیرگذارند.</w:t>
      </w:r>
    </w:p>
    <w:p>
      <w:pPr>
        <w:bidi w:val="1"/>
        <w:spacing w:line="312" w:lineRule="auto" w:before="0" w:after="120"/>
        <w:ind w:firstLine="454"/>
        <w:jc w:val="both"/>
      </w:pPr>
      <w:r>
        <w:rPr>
          <w:rFonts w:ascii="Times New Roman" w:hAnsi="Times New Roman" w:cs="B Nazanin"/>
          <w:sz w:val="22"/>
          <w:szCs w:val="28"/>
          <w:rtl w:val="1"/>
        </w:rPr>
        <w:t>بهعنوان آخرین نکته ذیل خلاءهای هنجاری « باید به آن قواعد و اصولی توجه داشته باشیم که هنوز توسط جامعه بین‌المللی مورد توافق قرار نگرفته‌اند. این قواعد و اصول مشابه خلاءهای هنجاری هستند، اما از آن‌ها متمایزند. زیرا این اصول بیشتر آرمان‌گرایانه و رادیکال در ماهیت</w:t>
      </w:r>
      <w:r>
        <w:rPr>
          <w:rStyle w:val="FootnoteReference"/>
          <w:rtl w:val="1"/>
        </w:rPr>
        <w:footnoteReference w:id="211"/>
      </w:r>
      <w:r>
        <w:rPr>
          <w:rFonts w:ascii="Times New Roman" w:hAnsi="Times New Roman" w:cs="B Nazanin"/>
          <w:sz w:val="22"/>
          <w:szCs w:val="28"/>
          <w:rtl w:val="1"/>
        </w:rPr>
        <w:t xml:space="preserve"> هستند و منشأ آن‌ها به جای گفتمان اصلی حقوق بین‌الملل، از منابع دیگری مانند رویه قضایی، رویکردهای فلسفی و اخلاقی به حفاظت از محیط زیست، آموزه‌های مذهبی یا صرفاً ایده‌های جدید نشأت می‌گیرند. به این نوع از خلاء، «خلاءهای ناگفتنی»</w:t>
      </w:r>
      <w:r>
        <w:rPr>
          <w:rStyle w:val="FootnoteReference"/>
          <w:rtl w:val="1"/>
        </w:rPr>
        <w:footnoteReference w:id="212"/>
      </w:r>
      <w:r>
        <w:rPr>
          <w:rFonts w:ascii="Times New Roman" w:hAnsi="Times New Roman" w:cs="B Nazanin"/>
          <w:sz w:val="22"/>
          <w:szCs w:val="28"/>
          <w:rtl w:val="1"/>
        </w:rPr>
        <w:t xml:space="preserve"> میگویند، زیرا هنوز بخشی از گفتمان اصلی حقوق بین‌الملل محسوب نمی‌شوند یا اگر هم گنجانده شوند، معمولاً به صورت مقدمه‌ای و غیرالزام‌آور هستند. برخی از نمونه‌های آن شامل حقوق طبیعت</w:t>
      </w:r>
      <w:r>
        <w:rPr>
          <w:rStyle w:val="FootnoteReference"/>
          <w:rtl w:val="1"/>
        </w:rPr>
        <w:footnoteReference w:id="213"/>
      </w:r>
      <w:r>
        <w:rPr>
          <w:rFonts w:ascii="Times New Roman" w:hAnsi="Times New Roman" w:cs="B Nazanin"/>
          <w:sz w:val="22"/>
          <w:szCs w:val="28"/>
          <w:rtl w:val="1"/>
        </w:rPr>
        <w:t>، دموکراسی اکولوژیک</w:t>
      </w:r>
      <w:r>
        <w:rPr>
          <w:rStyle w:val="FootnoteReference"/>
          <w:rtl w:val="1"/>
        </w:rPr>
        <w:footnoteReference w:id="214"/>
      </w:r>
      <w:r>
        <w:rPr>
          <w:rFonts w:ascii="Times New Roman" w:hAnsi="Times New Roman" w:cs="B Nazanin"/>
          <w:sz w:val="22"/>
          <w:szCs w:val="28"/>
          <w:rtl w:val="1"/>
        </w:rPr>
        <w:t>، حکمرانی و حقوق سیستمزمین</w:t>
      </w:r>
      <w:r>
        <w:rPr>
          <w:rStyle w:val="FootnoteReference"/>
          <w:rtl w:val="1"/>
        </w:rPr>
        <w:footnoteReference w:id="215"/>
      </w:r>
      <w:r>
        <w:rPr>
          <w:rFonts w:ascii="Times New Roman" w:hAnsi="Times New Roman" w:cs="B Nazanin"/>
          <w:sz w:val="22"/>
          <w:szCs w:val="28"/>
          <w:rtl w:val="1"/>
        </w:rPr>
        <w:t>، یکپارچگی سیستم زمین</w:t>
      </w:r>
      <w:r>
        <w:rPr>
          <w:rStyle w:val="FootnoteReference"/>
          <w:rtl w:val="1"/>
        </w:rPr>
        <w:footnoteReference w:id="216"/>
      </w:r>
      <w:r>
        <w:rPr>
          <w:rFonts w:ascii="Times New Roman" w:hAnsi="Times New Roman" w:cs="B Nazanin"/>
          <w:sz w:val="22"/>
          <w:szCs w:val="28"/>
          <w:rtl w:val="1"/>
        </w:rPr>
        <w:t>، اصل تردید به نفع طبیعت</w:t>
      </w:r>
      <w:r>
        <w:rPr>
          <w:rStyle w:val="FootnoteReference"/>
          <w:rtl w:val="1"/>
        </w:rPr>
        <w:footnoteReference w:id="217"/>
      </w:r>
      <w:r>
        <w:rPr>
          <w:rFonts w:ascii="Times New Roman" w:hAnsi="Times New Roman" w:cs="B Nazanin"/>
          <w:sz w:val="22"/>
          <w:szCs w:val="28"/>
          <w:rtl w:val="1"/>
        </w:rPr>
        <w:t xml:space="preserve"> و حاکمیت قانون اکولوژیک</w:t>
      </w:r>
      <w:r>
        <w:rPr>
          <w:rStyle w:val="FootnoteReference"/>
          <w:rtl w:val="1"/>
        </w:rPr>
        <w:footnoteReference w:id="218"/>
      </w:r>
      <w:r>
        <w:rPr>
          <w:rFonts w:ascii="Times New Roman" w:hAnsi="Times New Roman" w:cs="B Nazanin"/>
          <w:sz w:val="22"/>
          <w:szCs w:val="28"/>
          <w:rtl w:val="1"/>
        </w:rPr>
        <w:t xml:space="preserve"> می‌شوند.»</w:t>
      </w:r>
      <w:r>
        <w:rPr>
          <w:rStyle w:val="FootnoteReference"/>
          <w:rtl w:val="1"/>
        </w:rPr>
        <w:footnoteReference w:id="219"/>
      </w:r>
      <w:r>
        <w:rPr>
          <w:rFonts w:ascii="Times New Roman" w:hAnsi="Times New Roman" w:cs="B Nazanin"/>
          <w:sz w:val="22"/>
          <w:szCs w:val="28"/>
          <w:rtl w:val="1"/>
        </w:rPr>
        <w:t xml:space="preserve"> این‌ اصول پتانسیل ایجاد یک چارچوب هنجاری متفاوت و بلندپروازانه‌تر را دارند تا بتواند چالش‌های سیستماتیک ذاتی در حقوق بین‌الملل محیطزیست و حکمرانی جهانی محیطزیست را برطرف کند و علاوهبرآن، دامنه، قدرت و تأثیر هنجارهایی را افزایش دهند که در نهایت باید به مقابله با انسان‌محوری نئولیبرال</w:t>
      </w:r>
      <w:r>
        <w:rPr>
          <w:rStyle w:val="FootnoteReference"/>
          <w:rtl w:val="1"/>
        </w:rPr>
        <w:footnoteReference w:id="220"/>
      </w:r>
      <w:r>
        <w:rPr>
          <w:rFonts w:ascii="Times New Roman" w:hAnsi="Times New Roman" w:cs="B Nazanin"/>
          <w:sz w:val="22"/>
          <w:szCs w:val="28"/>
          <w:rtl w:val="1"/>
        </w:rPr>
        <w:t xml:space="preserve"> و بهره‌برداری از سیستم زمین بپردازند. شایان ذکر است، برخی از این اصول قبلاً در قوانین داخلی و حتی در اسناد بین‌المللی غیرالزام‌آور مانند منشور جهانی طبیعت مصوب 1982 درج گردیدهاند و پتانسیل قابل توجهی برای شکلدهی به بنیان یک پارادایم حقوقی جدید برای عصر آنتروپوسن (دوران جدید زمین‌شناسی که تحت تأثیر فعالیت‌های انسانی است) </w:t>
      </w:r>
      <w:r>
        <w:rPr>
          <w:rStyle w:val="FootnoteReference"/>
          <w:rtl w:val="1"/>
        </w:rPr>
        <w:footnoteReference w:id="221"/>
      </w:r>
      <w:r>
        <w:rPr>
          <w:rFonts w:ascii="Times New Roman" w:hAnsi="Times New Roman" w:cs="B Nazanin"/>
          <w:sz w:val="22"/>
          <w:szCs w:val="28"/>
          <w:rtl w:val="1"/>
        </w:rPr>
        <w:t xml:space="preserve"> دارند؛ پارادایمی که هنوز محورها و محتوای دقیق آن مشخص نیست.</w:t>
      </w:r>
      <w:r>
        <w:rPr>
          <w:rStyle w:val="FootnoteReference"/>
          <w:rtl w:val="1"/>
        </w:rPr>
        <w:footnoteReference w:id="222"/>
      </w:r>
      <w:r>
        <w:rPr>
          <w:rFonts w:ascii="Times New Roman" w:hAnsi="Times New Roman" w:cs="B Nazanin"/>
          <w:sz w:val="22"/>
          <w:szCs w:val="28"/>
          <w:rtl w:val="1"/>
        </w:rPr>
        <w:t xml:space="preserve">گزارش خلاء دبیرکل می‌توانست فرصتی برای طرح بحث در خصوص این نوع از خلاء و گنجاندن چنین مقرراتی در سند الزام‌آور «پیمان جهانی محیط زیست» باشد، اما چالش‌های سیاسی و محدودیت‌های گزارش‌ دبیرکل به دلیل ماهیت فنی و مبتنی بر شواهد آن مانع از این امر گردید. از ان گذشته این نوع از خلاء نیز در پیشنویس پیمان جهانی محیطزیست مورد توجه قرار نگرفته است. </w:t>
      </w:r>
    </w:p>
    <w:p>
      <w:pPr>
        <w:bidi w:val="1"/>
        <w:spacing w:line="312" w:lineRule="auto" w:before="0" w:after="120"/>
        <w:ind w:firstLine="454"/>
        <w:jc w:val="both"/>
      </w:pPr>
      <w:r>
        <w:rPr>
          <w:rFonts w:ascii="Times New Roman" w:hAnsi="Times New Roman" w:cs="B Nazanin"/>
          <w:sz w:val="22"/>
          <w:szCs w:val="28"/>
          <w:rtl w:val="1"/>
        </w:rPr>
        <w:t>مفهوم «خلاء» در حقوق بین‌الملل محیطزیست - مانند اکثر حوزه‌های حقوق بین‌الملل - مفهومی است که اگرچه در سطح زبانی به راحتی قابل درک است، از نظر مفهومی پیچیدگی‌های اساسی را ایجاد می‌کند.</w:t>
      </w:r>
      <w:r>
        <w:rPr>
          <w:rStyle w:val="FootnoteReference"/>
          <w:rtl w:val="1"/>
        </w:rPr>
        <w:footnoteReference w:id="223"/>
      </w:r>
      <w:r>
        <w:rPr>
          <w:rFonts w:ascii="Times New Roman" w:hAnsi="Times New Roman" w:cs="B Nazanin"/>
          <w:sz w:val="22"/>
          <w:szCs w:val="28"/>
          <w:rtl w:val="1"/>
        </w:rPr>
        <w:t xml:space="preserve"> از اینرو، تعریف و شناسایی خلاءها در حقوق بین‌الملل محیط‌زیست یک مسئله پیچیده، چندبعدی</w:t>
      </w:r>
      <w:r>
        <w:rPr>
          <w:rStyle w:val="FootnoteReference"/>
          <w:rtl w:val="1"/>
        </w:rPr>
        <w:footnoteReference w:id="224"/>
      </w:r>
      <w:r>
        <w:rPr>
          <w:rFonts w:ascii="Times New Roman" w:hAnsi="Times New Roman" w:cs="B Nazanin"/>
          <w:sz w:val="22"/>
          <w:szCs w:val="28"/>
          <w:rtl w:val="1"/>
        </w:rPr>
        <w:t>، ساختاری</w:t>
      </w:r>
      <w:r>
        <w:rPr>
          <w:rStyle w:val="FootnoteReference"/>
          <w:rtl w:val="1"/>
        </w:rPr>
        <w:footnoteReference w:id="225"/>
      </w:r>
      <w:r>
        <w:rPr>
          <w:rFonts w:ascii="Times New Roman" w:hAnsi="Times New Roman" w:cs="B Nazanin"/>
          <w:sz w:val="22"/>
          <w:szCs w:val="28"/>
          <w:rtl w:val="1"/>
        </w:rPr>
        <w:t xml:space="preserve"> و پویا</w:t>
      </w:r>
      <w:r>
        <w:rPr>
          <w:rStyle w:val="FootnoteReference"/>
          <w:rtl w:val="1"/>
        </w:rPr>
        <w:footnoteReference w:id="226"/>
      </w:r>
      <w:r>
        <w:rPr>
          <w:rFonts w:ascii="Times New Roman" w:hAnsi="Times New Roman" w:cs="B Nazanin"/>
          <w:sz w:val="22"/>
          <w:szCs w:val="28"/>
          <w:rtl w:val="1"/>
        </w:rPr>
        <w:t xml:space="preserve"> است که رسیدن به اجماع در مورد چیستی خلاء‌ را یک چالش اساسی نموده است. زیرا اختلاف نظرها در مورد وجود یا فقدان خلاء، تعریف، ماهیت، انواع و نحوه رسیدگی به آنها نشان‌دهنده تفاوت در اولویت‌ها و دیدگاه‌های کشورها است. «آنچه برای یک کشور یک خلاء تلقی می‌شود، ممکن است برای دیگری یک انتخاب طراحی عمدی ناشی از مصالحه‌های سیاسی در مذاکرات باشد.»</w:t>
      </w:r>
      <w:r>
        <w:rPr>
          <w:rStyle w:val="FootnoteReference"/>
          <w:rtl w:val="1"/>
        </w:rPr>
        <w:footnoteReference w:id="227"/>
      </w:r>
      <w:r>
        <w:rPr>
          <w:rFonts w:ascii="Times New Roman" w:hAnsi="Times New Roman" w:cs="B Nazanin"/>
          <w:sz w:val="22"/>
          <w:szCs w:val="28"/>
          <w:rtl w:val="1"/>
        </w:rPr>
        <w:t xml:space="preserve"> این عبارت نشاندهنده این نکته است که خلاءها لزوماً نشان‌دهنده نقص در نظامحقوقی نیستند، چراکه اغلب نتیجه تصمیمات سیاستی، مصالحه‌های سیاسی و طراحی‌های آگاهانه هستند و رسیدگی به آن مستلزم راه‌حل‌های ترکیبی است. رفع خلأها صرفاً از طریق معاهدات جدید ممکن نیست و نیازمند ترکیبی از راهکارهای حقوقی، نهادی و مشارکتی است.</w:t>
      </w:r>
    </w:p>
    <w:p>
      <w:pPr>
        <w:pStyle w:val="Heading3"/>
        <w:bidi w:val="1"/>
        <w:spacing w:line="312" w:lineRule="auto" w:before="200" w:after="120"/>
        <w:jc w:val="right"/>
      </w:pPr>
      <w:r>
        <w:rPr>
          <w:rFonts w:ascii="Times New Roman" w:hAnsi="Times New Roman" w:cs="B Nazanin"/>
          <w:sz w:val="24"/>
          <w:szCs w:val="24"/>
          <w:rtl w:val="1"/>
          <w:b/>
          <w:bCs/>
          <w:color w:val="000000"/>
        </w:rPr>
        <w:t>۳-۱-۳ خلاءهای مرتبط با اصول حقوق بین الملل محیط زیست وامکان سنجی رفع آن ها</w:t>
      </w:r>
    </w:p>
    <w:p>
      <w:pPr>
        <w:bidi w:val="1"/>
        <w:spacing w:line="312" w:lineRule="auto" w:before="0" w:after="120"/>
        <w:ind w:firstLine="454"/>
        <w:jc w:val="both"/>
      </w:pPr>
      <w:r>
        <w:rPr>
          <w:rFonts w:ascii="Times New Roman" w:hAnsi="Times New Roman" w:cs="B Nazanin"/>
          <w:sz w:val="22"/>
          <w:szCs w:val="28"/>
          <w:rtl w:val="1"/>
        </w:rPr>
        <w:t>اصول کلی حقوقی، به‌عنوان یکی از منابع رسمی حقوق بین‌الملل، در حوزه محیط‌زیست از جایگاهی دوگانه و تا حدودی متزلزل برخوردارند. گزارش دبیرکل، اصول را «بلوک‌های ساختمانی مهم» حقوق بین‌الملل محیط‌زیست توصیف می‌کند که نقش‌های چندگانه‌ای از جمله راهنمایی تفسیر معاهدات، تکمیل قواعد خاص و یکپارچه‌سازی رویکرد بخشی را ایفا می‌کنند. با این حال، همین گزارش به‌صراحت اعلام می‌کند که حقوق بین‌الملل محیط‌زیست فاقد «چارچوب هنجاری فراگیری» است که اصول و قواعد باکاربرد عمومی را تعیین کند . فقدان چنین چارچوبی، یکی از مهم‌ترین خلاءهای ساختاری محسوب می‌شود که بر شفافیت، پیش‌بینی‌پذیری و اجرای اصول تأثیر منفی گذاشته است.</w:t>
      </w:r>
    </w:p>
    <w:p>
      <w:pPr>
        <w:bidi w:val="1"/>
        <w:spacing w:line="312" w:lineRule="auto" w:before="0" w:after="120"/>
        <w:ind w:firstLine="454"/>
        <w:jc w:val="both"/>
      </w:pPr>
      <w:r>
        <w:rPr>
          <w:rFonts w:ascii="Times New Roman" w:hAnsi="Times New Roman" w:cs="B Nazanin"/>
          <w:sz w:val="22"/>
          <w:szCs w:val="28"/>
          <w:rtl w:val="1"/>
        </w:rPr>
        <w:t>گزارش دبیرکل در این بند حول محور دامنه اصول</w:t>
      </w:r>
      <w:r>
        <w:rPr>
          <w:rStyle w:val="FootnoteReference"/>
          <w:rtl w:val="1"/>
        </w:rPr>
        <w:footnoteReference w:id="228"/>
      </w:r>
      <w:r>
        <w:rPr>
          <w:rFonts w:ascii="Times New Roman" w:hAnsi="Times New Roman" w:cs="B Nazanin"/>
          <w:sz w:val="22"/>
          <w:szCs w:val="28"/>
          <w:rtl w:val="1"/>
        </w:rPr>
        <w:t xml:space="preserve">  با هدف بررسی ماهیت و جایگاه اصول در حقوق بینالملل محیطزیست و سپس وضعیت اصول</w:t>
      </w:r>
      <w:r>
        <w:rPr>
          <w:rStyle w:val="FootnoteReference"/>
          <w:rtl w:val="1"/>
        </w:rPr>
        <w:footnoteReference w:id="229"/>
      </w:r>
      <w:r>
        <w:rPr>
          <w:rFonts w:ascii="Times New Roman" w:hAnsi="Times New Roman" w:cs="B Nazanin"/>
          <w:sz w:val="22"/>
          <w:szCs w:val="28"/>
          <w:rtl w:val="1"/>
        </w:rPr>
        <w:t xml:space="preserve"> با تبیین برخی از اصول محیطزیستی و وضعیت حقوقی آنها در حقوق بینالملل تدوین یافتهاست. </w:t>
      </w:r>
    </w:p>
    <w:p>
      <w:pPr>
        <w:pStyle w:val="Heading3"/>
        <w:bidi w:val="1"/>
        <w:spacing w:line="312" w:lineRule="auto" w:before="200" w:after="120"/>
        <w:jc w:val="right"/>
      </w:pPr>
      <w:r>
        <w:rPr>
          <w:rFonts w:ascii="Times New Roman" w:hAnsi="Times New Roman" w:cs="B Nazanin"/>
          <w:sz w:val="24"/>
          <w:szCs w:val="24"/>
          <w:rtl w:val="1"/>
          <w:b/>
          <w:bCs/>
          <w:color w:val="000000"/>
        </w:rPr>
        <w:t>۳-۱-۳-۱ دامنه اصول</w:t>
      </w:r>
    </w:p>
    <w:p>
      <w:pPr>
        <w:bidi w:val="1"/>
        <w:spacing w:line="312" w:lineRule="auto" w:before="0" w:after="120"/>
        <w:ind w:firstLine="454"/>
        <w:jc w:val="both"/>
      </w:pPr>
      <w:r>
        <w:rPr>
          <w:rFonts w:ascii="Times New Roman" w:hAnsi="Times New Roman" w:cs="B Nazanin"/>
          <w:sz w:val="22"/>
          <w:szCs w:val="28"/>
          <w:rtl w:val="1"/>
        </w:rPr>
        <w:t>به رسمیت شناختن  اصول حقوق بینالملل محیطزیست ریشه در کنفرانس استکهلم ۱۹۷۲ سازمان ملل در مورد محیطزیست انسانی دارد که منتهی به اعلامیه استکهلم گردید. برای اینکه تصویب اصول به توسعه مترقی حقوق بین‌الملل منجر گردد، چنین اصولی نیازمند تبدیل شدن به تعهدات الزام‌آور هستند.</w:t>
      </w:r>
      <w:r>
        <w:rPr>
          <w:rStyle w:val="FootnoteReference"/>
          <w:rtl w:val="1"/>
        </w:rPr>
        <w:footnoteReference w:id="230"/>
      </w:r>
    </w:p>
    <w:p>
      <w:pPr>
        <w:bidi w:val="1"/>
        <w:spacing w:line="312" w:lineRule="auto" w:before="0" w:after="120"/>
        <w:ind w:firstLine="454"/>
        <w:jc w:val="both"/>
      </w:pPr>
      <w:r>
        <w:rPr>
          <w:rFonts w:ascii="Times New Roman" w:hAnsi="Times New Roman" w:cs="B Nazanin"/>
          <w:sz w:val="22"/>
          <w:szCs w:val="28"/>
          <w:rtl w:val="1"/>
        </w:rPr>
        <w:t>گزارش دبیرکل در اولین گام، تصویری روشن از جایگاه دوگانه و کارکردهای چندلایه «اصول» در سیستم حقوق بین‌الملل محیطزیست ترسیم می‌کند که خود می‌تواند سرآغاز ایجاد «خلاء» در نظامحقوقی باشد. بسیاری از اصول بنیادین در اسناد غیرالزامآور سیاسی یا اعلامیه‌های محیطزیستی (مانند اعلامیه ریو) ظهور یافته‌اند. این اصول اگرچه الزام‌آور نیستند، اما بهعنوان «بلوک‌های ساختمانی»</w:t>
      </w:r>
      <w:r>
        <w:rPr>
          <w:rStyle w:val="FootnoteReference"/>
          <w:rtl w:val="1"/>
        </w:rPr>
        <w:footnoteReference w:id="231"/>
      </w:r>
      <w:r>
        <w:rPr>
          <w:rFonts w:ascii="Times New Roman" w:hAnsi="Times New Roman" w:cs="B Nazanin"/>
          <w:sz w:val="22"/>
          <w:szCs w:val="28"/>
          <w:rtl w:val="1"/>
        </w:rPr>
        <w:t xml:space="preserve"> و منابع تفسیری و الهام‌بخش برای توسعه معاهدات آتی عمل می‌کنند. برخی اصول در موافقتنامههای چندجانبه محیطزیستی گنجانده شده‌اند. اما یک «خلاء» بالقوه در اینجا وجود دارد و آن دامنه شمول محدود است</w:t>
      </w:r>
      <w:r>
        <w:rPr>
          <w:rStyle w:val="FootnoteReference"/>
          <w:rtl w:val="1"/>
        </w:rPr>
        <w:footnoteReference w:id="232"/>
      </w:r>
      <w:r>
        <w:rPr>
          <w:rFonts w:ascii="Times New Roman" w:hAnsi="Times New Roman" w:cs="B Nazanin"/>
          <w:sz w:val="22"/>
          <w:szCs w:val="28"/>
          <w:rtl w:val="1"/>
        </w:rPr>
        <w:t xml:space="preserve"> . اصول تنها در چارچوب آن سند خاص الزام‌آور است و لزوماً قابل تسری به کل نظام حقوق بین‌الملل محیطزیست نیست. با این حال، گزارش دبیرکل تصریح می‌کند که «آن دسته از اصولی که در موافقت‌نامه‌های چندجانبه محیط زیستی گنجانده نشده‌اند، نیز نقش مهمی در هدایت تفسیر و توسعه بیشتر آن موافقت‌نامه‌ها دارند» </w:t>
      </w:r>
      <w:r>
        <w:rPr>
          <w:rStyle w:val="FootnoteReference"/>
          <w:rtl w:val="1"/>
        </w:rPr>
        <w:footnoteReference w:id="233"/>
      </w:r>
      <w:r>
        <w:rPr>
          <w:rFonts w:ascii="Times New Roman" w:hAnsi="Times New Roman" w:cs="B Nazanin"/>
          <w:sz w:val="22"/>
          <w:szCs w:val="28"/>
          <w:rtl w:val="1"/>
        </w:rPr>
        <w:t xml:space="preserve"> این اصول در مقام «پرکردن خلاء»</w:t>
      </w:r>
      <w:r>
        <w:rPr>
          <w:rStyle w:val="FootnoteReference"/>
          <w:rtl w:val="1"/>
        </w:rPr>
        <w:footnoteReference w:id="234"/>
      </w:r>
      <w:r>
        <w:rPr>
          <w:rFonts w:ascii="Times New Roman" w:hAnsi="Times New Roman" w:cs="B Nazanin"/>
          <w:sz w:val="22"/>
          <w:szCs w:val="28"/>
          <w:rtl w:val="1"/>
        </w:rPr>
        <w:t>و نیز بهعنوان معیاری برای تفسیر پویا مفاد موافقتنامههای موجود عمل می‌کنند. به عنوان مثال، وقتی یک معاهده در برابر پدیده‌ای نوین (مثلاً تغییرات اقلیمی یا تکنولوژی‌های نوظهور) ساکت است یا هنجار صریحی ندارد، اصول کلی حقوقی به روزآمدی و انطباق آن معاهده با شرایط جدید کمک می‌کنند.</w:t>
      </w:r>
    </w:p>
    <w:p>
      <w:pPr>
        <w:bidi w:val="1"/>
        <w:spacing w:line="312" w:lineRule="auto" w:before="0" w:after="120"/>
        <w:ind w:firstLine="454"/>
        <w:jc w:val="both"/>
      </w:pPr>
      <w:r>
        <w:rPr>
          <w:rFonts w:ascii="Times New Roman" w:hAnsi="Times New Roman" w:cs="B Nazanin"/>
          <w:sz w:val="22"/>
          <w:szCs w:val="28"/>
          <w:rtl w:val="1"/>
        </w:rPr>
        <w:t>یکی از نکات مهم مورد اشاره در گزارش دبیرکل، خلاءهای ناشی از کاربست منابع حقوقی متفاوت</w:t>
      </w:r>
      <w:r>
        <w:rPr>
          <w:rStyle w:val="FootnoteReference"/>
          <w:rtl w:val="1"/>
        </w:rPr>
        <w:footnoteReference w:id="235"/>
      </w:r>
      <w:r>
        <w:rPr>
          <w:rFonts w:ascii="Times New Roman" w:hAnsi="Times New Roman" w:cs="B Nazanin"/>
          <w:sz w:val="22"/>
          <w:szCs w:val="28"/>
          <w:rtl w:val="1"/>
        </w:rPr>
        <w:t xml:space="preserve"> است. تعدد منابع گاهی به تعارض یا عدم انسجام منجر می‌شود. این گزارش تصریح می‌کند که «اصول همچنین با توجه به خلأهای بالقوه ناشی از استفاده از منابع حقوقی مختلف نقش ایفا می‌کنند» و «حمایت متقابل در حقوق بین‌الملل معاصر، فراتر از پارادایم پرکردن خلأ توسط اصول حقوقی است و در عوض، ترکیب منابع حقوق بین‌الملل را در یک موقعیت معین ایجاب می‌کند»</w:t>
      </w:r>
      <w:r>
        <w:rPr>
          <w:rStyle w:val="FootnoteReference"/>
          <w:rtl w:val="1"/>
        </w:rPr>
        <w:footnoteReference w:id="236"/>
      </w:r>
      <w:r>
        <w:rPr>
          <w:rFonts w:ascii="Times New Roman" w:hAnsi="Times New Roman" w:cs="B Nazanin"/>
          <w:sz w:val="22"/>
          <w:szCs w:val="28"/>
          <w:rtl w:val="1"/>
        </w:rPr>
        <w:t>. گزارش با ظرافت از پارادایم سنتی «پرکردن خلاء» فراتر رفته و مفهوم حمایت متقابل/ هم‌افزایی</w:t>
      </w:r>
      <w:r>
        <w:rPr>
          <w:rStyle w:val="FootnoteReference"/>
          <w:rtl w:val="1"/>
        </w:rPr>
        <w:footnoteReference w:id="237"/>
      </w:r>
      <w:r>
        <w:rPr>
          <w:rFonts w:ascii="Times New Roman" w:hAnsi="Times New Roman" w:cs="B Nazanin"/>
          <w:sz w:val="22"/>
          <w:szCs w:val="28"/>
          <w:rtl w:val="1"/>
        </w:rPr>
        <w:t xml:space="preserve"> را مطرح می‌کند. ریشه‌های حمایت متقابل در عرصه بین‌المللی را باید در دستور کار ۲۱، سند کلیدی که توسط کنفرانس سازمان ملل متحد در مورد محیطزیست و توسعه در سال ۱۹۹۲ تصویب شد، جستجو کرد. این دستور کار تصریح می‌کند که «اقتصاد بین‌الملل باید با ... حمایت متقابل تجارت و محیطزیست، فضایی بین‌المللی و حمایتی برای دستیابی به اهداف محیطزیستی و توسعه فراهم کند»</w:t>
      </w:r>
      <w:r>
        <w:rPr>
          <w:rStyle w:val="FootnoteReference"/>
          <w:rtl w:val="1"/>
        </w:rPr>
        <w:footnoteReference w:id="238"/>
      </w:r>
      <w:r>
        <w:rPr>
          <w:rFonts w:ascii="Times New Roman" w:hAnsi="Times New Roman" w:cs="B Nazanin"/>
          <w:sz w:val="22"/>
          <w:szCs w:val="28"/>
          <w:rtl w:val="1"/>
        </w:rPr>
        <w:t xml:space="preserve"> در این پارادایم نوین، اصول صرفاً برای پرکردن نقطه‌ای کور به کار نمی‌روند، بلکه هدف، ترکیب و تلفیق</w:t>
      </w:r>
      <w:r>
        <w:rPr>
          <w:rStyle w:val="FootnoteReference"/>
          <w:rtl w:val="1"/>
        </w:rPr>
        <w:footnoteReference w:id="239"/>
      </w:r>
      <w:r>
        <w:rPr>
          <w:rFonts w:ascii="Times New Roman" w:hAnsi="Times New Roman" w:cs="B Nazanin"/>
          <w:sz w:val="22"/>
          <w:szCs w:val="28"/>
          <w:rtl w:val="1"/>
        </w:rPr>
        <w:t xml:space="preserve"> منابع حقوقی گوناگون برای رسیدن به یک راه‌حل منسجم و هماهنگ است. اینجاست که نقش اصول به عنوان عناصر وحدت‌بخش، پررنگ‌تر از همیشه می‌شود. </w:t>
      </w:r>
    </w:p>
    <w:p>
      <w:pPr>
        <w:bidi w:val="1"/>
        <w:spacing w:line="312" w:lineRule="auto" w:before="0" w:after="120"/>
        <w:ind w:firstLine="454"/>
        <w:jc w:val="both"/>
      </w:pPr>
      <w:r>
        <w:rPr>
          <w:rFonts w:ascii="Times New Roman" w:hAnsi="Times New Roman" w:cs="B Nazanin"/>
          <w:sz w:val="22"/>
          <w:szCs w:val="28"/>
          <w:rtl w:val="1"/>
        </w:rPr>
        <w:t>در بند ۱۰ گزارش دبیرکل، به شکل ظریفی به کارکرد یکپارچه‌سازی رویکرد بخشی حقوق بین‌الملل محیطزیست اشاره شده است. این رویکرد بخشی، که ناشی از شکل‌گیری معاهده‌محور و تدریجی این شاخه از حقوق است، موجب پراکندگی هنجارها و نبود انسجام در نظام حقوقی گردیده است. در این میان، اصول حقوقی می‌توانند با ارائه یک زبان و منطق مشترک، این رویکرد بخشی را تعدیل کرده و نظام را به سمت یک کل بههم پیوسته سوق دهند. گزارش، خلاء نهایی را نه در درون اصول، بلکه در نبود یک «چارچوب مادر» می‌بیند.</w:t>
      </w:r>
      <w:r>
        <w:rPr>
          <w:rStyle w:val="FootnoteReference"/>
          <w:rtl w:val="1"/>
        </w:rPr>
        <w:footnoteReference w:id="240"/>
      </w:r>
      <w:r>
        <w:rPr>
          <w:rFonts w:ascii="Times New Roman" w:hAnsi="Times New Roman" w:cs="B Nazanin"/>
          <w:sz w:val="22"/>
          <w:szCs w:val="28"/>
          <w:rtl w:val="1"/>
        </w:rPr>
        <w:t xml:space="preserve"> پراکندگی موجود اصول در اسناد متعدد با درجات مختلف الزام‌آوری، موجب کاهش کارایی</w:t>
      </w:r>
      <w:r>
        <w:rPr>
          <w:rStyle w:val="FootnoteReference"/>
          <w:rtl w:val="1"/>
        </w:rPr>
        <w:footnoteReference w:id="241"/>
      </w:r>
      <w:r>
        <w:rPr>
          <w:rFonts w:ascii="Times New Roman" w:hAnsi="Times New Roman" w:cs="B Nazanin"/>
          <w:sz w:val="22"/>
          <w:szCs w:val="28"/>
          <w:rtl w:val="1"/>
        </w:rPr>
        <w:t xml:space="preserve"> و اجرای</w:t>
      </w:r>
      <w:r>
        <w:rPr>
          <w:rStyle w:val="FootnoteReference"/>
          <w:rtl w:val="1"/>
        </w:rPr>
        <w:footnoteReference w:id="242"/>
      </w:r>
      <w:r>
        <w:rPr>
          <w:rFonts w:ascii="Times New Roman" w:hAnsi="Times New Roman" w:cs="B Nazanin"/>
          <w:sz w:val="22"/>
          <w:szCs w:val="28"/>
          <w:rtl w:val="1"/>
        </w:rPr>
        <w:t xml:space="preserve"> ناقص این اصول شده است. ازاین‌رو، گزارش به صراحت بر ضرورت تدوین یک سند جامع و یکپارچه‌کننده بین‌المللی</w:t>
      </w:r>
      <w:r>
        <w:rPr>
          <w:rStyle w:val="FootnoteReference"/>
          <w:rtl w:val="1"/>
        </w:rPr>
        <w:footnoteReference w:id="243"/>
      </w:r>
      <w:r>
        <w:rPr>
          <w:rFonts w:ascii="Times New Roman" w:hAnsi="Times New Roman" w:cs="B Nazanin"/>
          <w:sz w:val="22"/>
          <w:szCs w:val="28"/>
          <w:rtl w:val="1"/>
        </w:rPr>
        <w:t xml:space="preserve"> تأکید می‌کند که تمامی اصول حقوق محیطزیست را بهصورت شفاف و منسجم گرد همآورد. چنین سندی نه تنها خلآءهای اجرایی را کاهش می‌دهد، بلکه با تثبیت جایگاه اصول، نقش آنها را در ایجاد انسجام و هم‌افزایی در کل نظام حقوق بین‌الملل نهادینه می‌سازد.</w:t>
      </w:r>
    </w:p>
    <w:p>
      <w:pPr>
        <w:bidi w:val="1"/>
        <w:spacing w:line="312" w:lineRule="auto" w:before="0" w:after="120"/>
        <w:ind w:firstLine="454"/>
        <w:jc w:val="both"/>
      </w:pPr>
      <w:r>
        <w:rPr>
          <w:rFonts w:ascii="Times New Roman" w:hAnsi="Times New Roman" w:cs="B Nazanin"/>
          <w:sz w:val="22"/>
          <w:szCs w:val="28"/>
          <w:rtl w:val="1"/>
        </w:rPr>
        <w:t>در مقام ارزیابی می‌توان اذعان نمود که اصول حقوق بین‌الملل محیطزیست در حال گذار از نقشی صرفاً تکمیلی به نقشی ساختاری و بنیادین هستند. خلاءهای موجود در این نظام حقوقی که ناشی از دامنه محدود معاهدات، پراکندگی منابع حقوقی و رویکرد واکنشی و بخشی به مسائل محیطزیستی است، نه تنها مانعی بر سر راه کارآمدی این اصول محسوب نمی‌شود، بلکه اهمیت راهبردی آنها را دوچندان می‌کند. زیرا دقیقاً در مواجهه با این خلاءهاست که قابلیت اصول در پرکردن خلاء، تفسیر یکپارچه و ایجاد انسجام میان رژیم‌های حقوقی پراکنده آشکار می‌گردد. با این حال، کارآمدی نهایی این اصول، در گروی حرکت جامعهبین‌المللی بهسمت تدوین و توسعه تدریجی آنها در قالب یک سند جامع و الزام‌آور است. چنین سندی می‌تواند با تجمیع اصول پراکنده، رفع ابهامات موجود در مورد ماهیت و دامنه آنها و تثبیت جایگاه هنجاری‌شان، زمینه را برای اجرای مؤثر و یکپارچه این اصول در سراسر نظام حقوق بین‌الملل محیطزیست فراهم آورد.</w:t>
      </w:r>
    </w:p>
    <w:p>
      <w:pPr>
        <w:pStyle w:val="Heading3"/>
        <w:bidi w:val="1"/>
        <w:spacing w:line="312" w:lineRule="auto" w:before="200" w:after="120"/>
        <w:jc w:val="right"/>
      </w:pPr>
      <w:r>
        <w:rPr>
          <w:rFonts w:ascii="Times New Roman" w:hAnsi="Times New Roman" w:cs="B Nazanin"/>
          <w:sz w:val="24"/>
          <w:szCs w:val="24"/>
          <w:rtl w:val="1"/>
          <w:b/>
          <w:bCs/>
          <w:color w:val="000000"/>
        </w:rPr>
        <w:t>۳-۱-۳-۲ وضعیت اصول</w:t>
      </w:r>
    </w:p>
    <w:p>
      <w:pPr>
        <w:bidi w:val="1"/>
        <w:spacing w:line="312" w:lineRule="auto" w:before="0" w:after="120"/>
        <w:ind w:firstLine="454"/>
        <w:jc w:val="both"/>
      </w:pPr>
      <w:r>
        <w:rPr>
          <w:rFonts w:ascii="Times New Roman" w:hAnsi="Times New Roman" w:cs="B Nazanin"/>
          <w:sz w:val="22"/>
          <w:szCs w:val="28"/>
          <w:rtl w:val="1"/>
        </w:rPr>
        <w:t>در خصوص وضعیت اصول، گزارش به بررسی مختصر 9 اصل محیطزیستی</w:t>
      </w:r>
      <w:r>
        <w:rPr>
          <w:rStyle w:val="FootnoteReference"/>
          <w:rtl w:val="1"/>
        </w:rPr>
        <w:footnoteReference w:id="244"/>
      </w:r>
      <w:r>
        <w:rPr>
          <w:rFonts w:ascii="Times New Roman" w:hAnsi="Times New Roman" w:cs="B Nazanin"/>
          <w:sz w:val="22"/>
          <w:szCs w:val="28"/>
          <w:rtl w:val="1"/>
        </w:rPr>
        <w:t xml:space="preserve"> پرداخته است که صرفاً توصیفی از اصول ارزیابی نمیشود، بلکه بیانگر چالش هنجاری اصول و چالش موجود میان نقش آرمانگرایانه اصول و واقعیت حقوقی موجود است. مستفاد از توضیح مختصر از هر اصل میتوان دریافت که گزارش در مقام بیان نکات زیر است. نخست، عدم شفافیت در محتوا و دامنه شمول برخی اصول از جمله تعریف دقیق، محتوای مشخص و حدود کاربرد اصول در اسناد بینالمللی نظیر حق بر محیطزیست پاک و سالم است. دوم، تنوع تفسیری برخی از اصول همچون توسعه پایدار یا مسئولیت مشترک اما متفاوت نیز به دلیل ذات پویا و منعطف، موجب میگردد که اسناد بینالمللی مختلف به شکلهای گوناگون تفسیر و اجرا شوند و در نهایت منتهی به عدم وحدترویه گردد. البته این ویژگی را میتوان هم نقطه قوتی برای انعطافپذیری و هم نقطه ضعفی برای قابلیت پیشبینی اصول ارزیابی کرد. سوم، وضعیت اصول نوظهوری همچون عدم پسرفت</w:t>
      </w:r>
      <w:r>
        <w:rPr>
          <w:rStyle w:val="FootnoteReference"/>
          <w:rtl w:val="1"/>
        </w:rPr>
        <w:footnoteReference w:id="245"/>
      </w:r>
      <w:r>
        <w:rPr>
          <w:rFonts w:ascii="Times New Roman" w:hAnsi="Times New Roman" w:cs="B Nazanin"/>
          <w:sz w:val="22"/>
          <w:szCs w:val="28"/>
          <w:rtl w:val="1"/>
        </w:rPr>
        <w:t xml:space="preserve">، که هنوز در اسناد محدودی مانند موافقتنامه پاریس ظهور یافتهاند و در حقوق بینالملل عرفی یا معاهدهای نهادینه نشدهاند، وضعیت بلاتکلیف و در هالهای از ابهام ارزیابی میشود. </w:t>
      </w:r>
    </w:p>
    <w:p>
      <w:pPr>
        <w:bidi w:val="1"/>
        <w:spacing w:line="312" w:lineRule="auto" w:before="0" w:after="120"/>
        <w:ind w:firstLine="454"/>
        <w:jc w:val="both"/>
      </w:pPr>
      <w:r>
        <w:rPr>
          <w:rFonts w:ascii="Times New Roman" w:hAnsi="Times New Roman" w:cs="B Nazanin"/>
          <w:sz w:val="22"/>
          <w:szCs w:val="28"/>
          <w:rtl w:val="1"/>
        </w:rPr>
        <w:t>گزارش دبیرکل بهصورت ضمنی به «عدم قطعیت حقوقی» و «ابهام در جایگاه حقوقی» برخی از  اصول به دلایلی همچون درج در اسناد غیرالزامآور مانند اصل حق بر محیطزیست پاک و سالم</w:t>
      </w:r>
      <w:r>
        <w:rPr>
          <w:rStyle w:val="FootnoteReference"/>
          <w:rtl w:val="1"/>
        </w:rPr>
        <w:footnoteReference w:id="246"/>
      </w:r>
      <w:r>
        <w:rPr>
          <w:rFonts w:ascii="Times New Roman" w:hAnsi="Times New Roman" w:cs="B Nazanin"/>
          <w:sz w:val="22"/>
          <w:szCs w:val="28"/>
          <w:rtl w:val="1"/>
        </w:rPr>
        <w:t xml:space="preserve"> ، فقدان اجماع قضایی در خصوص برخی اصول مانند اصل احتیاط</w:t>
      </w:r>
      <w:r>
        <w:rPr>
          <w:rStyle w:val="FootnoteReference"/>
          <w:rtl w:val="1"/>
        </w:rPr>
        <w:footnoteReference w:id="247"/>
      </w:r>
      <w:r>
        <w:rPr>
          <w:rFonts w:ascii="Times New Roman" w:hAnsi="Times New Roman" w:cs="B Nazanin"/>
          <w:sz w:val="22"/>
          <w:szCs w:val="28"/>
          <w:rtl w:val="1"/>
        </w:rPr>
        <w:t xml:space="preserve"> و فقدان کاربرد جهانی برخی اصول مانند اجرای اصل پرداخت آلودهکننده</w:t>
      </w:r>
      <w:r>
        <w:rPr>
          <w:rStyle w:val="FootnoteReference"/>
          <w:rtl w:val="1"/>
        </w:rPr>
        <w:footnoteReference w:id="248"/>
      </w:r>
      <w:r>
        <w:rPr>
          <w:rFonts w:ascii="Times New Roman" w:hAnsi="Times New Roman" w:cs="B Nazanin"/>
          <w:sz w:val="22"/>
          <w:szCs w:val="28"/>
          <w:rtl w:val="1"/>
        </w:rPr>
        <w:t xml:space="preserve"> میپردازد. در مقوله اجرا نیز گزارش نشان می‌دهد که برخی اصول در غیاب سازوکارهای نظارتی قدرتمند با چالش مواجه هستند. بهعنوان مثال، رکن حل و فصل اختلاف سازمان تجارت جهانی در خصوص اجرای اصل احتیاط ملاحظاتی دارد.</w:t>
      </w:r>
      <w:r>
        <w:rPr>
          <w:rStyle w:val="FootnoteReference"/>
          <w:rtl w:val="1"/>
        </w:rPr>
        <w:footnoteReference w:id="249"/>
      </w:r>
    </w:p>
    <w:p>
      <w:pPr>
        <w:bidi w:val="1"/>
        <w:spacing w:line="312" w:lineRule="auto" w:before="0" w:after="120"/>
        <w:ind w:firstLine="454"/>
        <w:jc w:val="both"/>
      </w:pPr>
      <w:r>
        <w:rPr>
          <w:rFonts w:ascii="Times New Roman" w:hAnsi="Times New Roman" w:cs="B Nazanin"/>
          <w:sz w:val="22"/>
          <w:szCs w:val="28"/>
          <w:rtl w:val="1"/>
        </w:rPr>
        <w:t xml:space="preserve">براساس بندهای 8 الی 22  گزارش دبیرکل در مییابیم که که اصول کلی حقوق محیطزیست دارای سه کارکرد اساسی هستند. اول، بهعنوان مبنایی برای تفسیر مقررات معاهدات محیطزیستی عمل می‌کنند، دوم، خلاءهای حقوقی موجود در نظام‌های موضوعی را پر می‌کنند و سوم، امکان تعامل نظام‌های حقوقی مختلف را فراهم می‌آورند. در مقام ارزیابی میتوان گفت، اول، تنوع تفسیری برخی از اصول بهدلیل ذات پویا و منعطف، موجب میگردد که اسناد بینالمللی مختلف بهشکلهای گوناگون تفسیر و اجرا شوند. دوم، علیرغم اینکه اصول محیطزیستی اغلب خلاءهای موجود در حقوق بینالملل محیطزیست را رفع میکند، اما خود این اصول نیز دچار یک سری خلاءهایی در تعریف و اجرا هستند. روح گزارش حاکی از عملکرد دوگانه اصول است: آنها هم ابزاری برای پرکردن خلاء‌ هستند و هم منشأ خودِ خلاء. این پارادوکس قابل توجه است. بهعنوان مثال، اصول قرار است انسجام فراهم کنند، اما محتوا و جایگاه نامشخص خود آنها به ناسازگاری می‌انجامد. این عدم قطعیت حقوقی تأثیر مستقیم و غیرمستقیمی بر قابلیت پیش‌بینی و اجرای حقوق بینالملل محیطزیست دارد. سوم، در کاربرد فرارژیمی اصول، تعامل اصول حقوق بینالملل محیطزیست با نظامهای حقوقی دیگر همچون تجارت، سرمایه‌گذاری و حقوق بشر، با موانعی مواجه میشود که در ادامه به آنها خواهیم پرداخت. </w:t>
      </w:r>
    </w:p>
    <w:p>
      <w:pPr>
        <w:bidi w:val="1"/>
        <w:spacing w:line="312" w:lineRule="auto" w:before="0" w:after="120"/>
        <w:ind w:firstLine="454"/>
        <w:jc w:val="both"/>
      </w:pPr>
      <w:r>
        <w:rPr>
          <w:rFonts w:ascii="Times New Roman" w:hAnsi="Times New Roman" w:cs="B Nazanin"/>
          <w:sz w:val="22"/>
          <w:szCs w:val="28"/>
          <w:rtl w:val="1"/>
        </w:rPr>
        <w:t xml:space="preserve">در نتیجه، چالش محوری حقوق بین‌الملل محیطزیست معاصر، کمبود هنجارها نیست، بلکه بحرانی از مرجعیت هنجاری، یکپارچگی و کارکرد است. فقدان یک چارچوب فراگیر و یکپارچه که اصول را بهصورت منسجم و جهانشمول بیان کند، یکی از مهمترین خلاءهای ساختاری حقوق بینالملل محیطزیست محسوب میشود. فارغ از آن، عدم شفافیت در دامنه و وضعیت اصول، باعث ایجاد اختلال در همکاری بین کشورها و نهادهای بینالمللی و همینطور ممانعت از شکلگیری رویه قضایی یکپارچه و توسعه تدریجی حقوق بینالملل عرفی محیطزیست میشود. بنابراین، حرکت به سمت یکپارچگی هنجاری، شفافیت حقوقی و تقویت سازوکارهای اجرایی را بهعنوان ضرورتی اجتنابناپذیر در حقوق بینالملل محیطزیست مطرح میکند. </w:t>
      </w:r>
    </w:p>
    <w:p>
      <w:pPr>
        <w:pStyle w:val="Heading3"/>
        <w:bidi w:val="1"/>
        <w:spacing w:line="312" w:lineRule="auto" w:before="200" w:after="120"/>
        <w:jc w:val="right"/>
      </w:pPr>
      <w:r>
        <w:rPr>
          <w:rFonts w:ascii="Times New Roman" w:hAnsi="Times New Roman" w:cs="B Nazanin"/>
          <w:sz w:val="24"/>
          <w:szCs w:val="24"/>
          <w:rtl w:val="1"/>
          <w:b/>
          <w:bCs/>
          <w:color w:val="000000"/>
        </w:rPr>
        <w:t>۳-۱-۴ خلاءهای مرتبط با رژیمهای مقرراتی بخشی موجود</w:t>
      </w:r>
    </w:p>
    <w:p>
      <w:pPr>
        <w:bidi w:val="1"/>
        <w:spacing w:line="312" w:lineRule="auto" w:before="0" w:after="120"/>
        <w:ind w:firstLine="454"/>
        <w:jc w:val="both"/>
      </w:pPr>
      <w:r>
        <w:rPr>
          <w:rFonts w:ascii="Times New Roman" w:hAnsi="Times New Roman" w:cs="B Nazanin"/>
          <w:sz w:val="22"/>
          <w:szCs w:val="28"/>
          <w:rtl w:val="1"/>
        </w:rPr>
        <w:t>از زمان شکل‌گیری مدرن حقوق بین‌الملل محیطزیست در دهه ۱۹۶۰، این نظام حقوقی با سه چالش اساسی روبهرو بوده است: توجیه نیاز به تنظیم بین‌المللی مسائل محیط‌زیستی (مشروعیت)</w:t>
      </w:r>
      <w:r>
        <w:rPr>
          <w:rStyle w:val="FootnoteReference"/>
          <w:rtl w:val="1"/>
        </w:rPr>
        <w:footnoteReference w:id="250"/>
      </w:r>
      <w:r>
        <w:rPr>
          <w:rFonts w:ascii="Times New Roman" w:hAnsi="Times New Roman" w:cs="B Nazanin"/>
          <w:sz w:val="22"/>
          <w:szCs w:val="28"/>
          <w:rtl w:val="1"/>
        </w:rPr>
        <w:t>؛ یافتن سازوکارهایی برای تضمین اجرا و پایبندی با حقوق بین‌الملل محیطزیست (کارایی)</w:t>
      </w:r>
      <w:r>
        <w:rPr>
          <w:rStyle w:val="FootnoteReference"/>
          <w:rtl w:val="1"/>
        </w:rPr>
        <w:footnoteReference w:id="251"/>
      </w:r>
      <w:r>
        <w:rPr>
          <w:rFonts w:ascii="Times New Roman" w:hAnsi="Times New Roman" w:cs="B Nazanin"/>
          <w:sz w:val="22"/>
          <w:szCs w:val="28"/>
          <w:rtl w:val="1"/>
        </w:rPr>
        <w:t>؛ و توزیع عادلانه منافع و هزینه‌های حفاظت از محیطزیست (انصاف)</w:t>
      </w:r>
      <w:r>
        <w:rPr>
          <w:rStyle w:val="FootnoteReference"/>
          <w:rtl w:val="1"/>
        </w:rPr>
        <w:footnoteReference w:id="252"/>
      </w:r>
      <w:r>
        <w:rPr>
          <w:rFonts w:ascii="Times New Roman" w:hAnsi="Times New Roman" w:cs="B Nazanin"/>
          <w:sz w:val="22"/>
          <w:szCs w:val="28"/>
          <w:rtl w:val="1"/>
        </w:rPr>
        <w:t>. اگرچه امروزه می‌توان گفت که نیاز به تنظیم «بین‌المللی» برخی از مسائل محیط‌زیستی دیگر محل تردید نیست، اما چالش‌های دوم و سوم هرگز به اندازه امروز فوری و حیاتی نبوده‌اند. این امر به ویژه در زمینه بازطراحی نظام حقوق بینالملل محیطزیست صادق است، زیرا ممکن است راهکارهای رفع چالش های دوم و سوم با یکدیگر در تعارض باشند.</w:t>
      </w:r>
      <w:r>
        <w:rPr>
          <w:rStyle w:val="FootnoteReference"/>
          <w:rtl w:val="1"/>
        </w:rPr>
        <w:footnoteReference w:id="253"/>
      </w:r>
    </w:p>
    <w:p>
      <w:pPr>
        <w:bidi w:val="1"/>
        <w:spacing w:line="312" w:lineRule="auto" w:before="0" w:after="120"/>
        <w:ind w:firstLine="454"/>
        <w:jc w:val="both"/>
      </w:pPr>
      <w:r>
        <w:rPr>
          <w:rFonts w:ascii="Times New Roman" w:hAnsi="Times New Roman" w:cs="B Nazanin"/>
          <w:sz w:val="22"/>
          <w:szCs w:val="28"/>
          <w:rtl w:val="1"/>
        </w:rPr>
        <w:t>گزارش دبیرکل ذیل عنوان خلاءهای مرتبط با رژیمهای مقرراتی بخشی موجود</w:t>
      </w:r>
      <w:r>
        <w:rPr>
          <w:rStyle w:val="FootnoteReference"/>
          <w:rtl w:val="1"/>
        </w:rPr>
        <w:footnoteReference w:id="254"/>
      </w:r>
      <w:r>
        <w:rPr>
          <w:rFonts w:ascii="Times New Roman" w:hAnsi="Times New Roman" w:cs="B Nazanin"/>
          <w:sz w:val="22"/>
          <w:szCs w:val="28"/>
          <w:rtl w:val="1"/>
        </w:rPr>
        <w:t xml:space="preserve"> بهصورت ضمنی به یک تنش ساختاری در حقوق بین‌الملل محیطزیست اشاره می‌کند: از یک سو، ماهیت جهانی تهدیدات محیط زیستی، «اقدام جمعی» و «مشارکت حداکثری» را ایجاب می‌کند .</w:t>
      </w:r>
      <w:r>
        <w:rPr>
          <w:rStyle w:val="FootnoteReference"/>
          <w:rtl w:val="1"/>
        </w:rPr>
        <w:footnoteReference w:id="255"/>
      </w:r>
      <w:r>
        <w:rPr>
          <w:rFonts w:ascii="Times New Roman" w:hAnsi="Times New Roman" w:cs="B Nazanin"/>
          <w:sz w:val="22"/>
          <w:szCs w:val="28"/>
          <w:rtl w:val="1"/>
        </w:rPr>
        <w:t xml:space="preserve"> از سوی دیگر، ضرورت جذب بازیگران با «شرایط و اولویت‌های ملی متنوع»، به «سازش‌های سیاسی» منجر می‌شود.</w:t>
      </w:r>
      <w:r>
        <w:rPr>
          <w:rStyle w:val="FootnoteReference"/>
          <w:rtl w:val="1"/>
        </w:rPr>
        <w:footnoteReference w:id="256"/>
      </w:r>
      <w:r>
        <w:rPr>
          <w:rFonts w:ascii="Times New Roman" w:hAnsi="Times New Roman" w:cs="B Nazanin"/>
          <w:sz w:val="22"/>
          <w:szCs w:val="28"/>
          <w:rtl w:val="1"/>
        </w:rPr>
        <w:t xml:space="preserve"> چالش ایجاد تعهدات بلندپروازانه در مقابل فراگیری سند، قابل اجرا بودن تعهدات و پایبندی در طراحی موافقتنامههای چندجانبه محیطزیستی و غلبه مصلحتاندیشی سیاسی مشهود است. چگونه می‌توان موافقتنامه‌ای طراحی کرد که همزمان مشارکت حداکثری کشورها را جلب کند و تعهدات کافی برای حل مؤثر بحران‌های جهانی ایجاد نماید.  تاجایی که گزارش اعلام میدارد که " مشارکت گسترده همچنین به مفاهیم عملی از انصاف</w:t>
      </w:r>
      <w:r>
        <w:rPr>
          <w:rStyle w:val="FootnoteReference"/>
          <w:rtl w:val="1"/>
        </w:rPr>
        <w:footnoteReference w:id="257"/>
      </w:r>
      <w:r>
        <w:rPr>
          <w:rFonts w:ascii="Times New Roman" w:hAnsi="Times New Roman" w:cs="B Nazanin"/>
          <w:sz w:val="22"/>
          <w:szCs w:val="28"/>
          <w:rtl w:val="1"/>
        </w:rPr>
        <w:t>، از جمله تقسیم عادلانه بار</w:t>
      </w:r>
      <w:r>
        <w:rPr>
          <w:rStyle w:val="FootnoteReference"/>
          <w:rtl w:val="1"/>
        </w:rPr>
        <w:footnoteReference w:id="258"/>
      </w:r>
      <w:r>
        <w:rPr>
          <w:rFonts w:ascii="Times New Roman" w:hAnsi="Times New Roman" w:cs="B Nazanin"/>
          <w:sz w:val="22"/>
          <w:szCs w:val="28"/>
          <w:rtl w:val="1"/>
        </w:rPr>
        <w:t xml:space="preserve"> و اشتراک مسئولیت</w:t>
      </w:r>
      <w:r>
        <w:rPr>
          <w:rStyle w:val="FootnoteReference"/>
          <w:rtl w:val="1"/>
        </w:rPr>
        <w:footnoteReference w:id="259"/>
      </w:r>
      <w:r>
        <w:rPr>
          <w:rFonts w:ascii="Times New Roman" w:hAnsi="Times New Roman" w:cs="B Nazanin"/>
          <w:sz w:val="22"/>
          <w:szCs w:val="28"/>
          <w:rtl w:val="1"/>
        </w:rPr>
        <w:t>، وابسته است."</w:t>
      </w:r>
      <w:r>
        <w:rPr>
          <w:rStyle w:val="FootnoteReference"/>
          <w:rtl w:val="1"/>
        </w:rPr>
        <w:footnoteReference w:id="260"/>
      </w:r>
      <w:r>
        <w:rPr>
          <w:rFonts w:ascii="Times New Roman" w:hAnsi="Times New Roman" w:cs="B Nazanin"/>
          <w:sz w:val="22"/>
          <w:szCs w:val="28"/>
          <w:rtl w:val="1"/>
        </w:rPr>
        <w:t xml:space="preserve"> این جمله به این نکته اشاره دارد که برای جلب همکاری و مشارکت گسترده کشورها در توافق‌های بین‌المللی، لازم است که اصل انصاف در نظر گرفته شود. </w:t>
      </w:r>
    </w:p>
    <w:p>
      <w:pPr>
        <w:bidi w:val="1"/>
        <w:spacing w:line="312" w:lineRule="auto" w:before="0" w:after="120"/>
        <w:ind w:firstLine="454"/>
        <w:jc w:val="both"/>
      </w:pPr>
      <w:r>
        <w:rPr>
          <w:rFonts w:ascii="Times New Roman" w:hAnsi="Times New Roman" w:cs="B Nazanin"/>
          <w:sz w:val="22"/>
          <w:szCs w:val="28"/>
          <w:rtl w:val="1"/>
        </w:rPr>
        <w:t xml:space="preserve">موافقت‌نامه‌های چندجانبه محیطزیستی اغلب حاوی مقرراتی هستند که شرایط مختلف کشورها را در نظر می‌گیرند. برایناساس، گروههای خاصی از دولت‌ها، اغلب کشورهای درحالتوسعه، مشمول تعهدات «نرم‌تر» هستند، به‌عنوان مثال دوره‌های طولانی‌تر حذف تدریجی یا اهداف انعطاف‌پذیرتر، درحالی که کشورهایتوسعهیافته مشمول تعهداتی برای ارائه حمایتهای مالی، فناوری و ظرفیتسازی برای کشورهای درحالتوسعه و اقتصادهای درحالگذار هستند. </w:t>
      </w:r>
      <w:r>
        <w:rPr>
          <w:rStyle w:val="FootnoteReference"/>
          <w:rtl w:val="1"/>
        </w:rPr>
        <w:footnoteReference w:id="261"/>
      </w:r>
      <w:r>
        <w:rPr>
          <w:rFonts w:ascii="Times New Roman" w:hAnsi="Times New Roman" w:cs="B Nazanin"/>
          <w:sz w:val="22"/>
          <w:szCs w:val="28"/>
          <w:rtl w:val="1"/>
        </w:rPr>
        <w:t xml:space="preserve"> وجود این رویکرد در مذاکرات بین‌المللی محیطزیست حاکی از لحاظ انصاف به مثابه شرط مشارکت جهانی است. در نتیجه، موافقتنامه‌های چندجانبه محیطزیستی محصول سازش‌های سیاسی بین کشورهایی با منافع، ظرفیت‌ها و اولویت‌های اقتصادی-اجتماعی متفاوت هستند. این سازش‌ها منجر به ابهامات به تعبیری سازنده و خلاءهای اغلب عمدی در متن موافقتنامهها می‌شوند و در بلندمدت می‌تواند به کاهش شفافیت، تفسیرهای متفاوت، و ضعف در اجرا بینجامد.</w:t>
      </w:r>
      <w:r>
        <w:rPr>
          <w:rStyle w:val="FootnoteReference"/>
          <w:rtl w:val="1"/>
        </w:rPr>
        <w:footnoteReference w:id="262"/>
      </w:r>
      <w:r>
        <w:rPr>
          <w:rFonts w:ascii="Times New Roman" w:hAnsi="Times New Roman" w:cs="B Nazanin"/>
          <w:sz w:val="22"/>
          <w:szCs w:val="28"/>
          <w:rtl w:val="1"/>
        </w:rPr>
        <w:t xml:space="preserve"> لذا، «ابهام سازنده»</w:t>
      </w:r>
      <w:r>
        <w:rPr>
          <w:rStyle w:val="FootnoteReference"/>
          <w:rtl w:val="1"/>
        </w:rPr>
        <w:footnoteReference w:id="263"/>
      </w:r>
      <w:r>
        <w:rPr>
          <w:rFonts w:ascii="Times New Roman" w:hAnsi="Times New Roman" w:cs="B Nazanin"/>
          <w:sz w:val="22"/>
          <w:szCs w:val="28"/>
          <w:rtl w:val="1"/>
        </w:rPr>
        <w:t xml:space="preserve"> یک راهبرد عمدی در مذاکرات چندجانبه محیطزیستی است که به بهای کاهش شفافیت و قابلیت پیش‌بینی، امکان حصول توافق را فراهم می‌کند. ساختار مبتنی بر مصالحه باعث تقابل کارایی و انصاف می گردد و در نهایت،کارایی نظام حقوق بینالملل محیطزیست قربانی مقبولیت و مشروعیت آن می‌گردد. </w:t>
      </w:r>
    </w:p>
    <w:p>
      <w:pPr>
        <w:bidi w:val="1"/>
        <w:spacing w:line="312" w:lineRule="auto" w:before="0" w:after="120"/>
        <w:ind w:firstLine="454"/>
        <w:jc w:val="both"/>
      </w:pPr>
      <w:r>
        <w:rPr>
          <w:rFonts w:ascii="Times New Roman" w:hAnsi="Times New Roman" w:cs="B Nazanin"/>
          <w:sz w:val="22"/>
          <w:szCs w:val="28"/>
          <w:rtl w:val="1"/>
        </w:rPr>
        <w:t>گزارش در همین بخش اذعان دارد که آینده حقوق بین‌الملل محیطزیست نه به سمت یکنواخت‌سازی تعهدات، بلکه به سوی تفکیک و انعطاف بیشتر خواهد رفت.</w:t>
      </w:r>
      <w:r>
        <w:rPr>
          <w:rStyle w:val="FootnoteReference"/>
          <w:rtl w:val="1"/>
        </w:rPr>
        <w:footnoteReference w:id="264"/>
      </w:r>
      <w:r>
        <w:rPr>
          <w:rFonts w:ascii="Times New Roman" w:hAnsi="Times New Roman" w:cs="B Nazanin"/>
          <w:sz w:val="22"/>
          <w:szCs w:val="28"/>
          <w:rtl w:val="1"/>
        </w:rPr>
        <w:t xml:space="preserve"> این امر قاعدتا به دلیل تغییرات مداوم در شرایط ملی کشورها، ظهور بازیگران جدید بین‌المللی با اولویت‌های متفاوت و نیاز به پاسخگویی به بحران‌های نوظهور خواهد بود. </w:t>
      </w:r>
    </w:p>
    <w:p>
      <w:pPr>
        <w:bidi w:val="1"/>
        <w:spacing w:line="312" w:lineRule="auto" w:before="0" w:after="120"/>
        <w:ind w:firstLine="454"/>
        <w:jc w:val="both"/>
      </w:pPr>
      <w:r>
        <w:rPr>
          <w:rFonts w:ascii="Times New Roman" w:hAnsi="Times New Roman" w:cs="B Nazanin"/>
          <w:sz w:val="22"/>
          <w:szCs w:val="28"/>
          <w:rtl w:val="1"/>
        </w:rPr>
        <w:t>در ادامه توضیحات فوق، گزارش دبیرکل به جای ارائه یک فهرست سادهای از خلاءهای موجود در موافقتنامههای چندجانبه محیطزیستی از حیث مقررات، با طبقهبندی اسناد در 5 گروه حفاظت از اتمسفر، تنوعزیستی، منابع آب شیرین، اقیانوسها و دریاها، مواد، پسماندها و فعالیتهای خطرناک و توضیحات کافی در خصوص آنها، خلاءهایی را در سطح هنجارسازی، نهادی، اجرایی شناسایی میکند. در ادامه براساس بندهای 26 الی 70 گزارش، فهرستی از خلاءها تدوین میشود.</w:t>
      </w:r>
    </w:p>
    <w:p>
      <w:pPr>
        <w:bidi w:val="1"/>
        <w:spacing w:line="312" w:lineRule="auto" w:before="0" w:after="120"/>
        <w:ind w:firstLine="454"/>
        <w:jc w:val="both"/>
      </w:pPr>
      <w:r>
        <w:rPr>
          <w:rFonts w:ascii="Times New Roman" w:hAnsi="Times New Roman" w:cs="B Nazanin"/>
          <w:sz w:val="22"/>
          <w:szCs w:val="28"/>
          <w:rtl w:val="1"/>
        </w:rPr>
        <w:t>1. پراکندگی هنجاری و فقدان چارچوب حاکم</w:t>
      </w:r>
      <w:r>
        <w:rPr>
          <w:rStyle w:val="FootnoteReference"/>
          <w:rtl w:val="1"/>
        </w:rPr>
        <w:footnoteReference w:id="265"/>
      </w:r>
      <w:r>
        <w:rPr>
          <w:rFonts w:ascii="Times New Roman" w:hAnsi="Times New Roman" w:cs="B Nazanin"/>
          <w:sz w:val="22"/>
          <w:szCs w:val="28"/>
          <w:rtl w:val="1"/>
        </w:rPr>
        <w:t xml:space="preserve"> : حقوق بین‌الملل محیط‌زیست فاقد یک چارچوب حاکم یکپارچه و فرابخشی است و به جای آن، از مجموعه‌ای پراکنده از هنجارهای بخشی تشکیل شده است که در قالب بیش از ۵۰۰ موافقتنامه چندجانبه محیط‌زیستی شکل گرفته‌اند. «اصطلاح «پراکندگی»</w:t>
      </w:r>
      <w:r>
        <w:rPr>
          <w:rStyle w:val="FootnoteReference"/>
          <w:rtl w:val="1"/>
        </w:rPr>
        <w:footnoteReference w:id="266"/>
      </w:r>
      <w:r>
        <w:rPr>
          <w:rFonts w:ascii="Times New Roman" w:hAnsi="Times New Roman" w:cs="B Nazanin"/>
          <w:sz w:val="22"/>
          <w:szCs w:val="28"/>
          <w:rtl w:val="1"/>
        </w:rPr>
        <w:t xml:space="preserve"> در مورد حقوق بین‌الملل هم به عنوان یک اصطلاح توصیفی و هم- به طور رایج‌تر - به عنوان ابراز تأسف به کار می‌رود. پراکندگی که با «ظهور قواعد یا مجموعه‌قواعد تخصصی و (نسبتاً) خودمختار، نهادهای حقوقی و حوزه‌های رویه قضایی» مشخص می‌شود، بر انزوا و گسست میان رژیم‌ها و نهادها تأکید دارد. پراکندگی موجود در حقوق بین‌الملل محیط زیست منجر به تکالیف حقوقی و سیاستی همپوشان و گاه متعارض می‌شود.»</w:t>
      </w:r>
      <w:r>
        <w:rPr>
          <w:rStyle w:val="FootnoteReference"/>
          <w:rtl w:val="1"/>
        </w:rPr>
        <w:footnoteReference w:id="267"/>
      </w:r>
      <w:r>
        <w:rPr>
          <w:rFonts w:ascii="Times New Roman" w:hAnsi="Times New Roman" w:cs="B Nazanin"/>
          <w:sz w:val="22"/>
          <w:szCs w:val="28"/>
          <w:rtl w:val="1"/>
        </w:rPr>
        <w:t xml:space="preserve"> پراکندگی از نوع هنجاری نیز منجر به ناهماهنگی، همپوشانی تعارض‌آمیز و فقدان شفافیت و انسجام در قواعد می‌شود. بهعنوان مثال، در بخش حفاظت از اتمسفر</w:t>
      </w:r>
      <w:r>
        <w:rPr>
          <w:rStyle w:val="FootnoteReference"/>
          <w:rtl w:val="1"/>
        </w:rPr>
        <w:footnoteReference w:id="268"/>
      </w:r>
      <w:r>
        <w:rPr>
          <w:rFonts w:ascii="Times New Roman" w:hAnsi="Times New Roman" w:cs="B Nazanin"/>
          <w:sz w:val="22"/>
          <w:szCs w:val="28"/>
          <w:rtl w:val="1"/>
        </w:rPr>
        <w:t xml:space="preserve"> چهار رژیم جداگانه برای تغییرات اقلیم، لایه اوزون، جیوه و آلودگی هوای فرامرزی وجود دارد که گزارش دبیرکل مثالهایی از همپوشانی و گاه تعارض در تعهدات، گزارش‌دهی و اجرا را نقل میکند. در حوزه تغییراقلیم نیز سه سند با اعضا متفاوت و تعهدات با گذار از تعهدات سخت به تعهدات نرم تحت مصلحت اندیشی سیاسی وجود دارد که مصداق دیگری از پراکندگی هنجاری است. حقوق بین‌الملل محیط‌زیست به‌جای یک نظام منسجم، بیشتر به مجموعه‌ای واکنشی از رژیم‌های جداگانه شباهت دارد که پاسخگویی مؤثر به چالش‌های پیچیده، به‌هم‌پیوسته و سیستمی مانند تغییرات اقلیمی یا تخریب تنوع زیستی را دشوار می‌سازد. پراکندگی هنجاری موجود، کارایی، انسجام و در نهایت مشروعیت این شاخه از حقوق بین‌الملل را به چالش کشیده است.</w:t>
      </w:r>
    </w:p>
    <w:p>
      <w:pPr>
        <w:bidi w:val="1"/>
        <w:spacing w:line="312" w:lineRule="auto" w:before="0" w:after="120"/>
        <w:ind w:firstLine="454"/>
        <w:jc w:val="both"/>
      </w:pPr>
      <w:r>
        <w:rPr>
          <w:rFonts w:ascii="Times New Roman" w:hAnsi="Times New Roman" w:cs="B Nazanin"/>
          <w:sz w:val="22"/>
          <w:szCs w:val="28"/>
          <w:rtl w:val="1"/>
        </w:rPr>
        <w:t>2. کمبود قواعد الزام‌آور در حوزه‌های کلیدی: حقوق بین‌الملل محیط‌زیست در بسیاری از حوزه‌های حیاتی با کمبود قواعد الزام‌آورِ دقیق و قابل اجرا مواجه است. حفاظت از خاک تقریباً فاقد هرگونه تعهد الزام‌آور جهانی است.</w:t>
      </w:r>
      <w:r>
        <w:rPr>
          <w:rStyle w:val="FootnoteReference"/>
          <w:rtl w:val="1"/>
        </w:rPr>
        <w:footnoteReference w:id="269"/>
      </w:r>
      <w:r>
        <w:rPr>
          <w:rFonts w:ascii="Times New Roman" w:hAnsi="Times New Roman" w:cs="B Nazanin"/>
          <w:sz w:val="22"/>
          <w:szCs w:val="28"/>
          <w:rtl w:val="1"/>
        </w:rPr>
        <w:t xml:space="preserve"> حفاظت از جنگل‌ها عمدتاً مبتنی بر هنجارهای نرم بوده</w:t>
      </w:r>
      <w:r>
        <w:rPr>
          <w:rStyle w:val="FootnoteReference"/>
          <w:rtl w:val="1"/>
        </w:rPr>
        <w:footnoteReference w:id="270"/>
      </w:r>
      <w:r>
        <w:rPr>
          <w:rFonts w:ascii="Times New Roman" w:hAnsi="Times New Roman" w:cs="B Nazanin"/>
          <w:sz w:val="22"/>
          <w:szCs w:val="28"/>
          <w:rtl w:val="1"/>
        </w:rPr>
        <w:t xml:space="preserve"> و انتقاد اصلی به آن، «کارایی محدود» است . تنوع زیستی فراسوی صلاحیت ملی</w:t>
      </w:r>
      <w:r>
        <w:rPr>
          <w:rStyle w:val="FootnoteReference"/>
          <w:rtl w:val="1"/>
        </w:rPr>
        <w:footnoteReference w:id="271"/>
      </w:r>
      <w:r>
        <w:rPr>
          <w:rFonts w:ascii="Times New Roman" w:hAnsi="Times New Roman" w:cs="B Nazanin"/>
          <w:sz w:val="22"/>
          <w:szCs w:val="28"/>
          <w:rtl w:val="1"/>
        </w:rPr>
        <w:t xml:space="preserve"> تا پیش از معاهده تنوعزیستی فراسوی صلاحیت ملی (۲۰۲۳)</w:t>
      </w:r>
      <w:r>
        <w:rPr>
          <w:rStyle w:val="FootnoteReference"/>
          <w:rtl w:val="1"/>
        </w:rPr>
        <w:footnoteReference w:id="272"/>
      </w:r>
      <w:r>
        <w:rPr>
          <w:rFonts w:ascii="Times New Roman" w:hAnsi="Times New Roman" w:cs="B Nazanin"/>
          <w:sz w:val="22"/>
          <w:szCs w:val="28"/>
          <w:rtl w:val="1"/>
        </w:rPr>
        <w:t xml:space="preserve"> هیچ چارچوب الزام‌آوری نداشت.</w:t>
      </w:r>
      <w:r>
        <w:rPr>
          <w:rStyle w:val="FootnoteReference"/>
          <w:rtl w:val="1"/>
        </w:rPr>
        <w:footnoteReference w:id="273"/>
      </w:r>
      <w:r>
        <w:rPr>
          <w:rFonts w:ascii="Times New Roman" w:hAnsi="Times New Roman" w:cs="B Nazanin"/>
          <w:sz w:val="22"/>
          <w:szCs w:val="28"/>
          <w:rtl w:val="1"/>
        </w:rPr>
        <w:t xml:space="preserve"> حتی در حوزه خطرناک‌ترین فعالیت‌ها مانند انرژی هسته‌ای، کنوانسیون ایمنی هسته‌ای (۱۹۹۴) پس از فاجعه فوکوشیما ناکارآمدی خود را نشان داد و اعلامیه وین ۲۰۱۵ در مورد ایمنی هسته‌ای ناظر بر طراحی، مکان‌یابی و ارزیابی ایمنی نیروگاه‌های هسته‌ای نیز فاقد قدرت الزام‌آور است.</w:t>
      </w:r>
      <w:r>
        <w:rPr>
          <w:rStyle w:val="FootnoteReference"/>
          <w:rtl w:val="1"/>
        </w:rPr>
        <w:footnoteReference w:id="274"/>
      </w:r>
      <w:r>
        <w:rPr>
          <w:rFonts w:ascii="Times New Roman" w:hAnsi="Times New Roman" w:cs="B Nazanin"/>
          <w:sz w:val="22"/>
          <w:szCs w:val="28"/>
          <w:rtl w:val="1"/>
        </w:rPr>
        <w:t xml:space="preserve"> این اتکاء گسترده به هنجارهای نرم، داوطلبانه و غیرالزام‌آور، فضای مانور گسترده‌ای برای دولتها باقی می‌گذارد و اجرای مؤثر، نظارت دقیق و پاسخگویی را با چالش جدی مواجه می‌سازد. در نتیجه، حقوق بین‌الملل محیط‌زیست در نقاط کلیدی خود بیشتر تابلوهای راهنمایی ارائه می‌دهد تا قواعد سختِ الزام‌آور، که این امر دستیابی به اهداف حفاظت محیط‌زیست در مقیاس جهانی را نامطمئن و شکننده می‌کند.</w:t>
      </w:r>
    </w:p>
    <w:p>
      <w:pPr>
        <w:bidi w:val="1"/>
        <w:spacing w:line="312" w:lineRule="auto" w:before="0" w:after="120"/>
        <w:ind w:firstLine="454"/>
        <w:jc w:val="both"/>
      </w:pPr>
      <w:r>
        <w:rPr>
          <w:rFonts w:ascii="Times New Roman" w:hAnsi="Times New Roman" w:cs="B Nazanin"/>
          <w:sz w:val="22"/>
          <w:szCs w:val="28"/>
          <w:rtl w:val="1"/>
        </w:rPr>
        <w:t>3. ضعف در سازوکارهای نظارتی، گزارش‌دهی و راستی‌آزمایی</w:t>
      </w:r>
      <w:r>
        <w:rPr>
          <w:rStyle w:val="FootnoteReference"/>
          <w:rtl w:val="1"/>
        </w:rPr>
        <w:footnoteReference w:id="275"/>
      </w:r>
      <w:r>
        <w:rPr>
          <w:rFonts w:ascii="Times New Roman" w:hAnsi="Times New Roman" w:cs="B Nazanin"/>
          <w:sz w:val="22"/>
          <w:szCs w:val="28"/>
          <w:rtl w:val="1"/>
        </w:rPr>
        <w:t xml:space="preserve"> : حتی در نظام‌های پیشرو و موفقی چون پروتکل مونترآل در حفاظت از لایه اوزون – که علیرغم شهرت‌اش، همچنان از کنترل برخی مواد مخرب از جمله برخی از آلاینده‌های شیمیایی کوتاه‌مدت و اکسید نیتروژن عاجز است و فاقد هرگونه مکانیزم راستی‌آزمایی دوره‌ای برای حصول اطمینان از استمرار حذف مواد مخرب توسط دولت‌های عضو می‌باشد،</w:t>
      </w:r>
      <w:r>
        <w:rPr>
          <w:rStyle w:val="FootnoteReference"/>
          <w:rtl w:val="1"/>
        </w:rPr>
        <w:footnoteReference w:id="276"/>
      </w:r>
      <w:r>
        <w:rPr>
          <w:rFonts w:ascii="Times New Roman" w:hAnsi="Times New Roman" w:cs="B Nazanin"/>
          <w:sz w:val="22"/>
          <w:szCs w:val="28"/>
          <w:rtl w:val="1"/>
        </w:rPr>
        <w:t>سازوکارهای عدم‌پایبندی به طور سیستماتیک از آستانه اقدامات تنبیهی فراتر نرفته و بر تعاملات تسهیل‌گرانه و غیرتنبیهی تکیه دارند.</w:t>
      </w:r>
      <w:r>
        <w:rPr>
          <w:rStyle w:val="FootnoteReference"/>
          <w:rtl w:val="1"/>
        </w:rPr>
        <w:footnoteReference w:id="277"/>
      </w:r>
      <w:r>
        <w:rPr>
          <w:rFonts w:ascii="Times New Roman" w:hAnsi="Times New Roman" w:cs="B Nazanin"/>
          <w:sz w:val="22"/>
          <w:szCs w:val="28"/>
          <w:rtl w:val="1"/>
        </w:rPr>
        <w:t xml:space="preserve"> دبیرخانه و کمیته اجرایی رویه عدم‌پایبندی، مأموریتی برای راستی‌آزمایی گزارش‌های سالانه اعضا در زمینه تولید و مصرف مواد کنترل‌شده مخرب اوزون ندارند؛</w:t>
      </w:r>
      <w:r>
        <w:rPr>
          <w:rStyle w:val="FootnoteReference"/>
          <w:rtl w:val="1"/>
        </w:rPr>
        <w:footnoteReference w:id="278"/>
      </w:r>
      <w:r>
        <w:rPr>
          <w:rFonts w:ascii="Times New Roman" w:hAnsi="Times New Roman" w:cs="B Nazanin"/>
          <w:sz w:val="22"/>
          <w:szCs w:val="28"/>
          <w:rtl w:val="1"/>
        </w:rPr>
        <w:t xml:space="preserve"> همچنین هیچ اختیاری برای تحقیق یا احراز صحت تجارت غیرقانونی این مواد به آنها اعطا نشده است.</w:t>
      </w:r>
      <w:r>
        <w:rPr>
          <w:rStyle w:val="FootnoteReference"/>
          <w:rtl w:val="1"/>
        </w:rPr>
        <w:footnoteReference w:id="279"/>
      </w:r>
      <w:r>
        <w:rPr>
          <w:rFonts w:ascii="Times New Roman" w:hAnsi="Times New Roman" w:cs="B Nazanin"/>
          <w:sz w:val="22"/>
          <w:szCs w:val="28"/>
          <w:rtl w:val="1"/>
        </w:rPr>
        <w:t xml:space="preserve"> این وضعیت، نشان‌دهنده الگوی غالب در موافقت‌نامه‌های چندجانبه محیط زیست است: اتکای افراطی به خوداظهاری دولتی و غیاب راستی‌آزمایی مستقل داده‌ها. چنین الگویی خلاء نظارتی عمیقی پدید می‌آورد که ارزیابی واقعی از پیشرفت و میزان پایبندی را ناممکن می‌سازد و کارآمدی حقوق بین‌الملل محیط زیست را در معرض تردید جدی قرار می‌دهد.</w:t>
      </w:r>
    </w:p>
    <w:p>
      <w:pPr>
        <w:bidi w:val="1"/>
        <w:spacing w:line="312" w:lineRule="auto" w:before="0" w:after="120"/>
        <w:ind w:firstLine="454"/>
        <w:jc w:val="both"/>
      </w:pPr>
      <w:r>
        <w:rPr>
          <w:rFonts w:ascii="Times New Roman" w:hAnsi="Times New Roman" w:cs="B Nazanin"/>
          <w:sz w:val="22"/>
          <w:szCs w:val="28"/>
          <w:rtl w:val="1"/>
        </w:rPr>
        <w:t>4. کمبود سازوکارهای مسئولیتی و جبرانخسارت: سازوکارهای مسئولیت و جبران خسارت در موافقت‌نامه‌های چندجانبه محیطزیستی علیرغم ضرورت انکارناپذیرشان، در وضعیتی ناقص، پراکنده و غالباً غیرفعال باقی مانده‌اند و نتوانسته‌اند با گسترش چالش‌های پیچیده محیطزیستی همگام شوند. در حوزه تغییرات اقلیم، «مسئولیت و جبران خسارت‌های اقلیمی به‌صراحت از نظام موافقت‌نامه پاریس مستثنی شده است و برخی معتقدند که چنین مستثنی شدنی نشان‌دهنده یک خلاء مهم است.»</w:t>
      </w:r>
      <w:r>
        <w:rPr>
          <w:rStyle w:val="FootnoteReference"/>
          <w:rtl w:val="1"/>
        </w:rPr>
        <w:footnoteReference w:id="280"/>
      </w:r>
      <w:r>
        <w:rPr>
          <w:rFonts w:ascii="Times New Roman" w:hAnsi="Times New Roman" w:cs="B Nazanin"/>
          <w:sz w:val="22"/>
          <w:szCs w:val="28"/>
          <w:rtl w:val="1"/>
        </w:rPr>
        <w:t xml:space="preserve"> مطابق با بند 51 تصمیم پذیرش موافقت نامه پاریس، اعضا «موافقت می‌کند که ماده ۸ موافقت‌نامه هیچ گونه مسئولیت یا جبران خسارتی را در بر ندارد یا مبنایی برای آن فراهم نمی‌کند؛»</w:t>
      </w:r>
      <w:r>
        <w:rPr>
          <w:rStyle w:val="FootnoteReference"/>
          <w:rtl w:val="1"/>
        </w:rPr>
        <w:footnoteReference w:id="281"/>
      </w:r>
      <w:r>
        <w:rPr>
          <w:rFonts w:ascii="Times New Roman" w:hAnsi="Times New Roman" w:cs="B Nazanin"/>
          <w:sz w:val="22"/>
          <w:szCs w:val="28"/>
          <w:rtl w:val="1"/>
        </w:rPr>
        <w:t xml:space="preserve"> این استثناء صریح، حاکی از فقدان اراده سیاسی لازم برای ایجاد نظام مسئولیت‌پذیری جمعی در قبال یکی از بزرگ‌ترین تهدیدات محیطزیستی عصر حاضر است. در حوزه پسماندهای خطرناک نیز وضعیت مشابه و حتی حادتر است. پروتکل مسئولیت و جبران خسارت کنوانسیون بازل مصوب ۱۹۹۹، علیرغم تصویب، هیچ‌گاه لازم‌الاجرا نشده است.</w:t>
      </w:r>
      <w:r>
        <w:rPr>
          <w:rStyle w:val="FootnoteReference"/>
          <w:rtl w:val="1"/>
        </w:rPr>
        <w:footnoteReference w:id="282"/>
      </w:r>
      <w:r>
        <w:rPr>
          <w:rFonts w:ascii="Times New Roman" w:hAnsi="Times New Roman" w:cs="B Nazanin"/>
          <w:sz w:val="22"/>
          <w:szCs w:val="28"/>
          <w:rtl w:val="1"/>
        </w:rPr>
        <w:t xml:space="preserve"> علیرغم تلاش‌های چندین‌ساله و بررسی‌های حقوقی دقیق، به دلیل «مخالفت سیاسی قابل توجه» و عدم تمایل دولت‌ها، این پروتکل کماکان در وضعیت عدم اجرا باقی مانده است.</w:t>
      </w:r>
      <w:r>
        <w:rPr>
          <w:rStyle w:val="FootnoteReference"/>
          <w:rtl w:val="1"/>
        </w:rPr>
        <w:footnoteReference w:id="283"/>
      </w:r>
      <w:r>
        <w:rPr>
          <w:rFonts w:ascii="Times New Roman" w:hAnsi="Times New Roman" w:cs="B Nazanin"/>
          <w:sz w:val="22"/>
          <w:szCs w:val="28"/>
          <w:rtl w:val="1"/>
        </w:rPr>
        <w:t xml:space="preserve"> این وضعیت که مقررات صریح مسئولیت و جبران خسارت برای خسارات ناشی از جابجایی فرامرزی پسماندهای خطرناک، نه توسط خود کنوانسیون بازل و نه توسط سایر کنوانسیون‌های بین‌المللی پیش‌بینی نشده است، یک خلاء بزرگ در نظام بین‌المللی مسئولیت برای خسارات فرامرزی ناشی از جابجایی پسماندهای خطرناک محسوب می‌شود و نبود یک نظام جامع مسئولیت، اجرای مؤثر تعهدات بین‌المللی را تضعیف می‌کند.</w:t>
      </w:r>
      <w:r>
        <w:rPr>
          <w:rStyle w:val="FootnoteReference"/>
          <w:rtl w:val="1"/>
        </w:rPr>
        <w:footnoteReference w:id="284"/>
      </w:r>
      <w:r>
        <w:rPr>
          <w:rFonts w:ascii="Times New Roman" w:hAnsi="Times New Roman" w:cs="B Nazanin"/>
          <w:sz w:val="22"/>
          <w:szCs w:val="28"/>
          <w:rtl w:val="1"/>
        </w:rPr>
        <w:t xml:space="preserve"> این دو مثال نشان می‌دهد که حقوق بین‌الملل محیطزیست در یکی از حساسترین و ضروری‌ترین ابعاد خود یعنی پاسخگویی و جبران خسارت  دچار ضعف ساختاری و فقدان کاربست جهانی است.</w:t>
      </w:r>
    </w:p>
    <w:p>
      <w:pPr>
        <w:bidi w:val="1"/>
        <w:spacing w:line="312" w:lineRule="auto" w:before="0" w:after="120"/>
        <w:ind w:firstLine="454"/>
        <w:jc w:val="both"/>
      </w:pPr>
      <w:r>
        <w:rPr>
          <w:rFonts w:ascii="Times New Roman" w:hAnsi="Times New Roman" w:cs="B Nazanin"/>
          <w:sz w:val="22"/>
          <w:szCs w:val="28"/>
          <w:rtl w:val="1"/>
        </w:rPr>
        <w:t>5. چالش‌های هماهنگی و تعامل : حقوق بین‌الملل محیطزیست با چالش نظام‌مند نبودن هماهنگی در دو سطح درون‌بخشی (میان معاهدات و نهادهای محیطزیستی) و بین‌بخشی (با حوزه‌های دیگر حقوق بین‌الملل) مواجه است. این پراکندگی که آن را «انزوا و گسست میان رژیم‌ها و نهادها» توصیف می‌کنند،</w:t>
      </w:r>
      <w:r>
        <w:rPr>
          <w:rStyle w:val="FootnoteReference"/>
          <w:rtl w:val="1"/>
        </w:rPr>
        <w:footnoteReference w:id="285"/>
      </w:r>
      <w:r>
        <w:rPr>
          <w:rFonts w:ascii="Times New Roman" w:hAnsi="Times New Roman" w:cs="B Nazanin"/>
          <w:sz w:val="22"/>
          <w:szCs w:val="28"/>
          <w:rtl w:val="1"/>
        </w:rPr>
        <w:t xml:space="preserve"> گرچه اجتناب ناپذیر و قابل بازگشت نیست، اما می‌توان آن را مدیریت کرد. در صورت عدم مدیریت، نه تنها کارایی نظام حقوق محیطزیست را کاهش می‌دهد، بلکه قابلیت آن را برای پاسخ‌گویی یکپارچه به چالش‌های فراگیر حقوق بینالملل محیطزیست تضعیف می‌سازد.</w:t>
      </w:r>
      <w:r>
        <w:rPr>
          <w:rStyle w:val="FootnoteReference"/>
          <w:rtl w:val="1"/>
        </w:rPr>
        <w:footnoteReference w:id="286"/>
      </w:r>
      <w:r>
        <w:rPr>
          <w:rFonts w:ascii="Times New Roman" w:hAnsi="Times New Roman" w:cs="B Nazanin"/>
          <w:sz w:val="22"/>
          <w:szCs w:val="28"/>
          <w:rtl w:val="1"/>
        </w:rPr>
        <w:t xml:space="preserve"> در سطح درون‌بخشی، نظام تغییراقلیم مصداق بارز ناهماهنگی است. سه سند بنیادین این نظام - کنوانسیون چارچوب تغییرات اقلیم ۱۹۹۲، پروتکل کیوتو ۱۹۹۷ و موافقت‌نامه پاریس ۲۰۱۵ - هر یک با منطق حقوقی متمایزی طراحی شده‌اند و با عضویت‌های متفاوت، تعهدات گاه متداخل، تعدد نهادهای تخصصی علمی و اجرایی و نظام‌های جداگانه گزارش‌دهی و نظارت، چالش‌های اجرایی و نظارتی مضاعفی را ایجاد کرده است</w:t>
      </w:r>
      <w:r>
        <w:rPr>
          <w:rStyle w:val="FootnoteReference"/>
          <w:rtl w:val="1"/>
        </w:rPr>
        <w:footnoteReference w:id="287"/>
      </w:r>
      <w:r>
        <w:rPr>
          <w:rFonts w:ascii="Times New Roman" w:hAnsi="Times New Roman" w:cs="B Nazanin"/>
          <w:sz w:val="22"/>
          <w:szCs w:val="28"/>
          <w:rtl w:val="1"/>
        </w:rPr>
        <w:t xml:space="preserve"> و عملاً هماهنگی و ارزیابی یکپارچه از پیشرفت نظام تغییراقلیم را با مانع مواجه ساخته است.</w:t>
      </w:r>
    </w:p>
    <w:p>
      <w:pPr>
        <w:bidi w:val="1"/>
        <w:spacing w:line="312" w:lineRule="auto" w:before="0" w:after="120"/>
        <w:ind w:firstLine="454"/>
        <w:jc w:val="both"/>
      </w:pPr>
      <w:r>
        <w:rPr>
          <w:rFonts w:ascii="Times New Roman" w:hAnsi="Times New Roman" w:cs="B Nazanin"/>
          <w:sz w:val="22"/>
          <w:szCs w:val="28"/>
          <w:rtl w:val="1"/>
        </w:rPr>
        <w:t>در سطح بین‌بخشی، تعارضات هنجاری و نهادی آشکارتری به چشم می‌خورد. در تعامل حقوق محیط زیست و مالکیت فکری، کنوانسیون تنوع زیستی و پروتکل ناگویا، اصول «دسترسی عادلانه» و «اشتراک منافع» را بنیان نهاده و افشای منشاء منابع ژنتیکی و دانش سنتی را الزامی می‌سازد. در نقطه مقابل، موافقت‌نامه تریپس در چارچوب سازمان تجارت جهانی با منطق انحصارگرایی و خصوصی‌سازی دانش، در صدد تسهیل ثبت اختراع بر نوآوری‌های زیست‌فناوری است.</w:t>
      </w:r>
      <w:r>
        <w:rPr>
          <w:rStyle w:val="FootnoteReference"/>
          <w:rtl w:val="1"/>
        </w:rPr>
        <w:footnoteReference w:id="288"/>
      </w:r>
      <w:r>
        <w:rPr>
          <w:rFonts w:ascii="Times New Roman" w:hAnsi="Times New Roman" w:cs="B Nazanin"/>
          <w:sz w:val="22"/>
          <w:szCs w:val="28"/>
          <w:rtl w:val="1"/>
        </w:rPr>
        <w:t xml:space="preserve"> این دو نظام «مقدماتی اساساً ناسازگار» را تجسم می‌بخشند. معاهده همکاری ثبت اختراع</w:t>
      </w:r>
      <w:r>
        <w:rPr>
          <w:rStyle w:val="FootnoteReference"/>
          <w:rtl w:val="1"/>
        </w:rPr>
        <w:footnoteReference w:id="289"/>
      </w:r>
      <w:r>
        <w:rPr>
          <w:rFonts w:ascii="Times New Roman" w:hAnsi="Times New Roman" w:cs="B Nazanin"/>
          <w:sz w:val="22"/>
          <w:szCs w:val="28"/>
          <w:rtl w:val="1"/>
        </w:rPr>
        <w:t xml:space="preserve"> سازمان جهانی مالکیت فکری نیز فرآیندهای اداری را برای کسب انحصار بر دانش سنتی و منابع ژنتیکی تسهیل می‌کند. به‌موازات این، در حوزه تجارت و محیط زیست، اصل «حمایت متقابل»</w:t>
      </w:r>
      <w:r>
        <w:rPr>
          <w:rStyle w:val="FootnoteReference"/>
          <w:rtl w:val="1"/>
        </w:rPr>
        <w:footnoteReference w:id="290"/>
      </w:r>
      <w:r>
        <w:rPr>
          <w:rFonts w:ascii="Times New Roman" w:hAnsi="Times New Roman" w:cs="B Nazanin"/>
          <w:sz w:val="22"/>
          <w:szCs w:val="28"/>
          <w:rtl w:val="1"/>
        </w:rPr>
        <w:t xml:space="preserve"> که در مقدمه موافقت‌نامه تأسیس سازمان جهانی تجارت و اسناد راهبردی آن تصریح شده، در رویه قضایی نهاد تجددینظر آن سازمان با تفسیری مضیق مواجه شده و محاکم آن سازمان در عمل از به کارگیری اصول محیط زیستی (مانند اصل احتیاط) به عنوان هنجارهای ماهوی خودداری کرده‌اند. این امر «شکاف فزاینده میان دو نظام هنجاری» را آشکار ساخته است. این موضوع ها در بخش خلاءهای مرتبط با اسناد مرتبط با محیط زیست بیشتر بررسی خواهد شد.</w:t>
      </w:r>
    </w:p>
    <w:p>
      <w:pPr>
        <w:bidi w:val="1"/>
        <w:spacing w:line="312" w:lineRule="auto" w:before="0" w:after="120"/>
        <w:ind w:firstLine="454"/>
        <w:jc w:val="both"/>
      </w:pPr>
      <w:r>
        <w:rPr>
          <w:rFonts w:ascii="Times New Roman" w:hAnsi="Times New Roman" w:cs="B Nazanin"/>
          <w:sz w:val="22"/>
          <w:szCs w:val="28"/>
          <w:rtl w:val="1"/>
        </w:rPr>
        <w:t>از منظر نهادی نیز تعدد دبیرخانه‌های موافقتنامههای محیطزیستی، پراکندگی جغرافیایی دبیرخانه‌ها در شهرهای مختلف جهان، فقدان یک مرجع واحد برای هماهنگی سیاست‌گذاری، و اشتراک ناکافی اطلاعات میان نهاده ، به موازی‌کاری، تکرار تلاش‌ها و ناهماهنگی در اجرا دامن زده است. این در حالی است که تلاش‌های اصلاحی مانند پیشنویس قطعنامه‌ پیشنهادی مکزیک تحت عنوان «تقویت نقش مقر برنامه محیطزیست سازمان ملل متحد در نایروبی برای رسیدگی به چالش‌های محیطزیستی و افزایش همکاری‌های چندجانبه برای رسیدگی به حکمرانی چندجانبه مؤثر»</w:t>
      </w:r>
      <w:r>
        <w:rPr>
          <w:rStyle w:val="FootnoteReference"/>
          <w:rtl w:val="1"/>
        </w:rPr>
        <w:footnoteReference w:id="291"/>
      </w:r>
      <w:r>
        <w:rPr>
          <w:rFonts w:ascii="Times New Roman" w:hAnsi="Times New Roman" w:cs="B Nazanin"/>
          <w:sz w:val="22"/>
          <w:szCs w:val="28"/>
          <w:rtl w:val="1"/>
        </w:rPr>
        <w:t xml:space="preserve"> در چارچوب هفتمین نشست مجمع محیطزیست سازمانمللمتحد</w:t>
      </w:r>
      <w:r>
        <w:rPr>
          <w:rStyle w:val="FootnoteReference"/>
          <w:rtl w:val="1"/>
        </w:rPr>
        <w:footnoteReference w:id="292"/>
      </w:r>
      <w:r>
        <w:rPr>
          <w:rFonts w:ascii="Times New Roman" w:hAnsi="Times New Roman" w:cs="B Nazanin"/>
          <w:sz w:val="22"/>
          <w:szCs w:val="28"/>
          <w:rtl w:val="1"/>
        </w:rPr>
        <w:t xml:space="preserve"> در دسامبر 2025 به منظور انتقال دبیرخانه موافقتنامههای چندجانبه محیطزیستی به نایروبی با مخالفت یا بیتوجهی برخی دولت‌ها روبرو شده است.</w:t>
      </w:r>
      <w:r>
        <w:rPr>
          <w:rStyle w:val="FootnoteReference"/>
          <w:rtl w:val="1"/>
        </w:rPr>
        <w:footnoteReference w:id="293"/>
      </w:r>
    </w:p>
    <w:p>
      <w:pPr>
        <w:bidi w:val="1"/>
        <w:spacing w:line="312" w:lineRule="auto" w:before="0" w:after="120"/>
        <w:ind w:firstLine="454"/>
        <w:jc w:val="both"/>
      </w:pPr>
      <w:r>
        <w:rPr>
          <w:rFonts w:ascii="Times New Roman" w:hAnsi="Times New Roman" w:cs="B Nazanin"/>
          <w:sz w:val="22"/>
          <w:szCs w:val="28"/>
          <w:rtl w:val="1"/>
        </w:rPr>
        <w:t>6.کمبود مقررات در حوزه‌های نوظهور و فناوری‌های جدید: حقوق بین‌الملل محیطزیست که عمدتاً ماهیتی واکنشی و بخشی دارد، در مواجهه با چالش‌های نوظهور و فناوری‌های جدید که ذاتاً فرابخشی، پیچیده و علم‌محور هستند، با خلاءهای مقرراتی جدی روبرو است. به طور مشخص، دو حوزه نانومواد و فرایندهای ژئو-مهندسی</w:t>
      </w:r>
      <w:r>
        <w:rPr>
          <w:rStyle w:val="FootnoteReference"/>
          <w:rtl w:val="1"/>
        </w:rPr>
        <w:footnoteReference w:id="294"/>
      </w:r>
      <w:r>
        <w:rPr>
          <w:rFonts w:ascii="Times New Roman" w:hAnsi="Times New Roman" w:cs="B Nazanin"/>
          <w:sz w:val="22"/>
          <w:szCs w:val="28"/>
          <w:rtl w:val="1"/>
        </w:rPr>
        <w:t>، علیرغم پتانسیل بالای ایجاد اثرات گسترده بر تنوع زیستی، فاقد هرگونه چارچوب حقوقی بین‌المللی هستند.</w:t>
      </w:r>
      <w:r>
        <w:rPr>
          <w:rStyle w:val="FootnoteReference"/>
          <w:rtl w:val="1"/>
        </w:rPr>
        <w:footnoteReference w:id="295"/>
      </w:r>
      <w:r>
        <w:rPr>
          <w:rFonts w:ascii="Times New Roman" w:hAnsi="Times New Roman" w:cs="B Nazanin"/>
          <w:sz w:val="22"/>
          <w:szCs w:val="28"/>
          <w:rtl w:val="1"/>
        </w:rPr>
        <w:t xml:space="preserve"> همچنین، آلودگی‌های ناشی از پسماندهای پلاستیکی و زباله‌های دریایی، اگرچه بهعنوان تهدیدی جدی شناسایی شده‌اند، اما تنها توسط برخی برنامه‌های اقدام منطقه‌ای پوشش داده می‌شوند و معاهده‌ای اختصاصی و الزام‌آور در سطح جهانی برای آنها وجود ندارد.</w:t>
      </w:r>
      <w:r>
        <w:rPr>
          <w:rStyle w:val="FootnoteReference"/>
          <w:rtl w:val="1"/>
        </w:rPr>
        <w:footnoteReference w:id="296"/>
      </w:r>
      <w:r>
        <w:rPr>
          <w:rFonts w:ascii="Times New Roman" w:hAnsi="Times New Roman" w:cs="B Nazanin"/>
          <w:sz w:val="22"/>
          <w:szCs w:val="28"/>
          <w:rtl w:val="1"/>
        </w:rPr>
        <w:t xml:space="preserve"> لازم به ذکر است، مذاکرات جهت تدوین سند بینالمللی الزامآور در خصوص آلودگی پلاستیکی در چارچوب قطعنامه پنجمین نشست مجمع محیطزیست سازمانملل متحد</w:t>
      </w:r>
      <w:r>
        <w:rPr>
          <w:rStyle w:val="FootnoteReference"/>
          <w:rtl w:val="1"/>
        </w:rPr>
        <w:footnoteReference w:id="297"/>
      </w:r>
      <w:r>
        <w:rPr>
          <w:rFonts w:ascii="Times New Roman" w:hAnsi="Times New Roman" w:cs="B Nazanin"/>
          <w:sz w:val="22"/>
          <w:szCs w:val="28"/>
          <w:rtl w:val="1"/>
        </w:rPr>
        <w:t xml:space="preserve"> درجریان است. در نتیجه، فاصله چشمگیر میان سرعت پیشرفت علمی‑ فناورانه و سرعت توسعه هنجاری، به ایجاد خلاء هنجاری در حقوق بین‌الملل محیطزیست منجر شده و فرصت‌های استفاده مسئولانه از فناوری برای اهداف محیط‌زیستی را نیز تضعیف می‌کند.</w:t>
      </w:r>
    </w:p>
    <w:p>
      <w:pPr>
        <w:bidi w:val="1"/>
        <w:spacing w:line="312" w:lineRule="auto" w:before="0" w:after="120"/>
        <w:ind w:firstLine="454"/>
        <w:jc w:val="both"/>
      </w:pPr>
      <w:r>
        <w:rPr>
          <w:rFonts w:ascii="Times New Roman" w:hAnsi="Times New Roman" w:cs="B Nazanin"/>
          <w:sz w:val="22"/>
          <w:szCs w:val="28"/>
          <w:rtl w:val="1"/>
        </w:rPr>
        <w:t>7. محدودیت‌های جغرافیایی و پوشش ناکافی: حقوق بین‌الملل محیطزیست بهطور ساختاری از محدودیت جغرافیایی و پوشش ناکافی موافقت‌نامه‌های چندجانبه خود رنج می‌برد که کارایی آن‌ها را در مقابله با چالش‌های جهانی بهشدت تضعیف می‌کند. نماد این ناکارآمدی، کنوانسیون آلودگی هوای فرامرزی دوربرد</w:t>
      </w:r>
      <w:r>
        <w:rPr>
          <w:rStyle w:val="FootnoteReference"/>
          <w:rtl w:val="1"/>
        </w:rPr>
        <w:footnoteReference w:id="298"/>
      </w:r>
      <w:r>
        <w:rPr>
          <w:rFonts w:ascii="Times New Roman" w:hAnsi="Times New Roman" w:cs="B Nazanin"/>
          <w:sz w:val="22"/>
          <w:szCs w:val="28"/>
          <w:rtl w:val="1"/>
        </w:rPr>
        <w:t xml:space="preserve"> است. اگرچه این کنوانسیون در کاهش آلودگی فرامرزی در منطقه اروپا و آمریکای شمالی موفق بوده، اما دامنه اجرایی آن به همین مناطق محدود مانده است.</w:t>
      </w:r>
      <w:r>
        <w:rPr>
          <w:rStyle w:val="FootnoteReference"/>
          <w:rtl w:val="1"/>
        </w:rPr>
        <w:footnoteReference w:id="299"/>
      </w:r>
      <w:r>
        <w:rPr>
          <w:rFonts w:ascii="Times New Roman" w:hAnsi="Times New Roman" w:cs="B Nazanin"/>
          <w:sz w:val="22"/>
          <w:szCs w:val="28"/>
          <w:rtl w:val="1"/>
        </w:rPr>
        <w:t xml:space="preserve"> این در حالی است که بحران آلودگی هوا در قاره‌های آسیا و آفریقا به ابعادی فرامرزی و فراگیر رسیده و میلیون‌ها نفر را تحت تأثیر قرار داده، اما هیچ نظام حقوقی الزام‌آوری برای مدیریت آن وجود ندارد. چنین محدودیت جغرافیایی، توانایی حقوق بین‌الملل را برای ارائه پاسخی یکپارچه، عادلانه و مؤثر به مسائل محیط‌زیستی که ذاتاً فرامرزی و جهانی هستند، به شدت تضعیف می‌کند و شکاف عمیقی میان موفقیت‌های منطقه‌ای و نیازهای جهانی ایجاد می‌نماید.</w:t>
      </w:r>
    </w:p>
    <w:p>
      <w:pPr>
        <w:bidi w:val="1"/>
        <w:spacing w:line="312" w:lineRule="auto" w:before="0" w:after="120"/>
        <w:ind w:firstLine="454"/>
        <w:jc w:val="both"/>
      </w:pPr>
      <w:r>
        <w:rPr>
          <w:rFonts w:ascii="Times New Roman" w:hAnsi="Times New Roman" w:cs="B Nazanin"/>
          <w:sz w:val="22"/>
          <w:szCs w:val="28"/>
          <w:rtl w:val="1"/>
        </w:rPr>
        <w:t>گزارش دبیرکل بهخوبی نشان می‌دهد که پراکندگی حقوق بین‌الملل محیط‌زیست صرفاً محدود به ابعاد موضوعی و هنجاری نیست، بلکه در سطوح اجرا و نظارت، مسئولیت و جبران‌خسارت و نیز پوشش جغرافیایی نیز به روشنی قابل مشاهده است. شایان ذکر است که فحوای گزارش دبیرکل در این بخش هم‌سو با یافته‌های مطالعاتی الینور اوستروم، برنده جایزه نوبل اقتصاد (۲۰۰۹)، است،</w:t>
      </w:r>
      <w:r>
        <w:rPr>
          <w:rStyle w:val="FootnoteReference"/>
          <w:rtl w:val="1"/>
        </w:rPr>
        <w:footnoteReference w:id="300"/>
      </w:r>
      <w:r>
        <w:rPr>
          <w:rFonts w:ascii="Times New Roman" w:hAnsi="Times New Roman" w:cs="B Nazanin"/>
          <w:sz w:val="22"/>
          <w:szCs w:val="28"/>
          <w:rtl w:val="1"/>
        </w:rPr>
        <w:t xml:space="preserve"> هرچند گزارش در استناد به آن رویکردی محتاطانه در پیش گرفته است. نظریه «اقدام جمعی و حکمرانی منابع مشترک» اوستروم نشان می‌دهد که توافق بر سر قواعد روشن و شفاف، زمینه‌ساز همکاری مؤثر برای حفاظت از منابع مشترک می‌شود. این چارچوب نظری نه تنها در حصول اجماع بر سر اهداف توسعه پایدار، بلکه در فرآیند مذاکره برای حفاظت و استفاده پایدار از تنوع زیستی در مناطق فراتر از صلاحیت ملی نیز کاربرد داشته است.</w:t>
      </w:r>
      <w:r>
        <w:rPr>
          <w:rStyle w:val="FootnoteReference"/>
          <w:rtl w:val="1"/>
        </w:rPr>
        <w:footnoteReference w:id="301"/>
      </w:r>
      <w:r>
        <w:rPr>
          <w:rFonts w:ascii="Times New Roman" w:hAnsi="Times New Roman" w:cs="B Nazanin"/>
          <w:sz w:val="22"/>
          <w:szCs w:val="28"/>
          <w:rtl w:val="1"/>
        </w:rPr>
        <w:t xml:space="preserve"> رویه موفق دولت‌ها در چارچوب پروتکل مونترآل برای حفاظت از لایه اوزون نیز بهعنوان یکی از مصادیق برجسته عینی، مؤید یافته‌های اوستروم است.</w:t>
      </w:r>
    </w:p>
    <w:p>
      <w:pPr>
        <w:pStyle w:val="Heading3"/>
        <w:bidi w:val="1"/>
        <w:spacing w:line="312" w:lineRule="auto" w:before="200" w:after="120"/>
        <w:jc w:val="right"/>
      </w:pPr>
      <w:r>
        <w:rPr>
          <w:rFonts w:ascii="Times New Roman" w:hAnsi="Times New Roman" w:cs="B Nazanin"/>
          <w:sz w:val="24"/>
          <w:szCs w:val="24"/>
          <w:rtl w:val="1"/>
          <w:b/>
          <w:bCs/>
          <w:color w:val="000000"/>
        </w:rPr>
        <w:t>۳-۱-۵ خلاءهای مرتبط با اسناد مرتبط با محیط زیست</w:t>
      </w:r>
    </w:p>
    <w:p>
      <w:pPr>
        <w:bidi w:val="1"/>
        <w:spacing w:line="312" w:lineRule="auto" w:before="0" w:after="120"/>
        <w:ind w:firstLine="454"/>
        <w:jc w:val="both"/>
      </w:pPr>
      <w:r>
        <w:rPr>
          <w:rFonts w:ascii="Times New Roman" w:hAnsi="Times New Roman" w:cs="B Nazanin"/>
          <w:sz w:val="22"/>
          <w:szCs w:val="28"/>
          <w:rtl w:val="1"/>
        </w:rPr>
        <w:t>گزارش دبیرکل در بند 7 منظور از اسناد مرتبط با محیطزیست را به شرح زیر بیان میکند. «اصطلاح "اسناد مرتبط با محیطزیست"</w:t>
      </w:r>
      <w:r>
        <w:rPr>
          <w:rStyle w:val="FootnoteReference"/>
          <w:rtl w:val="1"/>
        </w:rPr>
        <w:footnoteReference w:id="302"/>
      </w:r>
      <w:r>
        <w:rPr>
          <w:rFonts w:ascii="Times New Roman" w:hAnsi="Times New Roman" w:cs="B Nazanin"/>
          <w:sz w:val="22"/>
          <w:szCs w:val="28"/>
          <w:rtl w:val="1"/>
        </w:rPr>
        <w:t xml:space="preserve"> در بند ۱ قطعنامه 277/72 مجمععمومی، به آن دسته از اسناد حقوق بین‌الملل اطلاق می‌شود که منحصراً در قلمرو محیطزیست قرار نمی‌گیرند یا هدف اصلی آنها حمایت از محیطزیست نیست. در این رابطه قابل توجه است که دغدغه‌های محیطزیستی به تدریج در چارچوب‌های مقرراتی بین‌المللی دیگر نفوذ کرده‌اند، از جمله چارچوب‌های مرتبط با تجارت بین‌الملل، سرمایه‌گذاری، حقوق مالکیتفکری، حقوق بشر، صلح و امنیت، مهاجرت و مدیریت بلایا.»</w:t>
      </w:r>
      <w:r>
        <w:rPr>
          <w:rStyle w:val="FootnoteReference"/>
          <w:rtl w:val="1"/>
        </w:rPr>
        <w:footnoteReference w:id="303"/>
      </w:r>
      <w:r>
        <w:rPr>
          <w:rFonts w:ascii="Times New Roman" w:hAnsi="Times New Roman" w:cs="B Nazanin"/>
          <w:sz w:val="22"/>
          <w:szCs w:val="28"/>
          <w:rtl w:val="1"/>
        </w:rPr>
        <w:t xml:space="preserve"> </w:t>
      </w:r>
    </w:p>
    <w:p>
      <w:pPr>
        <w:bidi w:val="1"/>
        <w:spacing w:line="312" w:lineRule="auto" w:before="0" w:after="120"/>
        <w:ind w:firstLine="454"/>
        <w:jc w:val="both"/>
      </w:pPr>
      <w:r>
        <w:rPr>
          <w:rFonts w:ascii="Times New Roman" w:hAnsi="Times New Roman" w:cs="B Nazanin"/>
          <w:sz w:val="22"/>
          <w:szCs w:val="28"/>
          <w:rtl w:val="1"/>
        </w:rPr>
        <w:t>این توضیحات بیانگر تفسیر موسع و فراتر از اسناد صرفاً محیطزیستی و اتخاذ رویکردی بینابینی</w:t>
      </w:r>
      <w:r>
        <w:rPr>
          <w:rStyle w:val="FootnoteReference"/>
          <w:rtl w:val="1"/>
        </w:rPr>
        <w:footnoteReference w:id="304"/>
      </w:r>
      <w:r>
        <w:rPr>
          <w:rFonts w:ascii="Times New Roman" w:hAnsi="Times New Roman" w:cs="B Nazanin"/>
          <w:sz w:val="22"/>
          <w:szCs w:val="28"/>
          <w:rtl w:val="1"/>
        </w:rPr>
        <w:t>و  کل‌نگر</w:t>
      </w:r>
      <w:r>
        <w:rPr>
          <w:rStyle w:val="FootnoteReference"/>
          <w:rtl w:val="1"/>
        </w:rPr>
        <w:footnoteReference w:id="305"/>
      </w:r>
      <w:r>
        <w:rPr>
          <w:rFonts w:ascii="Times New Roman" w:hAnsi="Times New Roman" w:cs="B Nazanin"/>
          <w:sz w:val="22"/>
          <w:szCs w:val="28"/>
          <w:rtl w:val="1"/>
        </w:rPr>
        <w:t xml:space="preserve">  گزارش است. این امر نشان‌دهنده این واقعیت است که حفاظت از محیط‌زیست دیگر منحصر به معاهدات تخصصی نیست، بلکه به یک مقوله فرابخشی تبدیل شدهاست. علاوهبراین، مبین محیط‌زیستی‌شدن</w:t>
      </w:r>
      <w:r>
        <w:rPr>
          <w:rStyle w:val="FootnoteReference"/>
          <w:rtl w:val="1"/>
        </w:rPr>
        <w:footnoteReference w:id="306"/>
      </w:r>
      <w:r>
        <w:rPr>
          <w:rFonts w:ascii="Times New Roman" w:hAnsi="Times New Roman" w:cs="B Nazanin"/>
          <w:sz w:val="22"/>
          <w:szCs w:val="28"/>
          <w:rtl w:val="1"/>
        </w:rPr>
        <w:t xml:space="preserve"> حقوقبین‌الملل بهدلیل نفوذ دغدغه‌های محیطزیستی به سایر حوزه‌های حقوقی میباشد. این نشان از یک تحول پارادایمی دارد که در آن شاهد شروط محیطزیستی در قراردادهای تجاری، ملاحظات محیطزیستی در آرای داوری و قضائی، ظهور «حق بر محیطزیست سالم» به عنوان نسل سوم حقوقبشر، دغدغه حفاظت از محیطزیست در زمان درگیری‌های مسلحانه و ... هستیم. از این رو میتوان قطعنامه 277 /72 را قطعنامه پیشگامانه‌ای دانست که منجر به تدوین گزارش دبیرکل شد. چرا که این تعریف گسترده، مبنای حقوقی برای گفت‌وگوهای بین‌حوزه‌ای و هماهنگی سیاستی را فراهم میکند و قطعنامه با این نگاه، در پی تقویت همبستگی حقوقی و پرهیز از رویکردهای جزیره‌ای در مواجهه با چالش‌های پیچیده محیطزیستی است. گزارش دبیرکل عدم انسجام و هم‌افزایی بین اسناد مرتبط با محیطزیست - به طور خاص در مورد تجارت، سرمایه‌گذاری، مالکیت فکری و حقوق بشر - را ارزیابی می‌کند تا نتیجه بگیرد که «پیوند بین موافقت‌نامه‌های چندجانبه محیطزیستی و اسناد مرتبط با محیط زیست به دلیل عدم وضوح بسیاری از اصول محیطزیستی ، از منظر محتوا و جایگاه، همچنان مشکل‌ساز باقی مانده است.»</w:t>
      </w:r>
      <w:r>
        <w:rPr>
          <w:rStyle w:val="FootnoteReference"/>
          <w:rtl w:val="1"/>
        </w:rPr>
        <w:footnoteReference w:id="307"/>
      </w:r>
    </w:p>
    <w:p>
      <w:pPr>
        <w:pStyle w:val="Heading3"/>
        <w:bidi w:val="1"/>
        <w:spacing w:line="312" w:lineRule="auto" w:before="200" w:after="120"/>
        <w:jc w:val="right"/>
      </w:pPr>
      <w:r>
        <w:rPr>
          <w:rFonts w:ascii="Times New Roman" w:hAnsi="Times New Roman" w:cs="B Nazanin"/>
          <w:sz w:val="24"/>
          <w:szCs w:val="24"/>
          <w:rtl w:val="1"/>
          <w:b/>
          <w:bCs/>
          <w:color w:val="000000"/>
        </w:rPr>
        <w:t>۳-۱-۵-۱ اسناد تجاری</w:t>
      </w:r>
    </w:p>
    <w:p>
      <w:pPr>
        <w:bidi w:val="1"/>
        <w:spacing w:line="312" w:lineRule="auto" w:before="0" w:after="120"/>
        <w:ind w:firstLine="454"/>
        <w:jc w:val="both"/>
      </w:pPr>
      <w:r>
        <w:rPr>
          <w:rFonts w:ascii="Times New Roman" w:hAnsi="Times New Roman" w:cs="B Nazanin"/>
          <w:sz w:val="22"/>
          <w:szCs w:val="28"/>
          <w:rtl w:val="1"/>
        </w:rPr>
        <w:t xml:space="preserve"> گزارش دبیرکل، به نقش محوری سازمان جهانی تجارت در گفتمان تجارت و محیط‌زیست در حقوق بینالملل و شکاف فزاینده بین این دو رژیم هنجاری در اثر فقدان اجماع بر سر اجرای حمایت متقابل</w:t>
      </w:r>
      <w:r>
        <w:rPr>
          <w:rStyle w:val="FootnoteReference"/>
          <w:rtl w:val="1"/>
        </w:rPr>
        <w:footnoteReference w:id="308"/>
      </w:r>
      <w:r>
        <w:rPr>
          <w:rFonts w:ascii="Times New Roman" w:hAnsi="Times New Roman" w:cs="B Nazanin"/>
          <w:sz w:val="22"/>
          <w:szCs w:val="28"/>
          <w:rtl w:val="1"/>
        </w:rPr>
        <w:t xml:space="preserve"> اشاره دارد. این امر گویای خلاء بنیادین در موازنه قدرت میان دو حوزه تجارت و محیطزیست در ساختار نهادی است. در نتیجه، مکانیسم حلوفصل اختلافات قوی و عضویت جهانی آن، جایگاه بی‌بدیلی در تبیین رابطه این دو حوزه را دارد. اما رویکرد محتاطانه، تجارتمحور و مبتنی بر اصولی مانند «منع تبعیض» در آن سازمان، موجب گردیده است که هیئت تجدیدنظر آن سازمان در مواجهه با اختلافات مرتبط با اقدامات تجاری و لزوم رعایت ملاحظات محیط‌زیستی، تمایلی به استناد و اعمال اصول حقوقمحیط‌زیست (مانند اصل احتیاط) برای توجیه اقدامات مغایر با تعهدات تجاری نداشته، مگر آنکه صراحتاً در موافقتنامه مربوطه ذکر شدهباشد.</w:t>
      </w:r>
      <w:r>
        <w:rPr>
          <w:rStyle w:val="FootnoteReference"/>
          <w:rtl w:val="1"/>
        </w:rPr>
        <w:footnoteReference w:id="309"/>
      </w:r>
      <w:r>
        <w:rPr>
          <w:rFonts w:ascii="Times New Roman" w:hAnsi="Times New Roman" w:cs="B Nazanin"/>
          <w:sz w:val="22"/>
          <w:szCs w:val="28"/>
          <w:rtl w:val="1"/>
        </w:rPr>
        <w:t xml:space="preserve"> این گزاره مبین خلاء تفسیری و فقدان جایگاه هنجاریِ اصول محیط‌زیستی در حل‌وفصل اختلافات نزد سازمان جهانی تجارت و موقعیت ثانوی و تبعی حقوق محیطزیست در برابر حقوق تجارت میباشد.</w:t>
      </w:r>
    </w:p>
    <w:p>
      <w:pPr>
        <w:bidi w:val="1"/>
        <w:spacing w:line="312" w:lineRule="auto" w:before="0" w:after="120"/>
        <w:ind w:firstLine="454"/>
        <w:jc w:val="both"/>
      </w:pPr>
      <w:r>
        <w:rPr>
          <w:rFonts w:ascii="Times New Roman" w:hAnsi="Times New Roman" w:cs="B Nazanin"/>
          <w:sz w:val="22"/>
          <w:szCs w:val="28"/>
          <w:rtl w:val="1"/>
        </w:rPr>
        <w:t>گزارش به مفهوم حمایت متقابل/ هم افزایی</w:t>
      </w:r>
      <w:r>
        <w:rPr>
          <w:rStyle w:val="FootnoteReference"/>
          <w:rtl w:val="1"/>
        </w:rPr>
        <w:footnoteReference w:id="310"/>
      </w:r>
      <w:r>
        <w:rPr>
          <w:rFonts w:ascii="Times New Roman" w:hAnsi="Times New Roman" w:cs="B Nazanin"/>
          <w:sz w:val="22"/>
          <w:szCs w:val="28"/>
          <w:rtl w:val="1"/>
        </w:rPr>
        <w:t xml:space="preserve"> تجارت و محیطزیست اشاره میکند.</w:t>
      </w:r>
      <w:r>
        <w:rPr>
          <w:rStyle w:val="FootnoteReference"/>
          <w:rtl w:val="1"/>
        </w:rPr>
        <w:footnoteReference w:id="311"/>
      </w:r>
      <w:r>
        <w:rPr>
          <w:rFonts w:ascii="Times New Roman" w:hAnsi="Times New Roman" w:cs="B Nazanin"/>
          <w:sz w:val="22"/>
          <w:szCs w:val="28"/>
          <w:rtl w:val="1"/>
        </w:rPr>
        <w:t xml:space="preserve"> این مفهوم در تئوری بیانگر همکاری و تقویت متقابل دو حوزه است. این امر در معاهدات محیطزیستی که رویکرد تجاری دارند، مثل کنوانسیون میناماتا در خصوص جیوه</w:t>
      </w:r>
      <w:r>
        <w:rPr>
          <w:rStyle w:val="FootnoteReference"/>
          <w:rtl w:val="1"/>
        </w:rPr>
        <w:footnoteReference w:id="312"/>
      </w:r>
      <w:r>
        <w:rPr>
          <w:rFonts w:ascii="Times New Roman" w:hAnsi="Times New Roman" w:cs="B Nazanin"/>
          <w:sz w:val="22"/>
          <w:szCs w:val="28"/>
          <w:rtl w:val="1"/>
        </w:rPr>
        <w:t xml:space="preserve"> منعکس شده است . بهعبارتی معاهدات محیطزیستی، تعهدات تجاری را به رسمیت می‌شناسند و سعی در هماهنگی با آنها دارند، اما این رابطه متقابل نیست. در چارچوب دور دوحه سازمان جهانی تجارت که در سال ۲۰۰۱ آغاز شد، یک جلسه ویژه از کمیته تجارت و محیط‌زیست مأموریت یافت تا درباره «رابطه میان قواعد موجود سازمان جهانی تجارت و تعهدات تجاری خاص مقرر شده در موافقت‌نامه‌های چندجانبه محیط‌زیستی» مذاکره کند. مقرر بود مذاکرات دور دوحه «با هدف افزایش حمایت متقابل/هم‌افزایی تجارت و محیط‌زیست» انجام شود. </w:t>
      </w:r>
      <w:r>
        <w:rPr>
          <w:rStyle w:val="FootnoteReference"/>
          <w:rtl w:val="1"/>
        </w:rPr>
        <w:footnoteReference w:id="313"/>
      </w:r>
      <w:r>
        <w:rPr>
          <w:rFonts w:ascii="Times New Roman" w:hAnsi="Times New Roman" w:cs="B Nazanin"/>
          <w:sz w:val="22"/>
          <w:szCs w:val="28"/>
          <w:rtl w:val="1"/>
        </w:rPr>
        <w:t>مذاکره در این خصوص با بنبست مواجه شد. در نتیجه، ناتوانی در تدوین قواعد شفاف برای حمایت متقابل/ همافزایی و اجرای آن، باعث واگرایی و دور شدن حقوق تجارت و حقوق محیط‌زیست میگردد و عملاً به معنای حاکمیت قواعد تجاری بر ملاحظات محیطزیستی در موارد سکوت یا ابهام است.از اینرو، مجموعه منسجمی از  اصول حقوق محیط‌زیست نه تنها می‌توانند، بلکه ضرورتاً باید برای حل تعارضات و ایجاد هماهنگی بین نظام‌های حقوق تجارت و محیط زیست به کار گرفته شوند. این اصول به عنوان ابزاری برای تفسیر قواعد و پرکردن خلأهای هنجاری عمل می‌کنند.بهعبارتی،«اصول محیطزیستی می‌توانند در آشتی دادن حقوقبین‌الملل با حقوق تجارت، و ایجاد تعادل بین تجارت با منافع محیطزیستی نقش ایفا کنند.»</w:t>
      </w:r>
      <w:r>
        <w:rPr>
          <w:rStyle w:val="FootnoteReference"/>
          <w:rtl w:val="1"/>
        </w:rPr>
        <w:footnoteReference w:id="314"/>
      </w:r>
      <w:r>
        <w:rPr>
          <w:rFonts w:ascii="Times New Roman" w:hAnsi="Times New Roman" w:cs="B Nazanin"/>
          <w:sz w:val="22"/>
          <w:szCs w:val="28"/>
          <w:rtl w:val="1"/>
        </w:rPr>
        <w:t xml:space="preserve"> </w:t>
      </w:r>
    </w:p>
    <w:p>
      <w:pPr>
        <w:pStyle w:val="Heading3"/>
        <w:bidi w:val="1"/>
        <w:spacing w:line="312" w:lineRule="auto" w:before="200" w:after="120"/>
        <w:jc w:val="right"/>
      </w:pPr>
      <w:r>
        <w:rPr>
          <w:rFonts w:ascii="Times New Roman" w:hAnsi="Times New Roman" w:cs="B Nazanin"/>
          <w:sz w:val="24"/>
          <w:szCs w:val="24"/>
          <w:rtl w:val="1"/>
          <w:b/>
          <w:bCs/>
          <w:color w:val="000000"/>
        </w:rPr>
        <w:t>۳-۱-۵-۲ اسناد سرمایه گذاری</w:t>
      </w:r>
    </w:p>
    <w:p>
      <w:pPr>
        <w:bidi w:val="1"/>
        <w:spacing w:line="312" w:lineRule="auto" w:before="0" w:after="120"/>
        <w:ind w:firstLine="454"/>
        <w:jc w:val="both"/>
      </w:pPr>
      <w:r>
        <w:rPr>
          <w:rFonts w:ascii="Times New Roman" w:hAnsi="Times New Roman" w:cs="B Nazanin"/>
          <w:sz w:val="22"/>
          <w:szCs w:val="28"/>
          <w:rtl w:val="1"/>
        </w:rPr>
        <w:t>گزارش دبیرکل در بند 72 تصویری از جایگاه ملاحظات محیطزیستی در موافقتنامههای سرمایه‌گذاری بین‌المللی ترسیم می‌کند. این تصویر حاکی از تعاملی پیچیده و در حال تحول، هنوز ناکافی، میان دو رژیم حقوقی بین‌المللی حقوق سرمایه‌گذاری و حقوق محیطزیست است. نخست، گزارش به دوگانگی چندجانبه‌گرایی و دوجانبه‌گرایی میپردازد. «وجود بندهای مربوط به محیطزیست در موافقتنامههای سرمایه‌گذاری دوجانبه نادرند، در حالی که این بندها در موافقتنامههای چندجانبه سرمایه‌گذاری، رایج‌ترند.»</w:t>
      </w:r>
      <w:r>
        <w:rPr>
          <w:rStyle w:val="FootnoteReference"/>
          <w:rtl w:val="1"/>
        </w:rPr>
        <w:footnoteReference w:id="315"/>
      </w:r>
      <w:r>
        <w:rPr>
          <w:rFonts w:ascii="Times New Roman" w:hAnsi="Times New Roman" w:cs="B Nazanin"/>
          <w:sz w:val="22"/>
          <w:szCs w:val="28"/>
          <w:rtl w:val="1"/>
        </w:rPr>
        <w:t>گزارش تفاوت مهمی بین موافقتنامههای چندجانبه و دوجانبه قائل می‌شود. این امر نشان‌دهنده آن است که رویکردهای جمعی و چندذینفعی بهتر می‌توانند ملاحظات عمومی جهانی مانند محیطزیست را ادغام کنند.</w:t>
      </w:r>
      <w:r>
        <w:rPr>
          <w:rStyle w:val="FootnoteReference"/>
          <w:rtl w:val="1"/>
        </w:rPr>
        <w:footnoteReference w:id="316"/>
      </w:r>
      <w:r>
        <w:rPr>
          <w:rFonts w:ascii="Times New Roman" w:hAnsi="Times New Roman" w:cs="B Nazanin"/>
          <w:sz w:val="22"/>
          <w:szCs w:val="28"/>
          <w:rtl w:val="1"/>
        </w:rPr>
        <w:t xml:space="preserve"> در مقابل، معاهدات دوجانبه سرمایه‌گذاری، بیشتر منعکس‌کننده رابطه قدرت و اولویت‌های تجاری خاص بین دو کشور هستند و محیطزیست اغلب در حاشیه قرار می‌گیرد.</w:t>
      </w:r>
    </w:p>
    <w:p>
      <w:pPr>
        <w:bidi w:val="1"/>
        <w:spacing w:line="312" w:lineRule="auto" w:before="0" w:after="120"/>
        <w:ind w:firstLine="454"/>
        <w:jc w:val="both"/>
      </w:pPr>
      <w:r>
        <w:rPr>
          <w:rFonts w:ascii="Times New Roman" w:hAnsi="Times New Roman" w:cs="B Nazanin"/>
          <w:sz w:val="22"/>
          <w:szCs w:val="28"/>
          <w:rtl w:val="1"/>
        </w:rPr>
        <w:t>گزارش دبیرکل سه دسته‌بندی مهم از رفتار دولتها را شناسایی می‌کند. بسیاری از کشورها بندهای محیطزیستی را در موافقتنامههای سرمایه‌گذاری خود قرار نمی‌دهند، در حالی که چند کشور توسعه‌یافته معدود به‌طور سیستماتیک این بندها را در تمامی موافقتنامههای سرمایه‌گذاری خود گنجانده‌اند. همچنین، برخی کشورها اجازه می‌دهند که بندهای محیطزیستی در موافقتنامههای سرمایه‌گذاری با کشورهایی که تمایل به گنجاندن آن‌ها دارند، لحاظ شود. در بدو امر شاهد فقدان یک استاندارد حداقلی جهانی که الزام به درج شروط محیط‌زیستی را در کلیه موافقتنامه‌های سرمایه‌گذاری مقرر کند، و فقدان چارچوبی هماهنگ برای محتوای این شروط هستیم. این امر باعث ناهمگونی شدید در دامنه تعهدات محیط‌زیستی در موافقتنامههای مختلف شده است. «همان‌گونه که کنفرانس تجارت و توسعه سازمانمللمتحد (آنکتاد) اذعان کردهاست، چارچوب کنونی سرمایه‌گذاری بین‌المللی متشکل از رژیمی پراکنده و گسترده با بیش از ۲۶۰۰ معاهده است که اکثر آنها بیش از سه دهه پیش و با کمترین توجه به حفاظت از محیطزیست مذاکره شده‌اند. درحالی که موافقت‌نامه‌های جدیدتر پس از سال ۲۰۱۰ بهبودی نسبی نشان داده‌اند، با این حال هم موافقت‌نامه‌های سرمایه‌گذاری بین‌المللی قدیمی و هم جدیدترین آنها همچنان فاقد مقررات هدفمندی برای حفاظت از محیطزیست و اقداماقلیمی هستند.»</w:t>
      </w:r>
      <w:r>
        <w:rPr>
          <w:rStyle w:val="FootnoteReference"/>
          <w:rtl w:val="1"/>
        </w:rPr>
        <w:footnoteReference w:id="317"/>
      </w:r>
    </w:p>
    <w:p>
      <w:pPr>
        <w:bidi w:val="1"/>
        <w:spacing w:line="312" w:lineRule="auto" w:before="0" w:after="120"/>
        <w:ind w:firstLine="454"/>
        <w:jc w:val="both"/>
      </w:pPr>
      <w:r>
        <w:rPr>
          <w:rFonts w:ascii="Times New Roman" w:hAnsi="Times New Roman" w:cs="B Nazanin"/>
          <w:sz w:val="22"/>
          <w:szCs w:val="28"/>
          <w:rtl w:val="1"/>
        </w:rPr>
        <w:t>با تبدیل شدن توسعه پایدار به یک ضرورت جهانی، آفریقا نیز رویه و دستور کار خود را بر آن قرار داد. مروری بر روندهای اخیر نشان می‌دهد که کشورهای آفریقایی توافق‌نامه‌های سرمایه‌گذاری بین‌المللی را بهعنوان ابزارهای مهمی برای توسعهپایدار پذیرفته‌اند .از این امر بهعنوان «آفریقایی‌سازی» حقوق سرمایه‌گذاری بین‌المللی یاد می‌شود، جایی که کشورهای آفریقایی با درج تعهدات محیطزیستی مستقیم برای سرمایه‌گذاران، پیشگام اصلاحات هستند.</w:t>
      </w:r>
      <w:r>
        <w:rPr>
          <w:rStyle w:val="FootnoteReference"/>
          <w:rtl w:val="1"/>
        </w:rPr>
        <w:footnoteReference w:id="318"/>
      </w:r>
      <w:r>
        <w:rPr>
          <w:rFonts w:ascii="Times New Roman" w:hAnsi="Times New Roman" w:cs="B Nazanin"/>
          <w:sz w:val="22"/>
          <w:szCs w:val="28"/>
          <w:rtl w:val="1"/>
        </w:rPr>
        <w:t xml:space="preserve"> از اینرو گزارش دبیرکل به پارادوکس رویه آفریقا در مقابل روند جهانی اشاره میکند، به گونهای که موافقتنامههای جدید سرمایه‌گذاری به‌ویژه در منطقه آفریقا به طور فزاینده‌ای شامل بندهای محیطزیستی هستند اما از منظر جهانی، در سال‌های اخیر فراوانی رویکردهایی که به مسائل محیطزیستی در موافقتنامههای سرمایه‌گذاری اشاره می‌کنند، کاهش یافته است.</w:t>
      </w:r>
      <w:r>
        <w:rPr>
          <w:rStyle w:val="FootnoteReference"/>
          <w:rtl w:val="1"/>
        </w:rPr>
        <w:footnoteReference w:id="319"/>
      </w:r>
      <w:r>
        <w:rPr>
          <w:rFonts w:ascii="Times New Roman" w:hAnsi="Times New Roman" w:cs="B Nazanin"/>
          <w:sz w:val="22"/>
          <w:szCs w:val="28"/>
          <w:rtl w:val="1"/>
        </w:rPr>
        <w:t xml:space="preserve"> کاهش استفاده از بندهای محیطزیستی در توافقات جدید می‌تواند به فقدان اراده سیاسی برای مقابله با چالش‌های محیطزیستی جهانی و عدم تمایل به تغییرات ساختاری در نظام‌ حقوقی سرمایه‌گذاری اشاره داشته باشد. </w:t>
      </w:r>
    </w:p>
    <w:p>
      <w:pPr>
        <w:bidi w:val="1"/>
        <w:spacing w:line="312" w:lineRule="auto" w:before="0" w:after="120"/>
        <w:ind w:firstLine="454"/>
        <w:jc w:val="both"/>
      </w:pPr>
      <w:r>
        <w:rPr>
          <w:rFonts w:ascii="Times New Roman" w:hAnsi="Times New Roman" w:cs="B Nazanin"/>
          <w:sz w:val="22"/>
          <w:szCs w:val="28"/>
          <w:rtl w:val="1"/>
        </w:rPr>
        <w:t>گزارش اذعان دارد که «خلاء‌های هنجاری به این دلیل به وجود می‌آیند که نگرانی‌های محیطزیستی خاصی که به صراحت در این موافقت‌نامه‌ها به آنها اشاره شده است، محدود هستند و عموماً شامل نگرانی‌های جدیدتری مانند تغییرات اقلیمی و تنوع زیستی نشده‌اند.»،</w:t>
      </w:r>
      <w:r>
        <w:rPr>
          <w:rStyle w:val="FootnoteReference"/>
          <w:rtl w:val="1"/>
        </w:rPr>
        <w:footnoteReference w:id="320"/>
      </w:r>
      <w:r>
        <w:rPr>
          <w:rFonts w:ascii="Times New Roman" w:hAnsi="Times New Roman" w:cs="B Nazanin"/>
          <w:sz w:val="22"/>
          <w:szCs w:val="28"/>
          <w:rtl w:val="1"/>
        </w:rPr>
        <w:t xml:space="preserve"> این گزاره مبین دو نکته است. اول، محدود بودن دامنه مسائل محیطزیستی مورد اشاره در موافقتنامههای سرمایهگذاری که حاکی از  تمرکز سنتی موافقتنامهها بر مسائل کلی و کلاسیک محیط‌زیستی بدون تصریح به چالشهای نوظهور میباشد. این امر، خلاء تفسیری جدی ایجاد می‌کند که آیا موضوعات کلی محیطزیستی، می‌توانند اقدامات ضروری دولت‌ها را در برابر چالشهای نوظهور پوشش دهند؟ عدم تصریح، فضای مانور وسیعی برای داوری‌های سرمایه‌گذاری باقی می‌گذارد و ممکن است مشروعیت و قابلیت پیش‌بینی اقدامات محیطزیستی پراهمیت را تضعیف کند. دوم، ایستایی و کندی نظام موافقتنامههای سرمایه‌گذاری در برابر تحولات حقوق بین‌الملل محیط‌زیست است. در حالی که اسناد بین‌المللی محیطزیستی بهسرعت در حال توسعه و عینی‌تر شدن تعهدات هستند، نظام موافقتنامههای سرمایه‌گذاری به دلیل ماهیت ذاتاً دوجانبهاش، در انعکاس هنجارهای نوین، کند عمل می‌کند. این خلاء را اگر بتوان خلاء تکاملی و یا تاخیر هنجاری نامید، باعث می‌شود چارچوب حاکم بر سرمایه‌گذاری، از تحولات حقوق بین‌الملل محیطزیست عقب بماند و فاصله میان نظام حقوقی سرمایهگذاری و ضرورتهای محیطزیستی افزایش یابد.</w:t>
      </w:r>
    </w:p>
    <w:p>
      <w:pPr>
        <w:bidi w:val="1"/>
        <w:spacing w:line="312" w:lineRule="auto" w:before="0" w:after="120"/>
        <w:ind w:firstLine="454"/>
        <w:jc w:val="both"/>
      </w:pPr>
      <w:r>
        <w:rPr>
          <w:rFonts w:ascii="Times New Roman" w:hAnsi="Times New Roman" w:cs="B Nazanin"/>
          <w:sz w:val="22"/>
          <w:szCs w:val="28"/>
          <w:rtl w:val="1"/>
        </w:rPr>
        <w:t>در مقام ارزیابی میتوان اظهار نمود که اگرچه گفتمان ادغام محیطزیست در موافقتنامههای سرمایه‌گذاری در حال پیشروی است، بهویژه در سطح منطقه‌ای و در رویه برخی کشورهای توسعه‌یافته، اما این روند با فوریت چالش‌های محیطزیستی جهانی همگام نیست. لذا گنجاندن شروط محیط‌زیستی صریح، پویا و هماهنگ در کلیه موافقتنامه‌ها و تضمین همسویی این شروط و تفسیر آنها با تعهدات محیط‌زیستی دولتها ضرورتی برای مشروعیت‌بخشی به رژیم حقوقی سرمایه‌گذاری بینالمللی ارزیابی میگردد. از سوی دیگر، تدوین مجموعه‌ای منسجم از اصول بنیادین حقوق بین‌الملل محیط زیست می‌تواند مبنایی برای تفسیر نظاممند و هماهنگ تعهدات محیط‌زیستی در داوری‌های سرمایه‌گذاری فراهم آورد. افزون براین، برخی از اصول می‌توانند پویایی لازم را به نظام سرمایه‌گذاری ببخشند و تضمین کنند که موافقت‌نامه‌ها با تحولات سریع حقوق محیط‌زیست همگام شوند.</w:t>
      </w:r>
    </w:p>
    <w:p>
      <w:pPr>
        <w:pStyle w:val="Heading3"/>
        <w:bidi w:val="1"/>
        <w:spacing w:line="312" w:lineRule="auto" w:before="200" w:after="120"/>
        <w:jc w:val="right"/>
      </w:pPr>
      <w:r>
        <w:rPr>
          <w:rFonts w:ascii="Times New Roman" w:hAnsi="Times New Roman" w:cs="B Nazanin"/>
          <w:sz w:val="24"/>
          <w:szCs w:val="24"/>
          <w:rtl w:val="1"/>
          <w:b/>
          <w:bCs/>
          <w:color w:val="000000"/>
        </w:rPr>
        <w:t>۳-۱-۵-۳ اسناد مالکیت فکری</w:t>
      </w:r>
    </w:p>
    <w:p>
      <w:pPr>
        <w:bidi w:val="1"/>
        <w:spacing w:line="312" w:lineRule="auto" w:before="0" w:after="120"/>
        <w:ind w:firstLine="454"/>
        <w:jc w:val="both"/>
      </w:pPr>
      <w:r>
        <w:rPr>
          <w:rFonts w:ascii="Times New Roman" w:hAnsi="Times New Roman" w:cs="B Nazanin"/>
          <w:sz w:val="22"/>
          <w:szCs w:val="28"/>
          <w:rtl w:val="1"/>
        </w:rPr>
        <w:t>بر اساس بند ۷۳ گزارش، حقوق مالکیتفکری اگرچه می‌تواند مشوق توسعه فناوری‌های محیطزیستی مانند انرژی‌های تجدیدپذیر و محصولات مقاوم به تغییرات اقلیم باشند، اما در عمل گسست‌های معناداری با اهداف و هنجارهای محیط‌زیستی دارد. رابطه میان حقوق مالکیتفکری و حقوق بین‌الملل محیط‌زیست بهعنوان دو شاخه به ظاهر متمایز، امروزه در نقطه‌ای حساس از تلاقی منافع اقتصادی، نوآوری فناورانه و ضرورت‌های اکولوژیک قرار گرفته‌اند. بهگونهای که حقوق مالکیتفکری، با بنیان‌گذاری بر اصول انحصارگرایی و پاداش به نوآوری فردی، به دنبال پیشرفت علمی و فناوری از طریق تضمین حقوق مادی و معنوی برای پدیدآورندگان و مخترعان و مشوق خصوصی‌سازی دانش است. در سوی دیگر، حقوق بین‌الملل محیط‌زیست، با اتکا بر اصول خود در پی حفاظت از محیطزیست در سطح محلی، منطقه‌ای و جهانی برای نسل‌های حاضر و آینده است و دغدغههای تنوعزیستی همچون دسترسی عادلانه به منابع ژنتیکی، حفاظت از دانش سنتی جوامع محلی و بومی، اشتراک منافع حاصل از بهره‌برداری از این منابع، و تضمین انتقال فناوری‌های سازگار با محیط زیست را دارد.</w:t>
      </w:r>
    </w:p>
    <w:p>
      <w:pPr>
        <w:bidi w:val="1"/>
        <w:spacing w:line="312" w:lineRule="auto" w:before="0" w:after="120"/>
        <w:ind w:firstLine="454"/>
        <w:jc w:val="both"/>
      </w:pPr>
      <w:r>
        <w:rPr>
          <w:rFonts w:ascii="Times New Roman" w:hAnsi="Times New Roman" w:cs="B Nazanin"/>
          <w:sz w:val="22"/>
          <w:szCs w:val="28"/>
          <w:rtl w:val="1"/>
        </w:rPr>
        <w:t>به‌طور مشخص، منطق انحصارسازی و خصوصی‌سازی اطلاعات ژنتیکی حاکم بر اسناد حقوق مالکیتفکری از جمله موافقتنامه جنبههای تجاری حقوق مالکیتفکری (تریپس)</w:t>
      </w:r>
      <w:r>
        <w:rPr>
          <w:rStyle w:val="FootnoteReference"/>
          <w:rtl w:val="1"/>
        </w:rPr>
        <w:footnoteReference w:id="321"/>
      </w:r>
      <w:r>
        <w:rPr>
          <w:rFonts w:ascii="Times New Roman" w:hAnsi="Times New Roman" w:cs="B Nazanin"/>
          <w:sz w:val="22"/>
          <w:szCs w:val="28"/>
          <w:rtl w:val="1"/>
        </w:rPr>
        <w:t xml:space="preserve"> و نظام ثبت اختراع، با روح دسترسی عادلانه و اشتراک منافع مندرج در کنوانسیون تنوعزیستی</w:t>
      </w:r>
      <w:r>
        <w:rPr>
          <w:rStyle w:val="FootnoteReference"/>
          <w:rtl w:val="1"/>
        </w:rPr>
        <w:footnoteReference w:id="322"/>
      </w:r>
      <w:r>
        <w:rPr>
          <w:rFonts w:ascii="Times New Roman" w:hAnsi="Times New Roman" w:cs="B Nazanin"/>
          <w:sz w:val="22"/>
          <w:szCs w:val="28"/>
          <w:rtl w:val="1"/>
        </w:rPr>
        <w:t xml:space="preserve"> و پروتکل ناگویا در خصوص «دسترسي به منابع ژنتیکي و تسهیم عادلانه و منصفانه منافع حاصل از استفاده آنها»</w:t>
      </w:r>
      <w:r>
        <w:rPr>
          <w:rStyle w:val="FootnoteReference"/>
          <w:rtl w:val="1"/>
        </w:rPr>
        <w:footnoteReference w:id="323"/>
      </w:r>
      <w:r>
        <w:rPr>
          <w:rFonts w:ascii="Times New Roman" w:hAnsi="Times New Roman" w:cs="B Nazanin"/>
          <w:sz w:val="22"/>
          <w:szCs w:val="28"/>
          <w:rtl w:val="1"/>
        </w:rPr>
        <w:t xml:space="preserve"> در تناقض است. دلیل اصلی شکلگیری این تناقض وقوع خطای هستی‌شناختی بنیادین در نحوه درک منابع ژنتیکی به عنوان کالای ملموس حتی با وجود اذعان به ماهیت مبتنی بر اطلاعات آنها است.</w:t>
      </w:r>
      <w:r>
        <w:rPr>
          <w:rStyle w:val="FootnoteReference"/>
          <w:rtl w:val="1"/>
        </w:rPr>
        <w:footnoteReference w:id="324"/>
      </w:r>
      <w:r>
        <w:rPr>
          <w:rFonts w:ascii="Times New Roman" w:hAnsi="Times New Roman" w:cs="B Nazanin"/>
          <w:sz w:val="22"/>
          <w:szCs w:val="28"/>
          <w:rtl w:val="1"/>
        </w:rPr>
        <w:t xml:space="preserve"> علاوه بر آن، فقدان چارچوب یکپارچه برای حفاظت از منابع ژنتیکی بهعنوان خلاء هنجاری و همینطور فقدان انسجام هنجاری از سایر دلایل این تناقض می باشد. نتیجه این تعارض نیز تضعیف کارآمدی هر دو نظام حقوقی است.</w:t>
      </w:r>
    </w:p>
    <w:p>
      <w:pPr>
        <w:bidi w:val="1"/>
        <w:spacing w:line="312" w:lineRule="auto" w:before="0" w:after="120"/>
        <w:ind w:firstLine="454"/>
        <w:jc w:val="both"/>
      </w:pPr>
      <w:r>
        <w:rPr>
          <w:rFonts w:ascii="Times New Roman" w:hAnsi="Times New Roman" w:cs="B Nazanin"/>
          <w:sz w:val="22"/>
          <w:szCs w:val="28"/>
          <w:rtl w:val="1"/>
        </w:rPr>
        <w:t>تمرکز بخش پایانی این بند بر فقدان قواعد الزام‌آور برای افشاء منشأ منابع ژنتیکی و دانش سنتی در فرایندهای ثبت اختراع، نشان‌دهنده آن است که چارچوب‌های فعلی نتوانسته‌اند میان انگیزه‌های نوآورانه خصوصی و الزامات عدالت محیطزیستی و حفاظت از حقوق جوامع محلی و بومی، تعادل ایجاد کنند. لذا، تدوین چارچوب‌های هنجاری مشترک، که بتواند بین اهداف نوآوری فناورانه و ضرورت‌های حفاظت از محیط زیست از جمله حفاظت از تنوع زیستی و حقوق جوامع بومی و محلی و دسترسی عادلانه و تسهیم منافع به منظور حصول تعادلی پایدار ضروری مینماید.</w:t>
      </w:r>
    </w:p>
    <w:p>
      <w:pPr>
        <w:bidi w:val="1"/>
        <w:spacing w:line="312" w:lineRule="auto" w:before="0" w:after="120"/>
        <w:ind w:firstLine="454"/>
        <w:jc w:val="both"/>
      </w:pPr>
      <w:r>
        <w:rPr>
          <w:rFonts w:ascii="Times New Roman" w:hAnsi="Times New Roman" w:cs="B Nazanin"/>
          <w:sz w:val="22"/>
          <w:szCs w:val="28"/>
          <w:rtl w:val="1"/>
        </w:rPr>
        <w:t>بررسی تقابل بنیادین میان نظام حقوق مالکیت فکری و نظام حقوق بین‌الملل محیط زیست نشان می‌دهد که این دو رژیم حقوقی دچار گسست هنجاری عمیقی شده‌اند. این گسست، کارآمدی هر دو نظام را تضعیف کرده و زمینه‌ساز پدیده‌هایی هم چون سرقت علمی از منابع ژنتیکی و دانش سنتی گردیده است. معاهده وایپو مصوب 2024 در خصوص مالکیت فکری، منابع ژنتیکی و دانش سنتی مرتبط، نخستین سند الزام‌آوری است که به «خلأ هنجاری» افشای منشأ منابع ژنتیکی در فرایند ثبت اختراع پاسخ می‌دهد.</w:t>
      </w:r>
      <w:r>
        <w:rPr>
          <w:rStyle w:val="FootnoteReference"/>
          <w:rtl w:val="1"/>
        </w:rPr>
        <w:footnoteReference w:id="325"/>
      </w:r>
      <w:r>
        <w:rPr>
          <w:rFonts w:ascii="Times New Roman" w:hAnsi="Times New Roman" w:cs="B Nazanin"/>
          <w:sz w:val="22"/>
          <w:szCs w:val="28"/>
          <w:rtl w:val="1"/>
        </w:rPr>
        <w:t xml:space="preserve"> این معاهده که حاصل ۲۵ سال مذاکره است، با ایجاد «الزام به افشا» (ماده ۳) و شناسایی حقوق مردمان بومی، گامی عملی در جهت ایجاد «انسجام هنجاری» میان نظام حقوق مالکیت فکری و حقوق بین‌الملل محیط زیست محسوب می‌شود. از سوی دیگر، تدوین مجموعه‌ای جامع از اصول حقوق بین‌الملل محیطزیست ضرورتی انکارناپذیر برای حل پایدار تعارضات هنجاری میان این دو نظام حقوقی ارزیابی می شود. </w:t>
      </w:r>
    </w:p>
    <w:p>
      <w:pPr>
        <w:pStyle w:val="Heading3"/>
        <w:bidi w:val="1"/>
        <w:spacing w:line="312" w:lineRule="auto" w:before="200" w:after="120"/>
        <w:jc w:val="right"/>
      </w:pPr>
      <w:r>
        <w:rPr>
          <w:rFonts w:ascii="Times New Roman" w:hAnsi="Times New Roman" w:cs="B Nazanin"/>
          <w:sz w:val="24"/>
          <w:szCs w:val="24"/>
          <w:rtl w:val="1"/>
          <w:b/>
          <w:bCs/>
          <w:color w:val="000000"/>
        </w:rPr>
        <w:t>۳-۱-۵-۴ اسناد حقوقبشر</w:t>
      </w:r>
    </w:p>
    <w:p>
      <w:pPr>
        <w:bidi w:val="1"/>
        <w:spacing w:line="312" w:lineRule="auto" w:before="0" w:after="120"/>
        <w:ind w:firstLine="454"/>
        <w:jc w:val="both"/>
      </w:pPr>
      <w:r>
        <w:rPr>
          <w:rFonts w:ascii="Times New Roman" w:hAnsi="Times New Roman" w:cs="B Nazanin"/>
          <w:sz w:val="22"/>
          <w:szCs w:val="28"/>
          <w:rtl w:val="1"/>
        </w:rPr>
        <w:t>بند ۷۴ گزارش دبیرکل، تخریب محیط‌زیست را به‌مثابه یک مانع در مسیر تحقق حقوقبشر معرفی می‌کند. آلودگی هوا، تغییرات اقلیمی و نابودی اکوسیستم‌ها، صرفاً مشکلاتی فنی یا محیطزیستی نیستند، بلکه در بهرهمندی از برخی از حقوق نظیر حق دسترسی به مسکن، آب سالم، غذا، بهداشت و استانداردهای مناسب زندگی و ... اختلال ایجاد میکند.</w:t>
      </w:r>
      <w:r>
        <w:rPr>
          <w:rStyle w:val="FootnoteReference"/>
          <w:rtl w:val="1"/>
        </w:rPr>
        <w:footnoteReference w:id="326"/>
      </w:r>
      <w:r>
        <w:rPr>
          <w:rFonts w:ascii="Times New Roman" w:hAnsi="Times New Roman" w:cs="B Nazanin"/>
          <w:sz w:val="22"/>
          <w:szCs w:val="28"/>
          <w:rtl w:val="1"/>
        </w:rPr>
        <w:t xml:space="preserve"> در این چارچوب، تکلیف دولت‌ها، اتخاذ اقدامات پیشگیرانه در خصوص آسیب‌های قابل پیش‌بینی ناشی از وضعیت محیطزیست میباشد. درنتیجه، ما شاهد همگرایی اصولی میان دو حوزه به ظاهر مجزای حقوقبشر و حقوق محیط‌زیست، همچون اصل پاسخگویی، شفافیت، احتیاط و ...، هستیم. از آنجایی که اسناد حقوقبشری و حقوق محیطزیستی عمدتاً به صورت جداگانه و بدون هماهنگی توسعه یافته‌اند، گزارش به راههای پیوند حقوق محیط‌زیست و حقوقبشر اشاره میکند. </w:t>
      </w:r>
    </w:p>
    <w:p>
      <w:pPr>
        <w:bidi w:val="1"/>
        <w:spacing w:line="312" w:lineRule="auto" w:before="0" w:after="120"/>
        <w:ind w:firstLine="454"/>
        <w:jc w:val="both"/>
      </w:pPr>
      <w:r>
        <w:rPr>
          <w:rFonts w:ascii="Times New Roman" w:hAnsi="Times New Roman" w:cs="B Nazanin"/>
          <w:sz w:val="22"/>
          <w:szCs w:val="28"/>
          <w:rtl w:val="1"/>
        </w:rPr>
        <w:t>نخست، در خصوص تصریح به مسائل محیط‌زیستی در معاهدات حقوقبشری</w:t>
      </w:r>
      <w:r>
        <w:rPr>
          <w:rStyle w:val="FootnoteReference"/>
          <w:rtl w:val="1"/>
        </w:rPr>
        <w:footnoteReference w:id="327"/>
      </w:r>
      <w:r>
        <w:rPr>
          <w:rFonts w:ascii="Times New Roman" w:hAnsi="Times New Roman" w:cs="B Nazanin"/>
          <w:sz w:val="22"/>
          <w:szCs w:val="28"/>
          <w:rtl w:val="1"/>
        </w:rPr>
        <w:t xml:space="preserve"> میتوان به ماده 24 کنوانسیون حقوقکودک اشاره نمود که به آلودگی محیطزیست و بهداشت محیطی بهعنوان موضوعاتی اشاره میکند که باید برای تضمین حق بر سلامتی مورد توجه قرار گیرند. علاوهبرآن، ماده 29 نیز موضوع آموزش کودکان بهمنظور احترام به محیطزیست طبیعی را مطرح میسازد.</w:t>
      </w:r>
      <w:r>
        <w:rPr>
          <w:rStyle w:val="FootnoteReference"/>
          <w:rtl w:val="1"/>
        </w:rPr>
        <w:footnoteReference w:id="328"/>
      </w:r>
      <w:r>
        <w:rPr>
          <w:rFonts w:ascii="Times New Roman" w:hAnsi="Times New Roman" w:cs="B Nazanin"/>
          <w:sz w:val="22"/>
          <w:szCs w:val="28"/>
          <w:rtl w:val="1"/>
        </w:rPr>
        <w:t xml:space="preserve"> «در میان نه معاهده اصلی سازمان ملل متحد در زمینه حقوق بشر، تنها کنوانسیون حقوق کودک دارای مقرری اختصاصی است که به حمایت در برابر خطرات و مخاطرات آلودگی محیط‌زیست» و همچنین حق بر آموزشی که «معطوف به ... ایجاد احترام به محیط‌زیست طبیعی باشد، می‌پردازد.  میثاق بین‌المللی حقوق اقتصادی، اجتماعی و فرهنگی به‌طور غیرمستقیم به حفاظت از محیط‌زیست به عنوان یکی از گام‌های تدریجی اشاره می‌کند که دولت‌ها برای دستیابی به تحقق کامل حق بر سلامت باید بردارند. به این منظور، این میثاق بهبود همه جنبه‌های بهداشت محیطی و صنعتی را پیش‌بینی می‌کند. سایر معاهدات، از جمله میثاق بین‌المللی حقوق مدنی و سیاسی و کنوانسیون رفع هرگونه تبعیض علیه زنان، به مسائل محیط‌زیستی نمی‌پردازند.»</w:t>
      </w:r>
      <w:r>
        <w:rPr>
          <w:rStyle w:val="FootnoteReference"/>
          <w:rtl w:val="1"/>
        </w:rPr>
        <w:footnoteReference w:id="329"/>
      </w:r>
      <w:r>
        <w:rPr>
          <w:rFonts w:ascii="Times New Roman" w:hAnsi="Times New Roman" w:cs="B Nazanin"/>
          <w:sz w:val="22"/>
          <w:szCs w:val="28"/>
          <w:rtl w:val="1"/>
        </w:rPr>
        <w:t xml:space="preserve"> ناگفته نماند که مواد 24 و 29 کنوانسیون حقوق کودک برای زمان خود نوآوری هنجاری محسوب میشوند، که حفاظت از محیط‌زیست را بهعنوان بستر ضروری تحقق حقوقبشر به رسمیت شناختهاند و با گرهزدن محیط‌زیست به حقوقی که اجماع جهانی دارند مانند حق کودک بر سلامت و آموزش، مقاومت سیاسی دولتها را کاهش می‌دهد و راهی عملی برای ادغام ملاحظات محیطزیستی در حقوقبشر باز می‌کند.</w:t>
      </w:r>
    </w:p>
    <w:p>
      <w:pPr>
        <w:bidi w:val="1"/>
        <w:spacing w:line="312" w:lineRule="auto" w:before="0" w:after="120"/>
        <w:ind w:firstLine="454"/>
        <w:jc w:val="both"/>
      </w:pPr>
      <w:r>
        <w:rPr>
          <w:rFonts w:ascii="Times New Roman" w:hAnsi="Times New Roman" w:cs="B Nazanin"/>
          <w:sz w:val="22"/>
          <w:szCs w:val="28"/>
          <w:rtl w:val="1"/>
        </w:rPr>
        <w:t>دوم، به رسمیت شناختن حق برخورداری از محیطزیست سالم در برخی از اسناد حقوق بشری منطقهای</w:t>
      </w:r>
      <w:r>
        <w:rPr>
          <w:rStyle w:val="FootnoteReference"/>
          <w:rtl w:val="1"/>
        </w:rPr>
        <w:footnoteReference w:id="330"/>
      </w:r>
      <w:r>
        <w:rPr>
          <w:rFonts w:ascii="Times New Roman" w:hAnsi="Times New Roman" w:cs="B Nazanin"/>
          <w:sz w:val="22"/>
          <w:szCs w:val="28"/>
          <w:rtl w:val="1"/>
        </w:rPr>
        <w:t xml:space="preserve"> که امکان حصول اجماع سیاسی در آن بیشتر است، مانند منشور آفریقایی حقوق بشر و مردم</w:t>
      </w:r>
      <w:r>
        <w:rPr>
          <w:rStyle w:val="FootnoteReference"/>
          <w:rtl w:val="1"/>
        </w:rPr>
        <w:footnoteReference w:id="331"/>
      </w:r>
      <w:r>
        <w:rPr>
          <w:rFonts w:ascii="Times New Roman" w:hAnsi="Times New Roman" w:cs="B Nazanin"/>
          <w:sz w:val="22"/>
          <w:szCs w:val="28"/>
          <w:rtl w:val="1"/>
        </w:rPr>
        <w:t xml:space="preserve"> و دو سند آمریکای لاتین</w:t>
      </w:r>
      <w:r>
        <w:rPr>
          <w:rStyle w:val="FootnoteReference"/>
          <w:rtl w:val="1"/>
        </w:rPr>
        <w:footnoteReference w:id="332"/>
      </w:r>
      <w:r>
        <w:rPr>
          <w:rFonts w:ascii="Times New Roman" w:hAnsi="Times New Roman" w:cs="B Nazanin"/>
          <w:sz w:val="22"/>
          <w:szCs w:val="28"/>
          <w:rtl w:val="1"/>
        </w:rPr>
        <w:t>، رویکردی جسورانه‌ و تحول‌آفرین است که گامی فراتر از ادغام موضوعی و به سوی نهادینه‌سازی یک حق مستقل، چارچوب مفهومی منسجم‌تر و ادعای حقوقی قوی‌تری محسوب میشود. گرچه این امر با چالش فقدان تعریف واحد و تعیین حد و آستانه روبهرو است</w:t>
      </w:r>
      <w:r>
        <w:rPr>
          <w:rStyle w:val="FootnoteReference"/>
          <w:rtl w:val="1"/>
        </w:rPr>
        <w:footnoteReference w:id="333"/>
      </w:r>
      <w:r>
        <w:rPr>
          <w:rFonts w:ascii="Times New Roman" w:hAnsi="Times New Roman" w:cs="B Nazanin"/>
          <w:sz w:val="22"/>
          <w:szCs w:val="28"/>
          <w:rtl w:val="1"/>
        </w:rPr>
        <w:t xml:space="preserve"> که موضوع این نگاره نمی باشد. </w:t>
      </w:r>
    </w:p>
    <w:p>
      <w:pPr>
        <w:bidi w:val="1"/>
        <w:spacing w:line="312" w:lineRule="auto" w:before="0" w:after="120"/>
        <w:ind w:firstLine="454"/>
        <w:jc w:val="both"/>
      </w:pPr>
      <w:r>
        <w:rPr>
          <w:rFonts w:ascii="Times New Roman" w:hAnsi="Times New Roman" w:cs="B Nazanin"/>
          <w:sz w:val="22"/>
          <w:szCs w:val="28"/>
          <w:rtl w:val="1"/>
        </w:rPr>
        <w:t>سوم، استخراج برخی حقوق مرتبط با محیطزیست در زمان سکوت اسناد حقوقبشری و با اتکا به اقدامات ارکان معاهدهای و رویههای خاص حقوق بشری باعث ایجاد پویایی در توسعه حقوق گردیده است که ظرفیت نظام حقوق بشر را برای پاسخگویی به چالش‌های نوظهور محیطزیستی، که خود تهدیدی بنیادین برای کرامت انسانی هستند، به نمایش می‌گذارد. به عنوان مثال، میثاق بین‌المللی حقوق اقتصادی، اجتماعی و فرهنگی هیچ اشاره صریحی به حق بر آب و بهداشت ندارد. کمیته حقوق اقتصادی، اجتماعی و فرهنگی مستفاد از  مواد ۱۱ (حق بر استاندارد زندگی مناسب) و ۱۲ (حق بر سلامت) میثاق، مبادرت به صدور نظریه عمومی شماره ۱۵ (۲۰۰۲) راجع به حق بر آب و بهداشت نموده است.</w:t>
      </w:r>
      <w:r>
        <w:rPr>
          <w:rStyle w:val="FootnoteReference"/>
          <w:rtl w:val="1"/>
        </w:rPr>
        <w:footnoteReference w:id="334"/>
      </w:r>
      <w:r>
        <w:rPr>
          <w:rFonts w:ascii="Times New Roman" w:hAnsi="Times New Roman" w:cs="B Nazanin"/>
          <w:sz w:val="22"/>
          <w:szCs w:val="28"/>
          <w:rtl w:val="1"/>
        </w:rPr>
        <w:t xml:space="preserve"> شایان ذکر است، ارکان معاهدهای در بررسی گزارش‌های ادواری دولتها در قالب ملاحظات نهایی</w:t>
      </w:r>
      <w:r>
        <w:rPr>
          <w:rStyle w:val="FootnoteReference"/>
          <w:rtl w:val="1"/>
        </w:rPr>
        <w:footnoteReference w:id="335"/>
      </w:r>
      <w:r>
        <w:rPr>
          <w:rFonts w:ascii="Times New Roman" w:hAnsi="Times New Roman" w:cs="B Nazanin"/>
          <w:sz w:val="22"/>
          <w:szCs w:val="28"/>
          <w:rtl w:val="1"/>
        </w:rPr>
        <w:t xml:space="preserve"> با اشاره مستقیم به سیاست‌های محیطزیستی دولت، کاربرد عینی تعهدات حقوقبشری را در زمینه محیط‌زیست منعکس میکنند.</w:t>
      </w:r>
      <w:r>
        <w:rPr>
          <w:rStyle w:val="FootnoteReference"/>
          <w:rtl w:val="1"/>
        </w:rPr>
        <w:footnoteReference w:id="336"/>
      </w:r>
      <w:r>
        <w:rPr>
          <w:rFonts w:ascii="Times New Roman" w:hAnsi="Times New Roman" w:cs="B Nazanin"/>
          <w:sz w:val="22"/>
          <w:szCs w:val="28"/>
          <w:rtl w:val="1"/>
        </w:rPr>
        <w:t xml:space="preserve"> علاوهبراین، ما شاهد ایجاد پست گزارشگرهای ویژه نزد شورای حقوق بشر در مورد آب آشامیدنی سالم و بهداشت</w:t>
      </w:r>
      <w:r>
        <w:rPr>
          <w:rStyle w:val="FootnoteReference"/>
          <w:rtl w:val="1"/>
        </w:rPr>
        <w:footnoteReference w:id="337"/>
      </w:r>
      <w:r>
        <w:rPr>
          <w:rFonts w:ascii="Times New Roman" w:hAnsi="Times New Roman" w:cs="B Nazanin"/>
          <w:sz w:val="22"/>
          <w:szCs w:val="28"/>
          <w:rtl w:val="1"/>
        </w:rPr>
        <w:t xml:space="preserve"> در سال 2008،  محیط زیست پاک، سالم و پایدار </w:t>
      </w:r>
      <w:r>
        <w:rPr>
          <w:rStyle w:val="FootnoteReference"/>
          <w:rtl w:val="1"/>
        </w:rPr>
        <w:footnoteReference w:id="338"/>
      </w:r>
      <w:r>
        <w:rPr>
          <w:rFonts w:ascii="Times New Roman" w:hAnsi="Times New Roman" w:cs="B Nazanin"/>
          <w:sz w:val="22"/>
          <w:szCs w:val="28"/>
          <w:rtl w:val="1"/>
        </w:rPr>
        <w:t xml:space="preserve"> در سال 2012  و حمایت و حفاظت از محیطزیست در زمینه تغییراقلیم</w:t>
      </w:r>
      <w:r>
        <w:rPr>
          <w:rStyle w:val="FootnoteReference"/>
          <w:rtl w:val="1"/>
        </w:rPr>
        <w:footnoteReference w:id="339"/>
      </w:r>
      <w:r>
        <w:rPr>
          <w:rFonts w:ascii="Times New Roman" w:hAnsi="Times New Roman" w:cs="B Nazanin"/>
          <w:sz w:val="22"/>
          <w:szCs w:val="28"/>
          <w:rtl w:val="1"/>
        </w:rPr>
        <w:t xml:space="preserve"> در سال 2021، صدور بیانیهها و نظریههای عمومی توسط ارکان معاهدهای، انتشار گزارشها و صدور قطعنامههای سالانه حقوقبشری در شورای حقوقبشر و مجمععمومی سازمانمللمتحد هستیم.از این میان، مهمترین اقدام صورت گرفته، شناسایی حق برخورداری از محیطزیست پاک، سالم و پایدار بهعنوان یک حق بشری توسط شورای حقوق بشر در سال 2021</w:t>
      </w:r>
      <w:r>
        <w:rPr>
          <w:rStyle w:val="FootnoteReference"/>
          <w:rtl w:val="1"/>
        </w:rPr>
        <w:footnoteReference w:id="340"/>
      </w:r>
      <w:r>
        <w:rPr>
          <w:rFonts w:ascii="Times New Roman" w:hAnsi="Times New Roman" w:cs="B Nazanin"/>
          <w:sz w:val="22"/>
          <w:szCs w:val="28"/>
          <w:rtl w:val="1"/>
        </w:rPr>
        <w:t xml:space="preserve"> و مجمععمومی سازمانمللمتحد در سال 2022</w:t>
      </w:r>
      <w:r>
        <w:rPr>
          <w:rStyle w:val="FootnoteReference"/>
          <w:rtl w:val="1"/>
        </w:rPr>
        <w:footnoteReference w:id="341"/>
      </w:r>
      <w:r>
        <w:rPr>
          <w:rFonts w:ascii="Times New Roman" w:hAnsi="Times New Roman" w:cs="B Nazanin"/>
          <w:sz w:val="22"/>
          <w:szCs w:val="28"/>
          <w:rtl w:val="1"/>
        </w:rPr>
        <w:t xml:space="preserve"> میباشد. منطق اصلی در شناسایی این حق بر پایه سه محور کلیدی استوار است: پیش‌شرط اساسی برای احقاق سایر حقوق بشر ، پاسخ به بحران‌های محیطزیستی فزاینده و رفع خلاء موجود در ساختار هنجاری حقوقبشر. این اقدامات در چارچوب توسعه تدریجی حقوق بین‌الملل، نقاط پراکنده میان حقوق بشر و محیط‌زیست را به هم متصل کرده و تلاشی برای تلفیق نظاممند از طریق فعالیت‌های نهادی محسوب می‌شوند. این اقدامات ماهیتاً نشان‌دهنده آگاهی فزاینده از ضرورت ادغام ملاحظات حقوق بشری در حکمرانی محیطزیستی و ضرورت مقابله همه‌جانبه با بحرانهای محیطزیستی بودهاند.</w:t>
      </w:r>
    </w:p>
    <w:p>
      <w:pPr>
        <w:bidi w:val="1"/>
        <w:spacing w:line="312" w:lineRule="auto" w:before="0" w:after="120"/>
        <w:ind w:firstLine="454"/>
        <w:jc w:val="both"/>
      </w:pPr>
      <w:r>
        <w:rPr>
          <w:rFonts w:ascii="Times New Roman" w:hAnsi="Times New Roman" w:cs="B Nazanin"/>
          <w:sz w:val="22"/>
          <w:szCs w:val="28"/>
          <w:rtl w:val="1"/>
        </w:rPr>
        <w:t>چهارم، اشاره به نقش دادگاه‌های منطقه‌ای حقوق بشر به عنوان بازیگران توانمند در جریانسازی و اجرای عملی پیوند حقوق محیطزیست و حقوقبشر است. پارگراف 76 گزارش دبیرکل به نظر مشورتی پیشگامانه دادگاه بینآمریکایی حقوقبشر در سال ۲۰۱۷ مبنی بر تکلیف دولت‌ها برای جلوگیری از آسیب محیطزیستی قابلتوجه، حتی فراتر از مرزهای سرزمینی خود اشاره کرده است. این نظر مشورتی مبین تغییر پارادیم در حقوق بینالملل محیطزیست و نوآوری قضایی در سه حوزه شناسایی حق مستقل برخورداری از محیط‌زیست سالم، صلاحیت فراسرزمینی برای خسارت محیطزیستی فرامرزی و مسئولیت دولت در قبال خسارات ‌محیطزیستی در داخل و فراتر از مرزهای دولت است.</w:t>
      </w:r>
      <w:r>
        <w:rPr>
          <w:rStyle w:val="FootnoteReference"/>
          <w:rtl w:val="1"/>
        </w:rPr>
        <w:footnoteReference w:id="342"/>
      </w:r>
      <w:r>
        <w:rPr>
          <w:rFonts w:ascii="Times New Roman" w:hAnsi="Times New Roman" w:cs="B Nazanin"/>
          <w:sz w:val="22"/>
          <w:szCs w:val="28"/>
          <w:rtl w:val="1"/>
        </w:rPr>
        <w:t xml:space="preserve">  این امر نشان می‌دهد که مراجع قضایی می‌توانند خلاءهای موجود در اسناد جهانی را با ایجاد رویه‌قضایی پرکنند و قاعده‌ای را تثبیت نمایند که مسئولیت دولت‌ها در قبال آثار فرامرزی تخریب محیط‌زیست بر حقوق افراد را به رسمیت بشناسد. اما این رویکرد نظاممند و در میان محاکم قضایی یکسان نیست. بهعنوان مثال، دادگاه بین‌آمریکایی حقوق بشر در نظریه مشورتی 2025 برای نخستین بار در تاریخ حقوق بین‌الملل، تعهد به عدم وارد کردن خسارت جبران‌ناپذیر به اقلیم و محیط‌زیست را دارای ماهیت قاعده آمره</w:t>
      </w:r>
      <w:r>
        <w:rPr>
          <w:rStyle w:val="FootnoteReference"/>
          <w:rtl w:val="1"/>
        </w:rPr>
        <w:footnoteReference w:id="343"/>
      </w:r>
      <w:r>
        <w:rPr>
          <w:rFonts w:ascii="Times New Roman" w:hAnsi="Times New Roman" w:cs="B Nazanin"/>
          <w:sz w:val="22"/>
          <w:szCs w:val="28"/>
          <w:rtl w:val="1"/>
        </w:rPr>
        <w:t xml:space="preserve">  اعلام کرد.</w:t>
      </w:r>
      <w:r>
        <w:rPr>
          <w:rStyle w:val="FootnoteReference"/>
          <w:rtl w:val="1"/>
        </w:rPr>
        <w:footnoteReference w:id="344"/>
      </w:r>
      <w:r>
        <w:rPr>
          <w:rFonts w:ascii="Times New Roman" w:hAnsi="Times New Roman" w:cs="B Nazanin"/>
          <w:sz w:val="22"/>
          <w:szCs w:val="28"/>
          <w:rtl w:val="1"/>
        </w:rPr>
        <w:t xml:space="preserve"> این در حالی است که اندکی بعد دیوان بینالمللی دادگستری در نظریه مشورتی خود در خصوص تعهدات دولتها در رابطه با تغییر اقلیم اعلام نمود که «تعهدات مربوط به حفاظت از سیستم اقلیمی و سایر بخش‌های محیط‌زیست در برابر انتشار گازهای گلخانه‌ای انسانی، تعهدات عامالشمول</w:t>
      </w:r>
      <w:r>
        <w:rPr>
          <w:rStyle w:val="FootnoteReference"/>
          <w:rtl w:val="1"/>
        </w:rPr>
        <w:footnoteReference w:id="345"/>
      </w:r>
      <w:r>
        <w:rPr>
          <w:rFonts w:ascii="Times New Roman" w:hAnsi="Times New Roman" w:cs="B Nazanin"/>
          <w:sz w:val="22"/>
          <w:szCs w:val="28"/>
          <w:rtl w:val="1"/>
        </w:rPr>
        <w:t xml:space="preserve"> هستند.»</w:t>
      </w:r>
      <w:r>
        <w:rPr>
          <w:rStyle w:val="FootnoteReference"/>
          <w:rtl w:val="1"/>
        </w:rPr>
        <w:footnoteReference w:id="346"/>
      </w:r>
      <w:r>
        <w:rPr>
          <w:rFonts w:ascii="Times New Roman" w:hAnsi="Times New Roman" w:cs="B Nazanin"/>
          <w:sz w:val="22"/>
          <w:szCs w:val="28"/>
          <w:rtl w:val="1"/>
        </w:rPr>
        <w:t xml:space="preserve"> عدم یکسانی رویکرد میان محاکم قضایی بین‌المللی در زمینه پیوند حقوق بشر و محیط‌زیست با تکیه بر رویکرد مبتنی بر عمل</w:t>
      </w:r>
      <w:r>
        <w:rPr>
          <w:rStyle w:val="FootnoteReference"/>
          <w:rtl w:val="1"/>
        </w:rPr>
        <w:footnoteReference w:id="347"/>
      </w:r>
      <w:r>
        <w:rPr>
          <w:rFonts w:ascii="Times New Roman" w:hAnsi="Times New Roman" w:cs="B Nazanin"/>
          <w:sz w:val="22"/>
          <w:szCs w:val="28"/>
          <w:rtl w:val="1"/>
        </w:rPr>
        <w:t>، ریشه در تفاوت‌های بنیادین در منطق تأسیس و فرهنگ‌های حقوقی آن‌ها دارد. دادگاه‌هایی با منطق قربانی‌محور مانند دادگاه بین‌آمریکایی حقوق بشر و دیوان بینالمللی کیفری رویکردی جسورانه‌تر و نوآورانه‌تر اتخاذ می‌کنند، در حالی که دادگاه‌هایی با منطق دولت‌محور مانند دادگاه اروپایی حقوق بشر و دیوان بینالمللی دادگستری رویکردی محتاطانه‌تر و محدودتر دارند.</w:t>
      </w:r>
      <w:r>
        <w:rPr>
          <w:rStyle w:val="FootnoteReference"/>
          <w:rtl w:val="1"/>
        </w:rPr>
        <w:footnoteReference w:id="348"/>
      </w:r>
    </w:p>
    <w:p>
      <w:pPr>
        <w:bidi w:val="1"/>
        <w:spacing w:line="312" w:lineRule="auto" w:before="0" w:after="120"/>
        <w:ind w:firstLine="454"/>
        <w:jc w:val="both"/>
      </w:pPr>
      <w:r>
        <w:rPr>
          <w:rFonts w:ascii="Times New Roman" w:hAnsi="Times New Roman" w:cs="B Nazanin"/>
          <w:sz w:val="22"/>
          <w:szCs w:val="28"/>
          <w:rtl w:val="1"/>
        </w:rPr>
        <w:t>با توجه به توضیحات فوق، شاهد شکلگیری یک چرخه تکاملی هستیم. به گونهای که قطعنامه‌های نهادهای بینالمللی به تفسیرهای ارکان معاهدهای مشروعیت می‌دهند، تفسیرهای ارکان معاهدهای مواد خام حقوقی را برای محاکم بین المللی فراهم می‌کنند و آرای نوآورانه محاکم به نوبه خود، دستورکار نهادهای بینالمللی را غنی‌تر می‌کنند.</w:t>
      </w:r>
    </w:p>
    <w:p>
      <w:pPr>
        <w:bidi w:val="1"/>
        <w:spacing w:line="312" w:lineRule="auto" w:before="0" w:after="120"/>
        <w:ind w:firstLine="454"/>
        <w:jc w:val="both"/>
      </w:pPr>
      <w:r>
        <w:rPr>
          <w:rFonts w:ascii="Times New Roman" w:hAnsi="Times New Roman" w:cs="B Nazanin"/>
          <w:sz w:val="22"/>
          <w:szCs w:val="28"/>
          <w:rtl w:val="1"/>
        </w:rPr>
        <w:t>در مقام ارزیابی میتوان اظهارنظر نمود که که حقوق بین‌الملل در تقاطع حقوق محیطزیست و حقوق بشر با خلاءهایی از نوع هنجاری، نهادی و انسجام روبهرو است و وجود مسیرهای موازی در راستای پیوند حقوقبشر و حقوق محیطزیست منجر به پراکندگی هنجاری و نهادی گردیده است. عدم شناسایی صریح حق بر محیطزیست سالم در اسناد جهانی حقوق بشر بر خلاف برخی اسناد منطقه‌ای، فقدان تعریف مشخص و واحد از حق بر محیطزیست سالم، سطح حمایت متفاوت در مناطق مختلف جهان، مکانیسم‌های اجرایی ناهمگون، چالش مشروعیت هنجارهای مذاکره نشده توسط دولتها</w:t>
      </w:r>
      <w:r>
        <w:rPr>
          <w:rStyle w:val="FootnoteReference"/>
          <w:rtl w:val="1"/>
        </w:rPr>
        <w:footnoteReference w:id="349"/>
      </w:r>
      <w:r>
        <w:rPr>
          <w:rFonts w:ascii="Times New Roman" w:hAnsi="Times New Roman" w:cs="B Nazanin"/>
          <w:sz w:val="22"/>
          <w:szCs w:val="28"/>
          <w:rtl w:val="1"/>
        </w:rPr>
        <w:t>، رسیدگی موردی سازوکارهای بینالمللی حوزه حقوقبشر به موضوعات محیطزیستی نظیر تغییراقلیم و مغفول ماندن سایر موضوعات محیطزیستی، فقدان مکانیسم‌های تعامل نظام‌مند میان حقوقبشر و حقوق محیطزیست نمونههایی از خلاءهای موجودند. این خلاءها نه تنها اثربخشی حقوق بین‌الملل محیطزیست را تضعیف می‌کنند، بلکه تحقق حقوقبشر را نیز به مخاطره می‌اندازند. رفع این خلاءها نیازمند اراده سیاسی، رویکرد یکپارچه و مشارکت همه ذی‌نفعان در سطوح ملی، منطقه‌ای و جهانی است. تدوین چارچوب حقوقی منسجم و الزام‌آور، همراه با تقویت مکانیسم‌های نظارتی و اجرایی، می‌تواند گامی اساسی در جهت تحقق حقوق محیطزیستی و حقوقبشری برای نسل‌های حاضر و آینده باشد.</w:t>
      </w:r>
    </w:p>
    <w:p>
      <w:pPr>
        <w:bidi w:val="1"/>
        <w:spacing w:line="312" w:lineRule="auto" w:before="0" w:after="120"/>
        <w:ind w:firstLine="454"/>
        <w:jc w:val="both"/>
      </w:pPr>
      <w:r>
        <w:rPr>
          <w:rFonts w:ascii="Times New Roman" w:hAnsi="Times New Roman" w:cs="B Nazanin"/>
          <w:sz w:val="22"/>
          <w:szCs w:val="28"/>
          <w:rtl w:val="1"/>
        </w:rPr>
        <w:t>INTERNATIONAL ENVIRONMENTAL GOVERNANCE:</w:t>
      </w:r>
    </w:p>
    <w:p>
      <w:pPr>
        <w:bidi w:val="1"/>
        <w:spacing w:line="312" w:lineRule="auto" w:before="0" w:after="120"/>
        <w:ind w:firstLine="454"/>
        <w:jc w:val="both"/>
      </w:pPr>
      <w:r>
        <w:rPr>
          <w:rFonts w:ascii="Times New Roman" w:hAnsi="Times New Roman" w:cs="B Nazanin"/>
          <w:sz w:val="22"/>
          <w:szCs w:val="28"/>
          <w:rtl w:val="1"/>
        </w:rPr>
        <w:t>MANAGING FRAGMENTATION THROUGH</w:t>
      </w:r>
    </w:p>
    <w:p>
      <w:pPr>
        <w:bidi w:val="1"/>
        <w:spacing w:line="312" w:lineRule="auto" w:before="0" w:after="120"/>
        <w:ind w:firstLine="454"/>
        <w:jc w:val="both"/>
      </w:pPr>
      <w:r>
        <w:rPr>
          <w:rFonts w:ascii="Times New Roman" w:hAnsi="Times New Roman" w:cs="B Nazanin"/>
          <w:sz w:val="22"/>
          <w:szCs w:val="28"/>
          <w:rtl w:val="1"/>
        </w:rPr>
        <w:t>INSTITUTIONAL CONNECTION</w:t>
      </w:r>
    </w:p>
    <w:p>
      <w:pPr>
        <w:pStyle w:val="Heading3"/>
        <w:bidi w:val="1"/>
        <w:spacing w:line="312" w:lineRule="auto" w:before="200" w:after="120"/>
        <w:jc w:val="right"/>
      </w:pPr>
      <w:r>
        <w:rPr>
          <w:rFonts w:ascii="Times New Roman" w:hAnsi="Times New Roman" w:cs="B Nazanin"/>
          <w:sz w:val="24"/>
          <w:szCs w:val="24"/>
          <w:rtl w:val="1"/>
          <w:b/>
          <w:bCs/>
          <w:color w:val="000000"/>
        </w:rPr>
        <w:t>۳-۱-۶ خلاءهای مرتبط با ساختار حکمرانی حقوق بین الملل محیطزیست</w:t>
      </w:r>
    </w:p>
    <w:p>
      <w:pPr>
        <w:bidi w:val="1"/>
        <w:spacing w:line="312" w:lineRule="auto" w:before="0" w:after="120"/>
        <w:ind w:firstLine="454"/>
        <w:jc w:val="both"/>
      </w:pPr>
      <w:r>
        <w:rPr>
          <w:rFonts w:ascii="Times New Roman" w:hAnsi="Times New Roman" w:cs="B Nazanin"/>
          <w:sz w:val="22"/>
          <w:szCs w:val="28"/>
          <w:rtl w:val="1"/>
        </w:rPr>
        <w:t>در حالی که وحدت، درهم‌تنیدگی و وابستگی متقابل اکوسیستم زمین یک اصل علمی بنیادین است، ساختار حقوقی پاسخگو به آن، به شدت پراکنده، موضوع-محور و مجزا است. از این رو، ساختار حکمرانی بین‌المللی محیط‌زیست در میانه یک تناقض بنیادین گرفتار شده است: از یک سو، ماهیت یکپارچه و به هم‌پیوسته بحران‌های محیطزیستی نیازمند پاسخ‌هایی منسجم، جامع و مبتنی بر همکاری است؛ از سوی دیگر، معماری نهادی پاسخگو به این بحران‌ها به شدت تکه‌تکه، پراکنده و فاقد مکانیسم‌های هماهنگی مؤثر است.</w:t>
      </w:r>
    </w:p>
    <w:p>
      <w:pPr>
        <w:bidi w:val="1"/>
        <w:spacing w:line="312" w:lineRule="auto" w:before="0" w:after="120"/>
        <w:ind w:firstLine="454"/>
        <w:jc w:val="both"/>
      </w:pPr>
      <w:r>
        <w:rPr>
          <w:rFonts w:ascii="Times New Roman" w:hAnsi="Times New Roman" w:cs="B Nazanin"/>
          <w:sz w:val="22"/>
          <w:szCs w:val="28"/>
          <w:rtl w:val="1"/>
        </w:rPr>
        <w:t>در حال حاضر بیش از ۵۰۰ موافقت‌نامه چندجانبه محیط‌زیستی (جهانی و منطقه‌ای) لازم‌الاجراست. اگرچه این شمار، تا حدی نشان‌دهنده موفقیت جامعه بین‌المللی در پاسخ به تخریب محیط‌زیست است، اما در عین حال به انتقادی جدی دامن زده است: حقوق بین‌الملل محیط‌زیست از «ازدحام معاهداتی» و «پراکندگی»</w:t>
      </w:r>
      <w:r>
        <w:rPr>
          <w:rStyle w:val="FootnoteReference"/>
          <w:rtl w:val="1"/>
        </w:rPr>
        <w:footnoteReference w:id="350"/>
      </w:r>
      <w:r>
        <w:rPr>
          <w:rFonts w:ascii="Times New Roman" w:hAnsi="Times New Roman" w:cs="B Nazanin"/>
          <w:sz w:val="22"/>
          <w:szCs w:val="28"/>
          <w:rtl w:val="1"/>
        </w:rPr>
        <w:t xml:space="preserve"> رنج می‌برد. پراکندگی به‌خودی‌خود پدیده‌ای منفی نیست؛ برخی آن را مایه ناکارآمدی، فقدان هم‌افزایی، و تناقض در استانداردها می‌دانند، و برخی دیگر آن را نشانه «گسترش هنجاری و نهادی بی‌سابقه» و پویایی حقوقبین‌الملل تلقی می‌کنند. اما صرف‌نظر از ارزیابی، این پراکندگی -که ناشی از ایجاد رژیم‌ها و نهادهای متعدد با حوزه‌های مأموریتی همپوشان است- خطر تکرار، واگرایی و حتی تعارض میان تعهدات محیطزیستی را به‌وجود آورده است. برای نمونه، پروتکل مونترآل در خصوص مواد کاهنده لایه اوزن (۱۹۸۷) با محدود کردن تولید کلروفلوئوروکربن‌ها، به تولید گسترده جایگزین‌هایی مانند هیدروکلروفلوئوروکربن‌ها انجامید که خود ۱۰۰۰۰ برابر قوی‌تر از دی‌اکسیدکربن به‌عنوان گاز گلخانه‌ای عمل می‌کنند و بدین‌ترتیب اهداف پروتکل کیوتو را تضعیف کردند. از سوی دیگر، همپوشانی‌ ماموریت موافقتنامههای چندجانبه محیط زیستی می‌توانند بستری برای هم‌افزایی و  حمایت‌ متقابل و اجرای موثرتر فراهم آورند؛ چنان‌که اقدامات تجاری CITES از اهداف حفاظتی کنوانسیون تنوع زیستی و کنوانسیون گونه‌های مهاجر (CMS) پشتیبانی می‌کنند. بنابراین، موضوع اصلی حذف پراکندگی نیست، بلکه مدیریت خطرات و بهره‌گیری از فرصت‌های آن است. رویکرد قابل دفاع، بر توسعه سازوکارهای حکمرانی تکیه دارد تا هم تعارضات را مدیریت کند و هم مزایای ناشی از همپوشانی حوزه‌های مأموریتی را به حداکثر برساند. </w:t>
      </w:r>
      <w:r>
        <w:rPr>
          <w:rStyle w:val="FootnoteReference"/>
          <w:rtl w:val="1"/>
        </w:rPr>
        <w:footnoteReference w:id="351"/>
      </w:r>
      <w:r>
        <w:rPr>
          <w:rFonts w:ascii="Times New Roman" w:hAnsi="Times New Roman" w:cs="B Nazanin"/>
          <w:sz w:val="22"/>
          <w:szCs w:val="28"/>
          <w:rtl w:val="1"/>
        </w:rPr>
        <w:t xml:space="preserve"> این کنایه‌آمیز است که فرآیند بازنگری حکمرانی بین‌المللی محیطزیست به اندازه نظام حکمرانی مورد بازنگری، پراکنده است!</w:t>
      </w:r>
      <w:r>
        <w:rPr>
          <w:rStyle w:val="FootnoteReference"/>
          <w:rtl w:val="1"/>
        </w:rPr>
        <w:footnoteReference w:id="352"/>
      </w:r>
      <w:r>
        <w:rPr>
          <w:rFonts w:ascii="Times New Roman" w:hAnsi="Times New Roman" w:cs="B Nazanin"/>
          <w:sz w:val="22"/>
          <w:szCs w:val="28"/>
          <w:rtl w:val="1"/>
        </w:rPr>
        <w:t xml:space="preserve"> در ادامه، این بخش به بررسی سه خلاء عمده در ساختار حکمرانی حقوق بینالملل محیطزیست می‌پردازد: خلاء هماهنگی نهادی ناشی از تکثر معاهدات و نهادهای موازی، خلاء حکمرانی در تعامل با دیگر رژیم‌های حقوقیبین‌المللی و خلاء مشروعیتی ناشی از محدودیت‌های مشارکت بازیگران غیردولتی.  به نظر میرسد که رفع این خلاء‌ها نیازمند عبور از راهکارهای فنی-اداری صرف و حرکت به سمت اصلاحات ساختاری عمیق‌تر در راستای ایجاد یک «حکمرانی شبکه‌ای یکپارچه» است.</w:t>
      </w:r>
    </w:p>
    <w:p>
      <w:pPr>
        <w:pStyle w:val="Heading3"/>
        <w:bidi w:val="1"/>
        <w:spacing w:line="312" w:lineRule="auto" w:before="200" w:after="120"/>
        <w:jc w:val="right"/>
      </w:pPr>
      <w:r>
        <w:rPr>
          <w:rFonts w:ascii="Times New Roman" w:hAnsi="Times New Roman" w:cs="B Nazanin"/>
          <w:sz w:val="24"/>
          <w:szCs w:val="24"/>
          <w:rtl w:val="1"/>
          <w:b/>
          <w:bCs/>
          <w:color w:val="000000"/>
        </w:rPr>
        <w:t>۳-۱-۶-۱ خلاء هماهنگی نهادی ناشی از تکثر معاهدات و نهادهای موازی</w:t>
      </w:r>
    </w:p>
    <w:p>
      <w:pPr>
        <w:bidi w:val="1"/>
        <w:spacing w:line="312" w:lineRule="auto" w:before="0" w:after="120"/>
        <w:ind w:firstLine="454"/>
        <w:jc w:val="both"/>
      </w:pPr>
      <w:r>
        <w:rPr>
          <w:rFonts w:ascii="Times New Roman" w:hAnsi="Times New Roman" w:cs="B Nazanin"/>
          <w:sz w:val="22"/>
          <w:szCs w:val="28"/>
          <w:rtl w:val="1"/>
        </w:rPr>
        <w:t xml:space="preserve"> وجود بیش از ۵۰۰ موافقتنامه چندجانبه محیط‌زیستی و حدود ۲۰۰ نهاد تاسیس شده درچارچوب این موافقتنامهها مانند کنفرانس اعضا و دبیرخانه‌ها</w:t>
      </w:r>
      <w:r>
        <w:rPr>
          <w:rStyle w:val="FootnoteReference"/>
          <w:rtl w:val="1"/>
        </w:rPr>
        <w:footnoteReference w:id="353"/>
      </w:r>
      <w:r>
        <w:rPr>
          <w:rFonts w:ascii="Times New Roman" w:hAnsi="Times New Roman" w:cs="B Nazanin"/>
          <w:sz w:val="22"/>
          <w:szCs w:val="28"/>
          <w:rtl w:val="1"/>
        </w:rPr>
        <w:t>، نماد بارز این پراکندگی است. هر یک از این رژیم‌های معاهده‌ای، اهداف، اعضاء، قواعد مالی و مکانیسم‌های اجرایی خاص خود را دارند که همکاری و ایجاد رویکرد یکپارچه را دشوار می‌سازد. این امر منجر به پراکندگی نهادی</w:t>
      </w:r>
      <w:r>
        <w:rPr>
          <w:rStyle w:val="FootnoteReference"/>
          <w:rtl w:val="1"/>
        </w:rPr>
        <w:footnoteReference w:id="354"/>
      </w:r>
      <w:r>
        <w:rPr>
          <w:rFonts w:ascii="Times New Roman" w:hAnsi="Times New Roman" w:cs="B Nazanin"/>
          <w:sz w:val="22"/>
          <w:szCs w:val="28"/>
          <w:rtl w:val="1"/>
        </w:rPr>
        <w:t xml:space="preserve"> و در نتیجه خلاء هماهنگی نهادی ناشی از تکثر معاهدات و نهادهای موازی گردیده است که حقوق بینالملل محیطزیست را با چالشهای زیر روبرو میسازد. </w:t>
      </w:r>
    </w:p>
    <w:p>
      <w:pPr>
        <w:bidi w:val="1"/>
        <w:spacing w:line="312" w:lineRule="auto" w:before="0" w:after="120"/>
        <w:ind w:firstLine="454"/>
        <w:jc w:val="both"/>
      </w:pPr>
      <w:r>
        <w:rPr>
          <w:rFonts w:ascii="Times New Roman" w:hAnsi="Times New Roman" w:cs="B Nazanin"/>
          <w:sz w:val="22"/>
          <w:szCs w:val="28"/>
          <w:rtl w:val="1"/>
        </w:rPr>
        <w:t>تعدد مکانیسم‌های موازی منجر به ناهماهنگی سیاستی، جایی که اهداف یک معاهده ممکن است به طور ناخواسته  اهداف معاهده‌ای دیگر را تحت الشعاع قرار دهد، تحمیل بار مالی و اداری سنگین برای دولت‌ها، به ویژه کشورهای در حال توسعه، به دلیل الزام به حضور در نشست‌های متعدد و ارائه گزارش‌های متنوع و کاهش ظرفیت آنان برای اجرای مؤثر هر یک از تعهدات، عدم یکپارچگی در نظارت بر تعهدات  و کاهش پاسخگویی</w:t>
      </w:r>
      <w:r>
        <w:rPr>
          <w:rStyle w:val="FootnoteReference"/>
          <w:rtl w:val="1"/>
        </w:rPr>
        <w:footnoteReference w:id="355"/>
      </w:r>
      <w:r>
        <w:rPr>
          <w:rFonts w:ascii="Times New Roman" w:hAnsi="Times New Roman" w:cs="B Nazanin"/>
          <w:sz w:val="22"/>
          <w:szCs w:val="28"/>
          <w:rtl w:val="1"/>
        </w:rPr>
        <w:t xml:space="preserve"> به دلیل دشواری ردیابی مسئولیت‌ها در شبکه‌ای از نهادهای موازی می گردد.</w:t>
      </w:r>
      <w:r>
        <w:rPr>
          <w:rStyle w:val="FootnoteReference"/>
          <w:rtl w:val="1"/>
        </w:rPr>
        <w:footnoteReference w:id="356"/>
      </w:r>
      <w:r>
        <w:rPr>
          <w:rFonts w:ascii="Times New Roman" w:hAnsi="Times New Roman" w:cs="B Nazanin"/>
          <w:sz w:val="22"/>
          <w:szCs w:val="28"/>
          <w:rtl w:val="1"/>
        </w:rPr>
        <w:t xml:space="preserve"> خاطر نشان میگردد، تخصصی‌شدن هر معاهده حول یک موضوع خاص، اغلب مانع از درک و پرداختن جامع به پیوندهای سیستمی بین این موضوع ها می‌شود. </w:t>
      </w:r>
    </w:p>
    <w:p>
      <w:pPr>
        <w:bidi w:val="1"/>
        <w:spacing w:line="312" w:lineRule="auto" w:before="0" w:after="120"/>
        <w:ind w:firstLine="454"/>
        <w:jc w:val="both"/>
      </w:pPr>
      <w:r>
        <w:rPr>
          <w:rFonts w:ascii="Times New Roman" w:hAnsi="Times New Roman" w:cs="B Nazanin"/>
          <w:sz w:val="22"/>
          <w:szCs w:val="28"/>
          <w:rtl w:val="1"/>
        </w:rPr>
        <w:t>چالش دیگر ذیل این خلاء، ضعف نهاد هماهنگکننده است. با وجود تأکید اسناد سازمانملل بر نقش برنامه محیطزیست مللمتحد</w:t>
      </w:r>
      <w:r>
        <w:rPr>
          <w:rStyle w:val="FootnoteReference"/>
          <w:rtl w:val="1"/>
        </w:rPr>
        <w:footnoteReference w:id="357"/>
      </w:r>
      <w:r>
        <w:rPr>
          <w:rFonts w:ascii="Times New Roman" w:hAnsi="Times New Roman" w:cs="B Nazanin"/>
          <w:sz w:val="22"/>
          <w:szCs w:val="28"/>
          <w:rtl w:val="1"/>
        </w:rPr>
        <w:t xml:space="preserve"> به عنوان «مرجع پیشرو جهانی محیط‌زیست»</w:t>
      </w:r>
      <w:r>
        <w:rPr>
          <w:rStyle w:val="FootnoteReference"/>
          <w:rtl w:val="1"/>
        </w:rPr>
        <w:footnoteReference w:id="358"/>
      </w:r>
      <w:r>
        <w:rPr>
          <w:rFonts w:ascii="Times New Roman" w:hAnsi="Times New Roman" w:cs="B Nazanin"/>
          <w:sz w:val="22"/>
          <w:szCs w:val="28"/>
          <w:rtl w:val="1"/>
        </w:rPr>
        <w:t>، این نهاد با محدودیت‌های ساختاری از جمله عدم اختیارات اجرایی قوی و منابع کافی، چالش در انسجام‌بخشی و ارتقاء ظاهری بدون تقویت عملی مواجه است. با گسترش مسئولیت‌های محیط‌زیستی در نهادهای مختلف ملل متحد و برخی سازمان‌های تخصصی</w:t>
      </w:r>
      <w:r>
        <w:rPr>
          <w:rStyle w:val="FootnoteReference"/>
          <w:rtl w:val="1"/>
        </w:rPr>
        <w:footnoteReference w:id="359"/>
      </w:r>
      <w:r>
        <w:rPr>
          <w:rFonts w:ascii="Times New Roman" w:hAnsi="Times New Roman" w:cs="B Nazanin"/>
          <w:sz w:val="22"/>
          <w:szCs w:val="28"/>
          <w:rtl w:val="1"/>
        </w:rPr>
        <w:t>، UNEP فاقد اختیارات لازم برای هماهنگی مؤثر با آنها نمود پیدا کرد. اگرچه ارتقاء UNEP با شکلگیری مجمع محیط‌زیست مللمتحد</w:t>
      </w:r>
      <w:r>
        <w:rPr>
          <w:rStyle w:val="FootnoteReference"/>
          <w:rtl w:val="1"/>
        </w:rPr>
        <w:footnoteReference w:id="360"/>
      </w:r>
      <w:r>
        <w:rPr>
          <w:rFonts w:ascii="Times New Roman" w:hAnsi="Times New Roman" w:cs="B Nazanin"/>
          <w:sz w:val="22"/>
          <w:szCs w:val="28"/>
          <w:rtl w:val="1"/>
        </w:rPr>
        <w:t xml:space="preserve"> با عضویت جهانی گامی مثبت بود، اما این تغییر نتوانسته اختیارات نظارتی یا بودجه کافی را برای ایفای نقش رهبری فراهم کند. درنهایت، این امر منجر به عدم انسجام در بعد محیطزیستی توسعه پایدار در سیستم مللمتحد می‌شود. مکانیسم‌های هماهنگیدر داخل سیستم سازمان ملل متحد مانند گروه مدیریت محیط زیست</w:t>
      </w:r>
      <w:r>
        <w:rPr>
          <w:rStyle w:val="FootnoteReference"/>
          <w:rtl w:val="1"/>
        </w:rPr>
        <w:footnoteReference w:id="361"/>
      </w:r>
      <w:r>
        <w:rPr>
          <w:rFonts w:ascii="Times New Roman" w:hAnsi="Times New Roman" w:cs="B Nazanin"/>
          <w:sz w:val="22"/>
          <w:szCs w:val="28"/>
          <w:rtl w:val="1"/>
        </w:rPr>
        <w:t xml:space="preserve"> و هیئت اجرایی ارشد سیستم سازمان ملل متحد برای هماهنگی</w:t>
      </w:r>
      <w:r>
        <w:rPr>
          <w:rStyle w:val="FootnoteReference"/>
          <w:rtl w:val="1"/>
        </w:rPr>
        <w:footnoteReference w:id="362"/>
      </w:r>
      <w:r>
        <w:rPr>
          <w:rFonts w:ascii="Times New Roman" w:hAnsi="Times New Roman" w:cs="B Nazanin"/>
          <w:sz w:val="22"/>
          <w:szCs w:val="28"/>
          <w:rtl w:val="1"/>
        </w:rPr>
        <w:t xml:space="preserve"> نیز نتوانسته‌اند این خلاء را پر کنند.</w:t>
      </w:r>
      <w:r>
        <w:rPr>
          <w:rStyle w:val="FootnoteReference"/>
          <w:rtl w:val="1"/>
        </w:rPr>
        <w:footnoteReference w:id="363"/>
      </w:r>
    </w:p>
    <w:p>
      <w:pPr>
        <w:bidi w:val="1"/>
        <w:spacing w:line="312" w:lineRule="auto" w:before="0" w:after="120"/>
        <w:ind w:firstLine="454"/>
        <w:jc w:val="both"/>
      </w:pPr>
      <w:r>
        <w:rPr>
          <w:rFonts w:ascii="Times New Roman" w:hAnsi="Times New Roman" w:cs="B Nazanin"/>
          <w:sz w:val="22"/>
          <w:szCs w:val="28"/>
          <w:rtl w:val="1"/>
        </w:rPr>
        <w:t>نکته قابل توجه این است که در بحث سیر تحول بازنگری حکمرانی محیطزیست جهانی به پیشنهاد دبیرکل سازمان ملل، یو تانت، اوایل سال ۱۹۶۹ و در طول فرآیند مقدماتی کنفرانس استکهلم در مورد محیط زیست انسانی، تحت عنوان تأسیس یک «ابر آژانس»</w:t>
      </w:r>
      <w:r>
        <w:rPr>
          <w:rStyle w:val="FootnoteReference"/>
          <w:rtl w:val="1"/>
        </w:rPr>
        <w:footnoteReference w:id="364"/>
      </w:r>
      <w:r>
        <w:rPr>
          <w:rFonts w:ascii="Times New Roman" w:hAnsi="Times New Roman" w:cs="B Nazanin"/>
          <w:sz w:val="22"/>
          <w:szCs w:val="28"/>
          <w:rtl w:val="1"/>
        </w:rPr>
        <w:t xml:space="preserve"> برای محیطزیست می رسیم. در طول سه سال بعد، زمینه برای بحث در مورد شکل و عملکرد یک ترتیب نهادی برای حکمرانی محیطزیستی جهانی فراهم شد. جلسات مشورتی متعددی توسط دبیرخانه کنفرانس تشکیل شد و در نهایت به تاسیس یونپ ختم شد.</w:t>
      </w:r>
      <w:r>
        <w:rPr>
          <w:rStyle w:val="FootnoteReference"/>
          <w:rtl w:val="1"/>
        </w:rPr>
        <w:footnoteReference w:id="365"/>
      </w:r>
    </w:p>
    <w:p>
      <w:pPr>
        <w:bidi w:val="1"/>
        <w:spacing w:line="312" w:lineRule="auto" w:before="0" w:after="120"/>
        <w:ind w:firstLine="454"/>
        <w:jc w:val="both"/>
      </w:pPr>
      <w:r>
        <w:rPr>
          <w:rFonts w:ascii="Times New Roman" w:hAnsi="Times New Roman" w:cs="B Nazanin"/>
          <w:sz w:val="22"/>
          <w:szCs w:val="28"/>
          <w:rtl w:val="1"/>
        </w:rPr>
        <w:t>گزارش دبیرکل در ادامه راهکارهایی اداری-اجرایی و حقوقی جهت مدیریت «پراکندگی نهادی و هماهنگی ضعیف بین معاهدات» به شرح زیر مطرح میسازد. «ایجاد خوشهها و هم افزایی بین کنوانسیونها؛ فهرست برداری از برنامه های اقدام جهانی و منطقه ای موجود و موافقت نامه ها برای ایجاد یک نمای کلی از پوشش و شناسایی پیوندهای متقابل؛ اجتناب از دوباره کاری در فرآیندهای گزارش دهی و/یا نظارت با استفاده از کانال های گزارش دهی یکسان و عدم ایجاد بار اضافی ("گزارش یکپارچه")؛ به اشتراک گذاشتن درس های آموخته شده و بهترین رویه ها؛ تدوین دستورالعمل‌های اجرایی برای موافقت‌نامه‌های چندجانبه محیط زیستی؛ و به اشتراک گذاری اطلاعات بین ارکان علمی مختلف که از کار موافقت نامه های محیط زیستی چندجانبه مرتبط حمایت می کنند. تضادهای احتمالی بین رژیم های معاهده را می توان با استفاده از ابزارهای حقوقی، از جمله شرطهای تعارض، حمایت متقابل یا اعمال قاعده کلی تفسیر معاهده مندرج در بند 3 (ج) ماده 31 کنوانسیون وین در مورد حقوق معاهدات، مدیریت کرد.»</w:t>
      </w:r>
      <w:r>
        <w:rPr>
          <w:rStyle w:val="FootnoteReference"/>
          <w:rtl w:val="1"/>
        </w:rPr>
        <w:footnoteReference w:id="366"/>
      </w:r>
      <w:r>
        <w:rPr>
          <w:rFonts w:ascii="Times New Roman" w:hAnsi="Times New Roman" w:cs="B Nazanin"/>
          <w:sz w:val="22"/>
          <w:szCs w:val="28"/>
          <w:rtl w:val="1"/>
        </w:rPr>
        <w:t xml:space="preserve"> </w:t>
      </w:r>
    </w:p>
    <w:p>
      <w:pPr>
        <w:bidi w:val="1"/>
        <w:spacing w:line="312" w:lineRule="auto" w:before="0" w:after="120"/>
        <w:ind w:firstLine="454"/>
        <w:jc w:val="both"/>
      </w:pPr>
      <w:r>
        <w:rPr>
          <w:rFonts w:ascii="Times New Roman" w:hAnsi="Times New Roman" w:cs="B Nazanin"/>
          <w:sz w:val="22"/>
          <w:szCs w:val="28"/>
          <w:rtl w:val="1"/>
        </w:rPr>
        <w:t>راهکارهای پیشنهادی عمدتاً بر بهینه‌سازی فرآیندهای موجود متمرکزند و اگرچه مفیدند، اما ماهیتی داوطلبانه و فاقد ضمانت اجرا دارند و به تنهایی قادر به حل تعارضات ماهوی یا ایجاد همگرایی عمیق نیستند.</w:t>
      </w:r>
    </w:p>
    <w:p>
      <w:pPr>
        <w:bidi w:val="1"/>
        <w:spacing w:line="312" w:lineRule="auto" w:before="0" w:after="120"/>
        <w:ind w:firstLine="454"/>
        <w:jc w:val="both"/>
      </w:pPr>
      <w:r>
        <w:rPr>
          <w:rFonts w:ascii="Times New Roman" w:hAnsi="Times New Roman" w:cs="B Nazanin"/>
          <w:sz w:val="22"/>
          <w:szCs w:val="28"/>
          <w:rtl w:val="1"/>
        </w:rPr>
        <w:t>توضیح یاز خوشه سازی که لازم اما کافی نیست</w:t>
      </w:r>
    </w:p>
    <w:p>
      <w:pPr>
        <w:pStyle w:val="Heading3"/>
        <w:bidi w:val="1"/>
        <w:spacing w:line="312" w:lineRule="auto" w:before="200" w:after="120"/>
        <w:jc w:val="right"/>
      </w:pPr>
      <w:r>
        <w:rPr>
          <w:rFonts w:ascii="Times New Roman" w:hAnsi="Times New Roman" w:cs="B Nazanin"/>
          <w:sz w:val="24"/>
          <w:szCs w:val="24"/>
          <w:rtl w:val="1"/>
          <w:b/>
          <w:bCs/>
          <w:color w:val="000000"/>
        </w:rPr>
        <w:t>۲-۶-۱-۳ خلاء حاکمیتی در تعامل با دیگر رژیم های حقوق بین الملل</w:t>
      </w:r>
    </w:p>
    <w:p>
      <w:pPr>
        <w:bidi w:val="1"/>
        <w:spacing w:line="312" w:lineRule="auto" w:before="0" w:after="120"/>
        <w:ind w:firstLine="454"/>
        <w:jc w:val="both"/>
      </w:pPr>
      <w:r>
        <w:rPr>
          <w:rFonts w:ascii="Times New Roman" w:hAnsi="Times New Roman" w:cs="B Nazanin"/>
          <w:sz w:val="22"/>
          <w:szCs w:val="28"/>
          <w:rtl w:val="1"/>
        </w:rPr>
        <w:t>بند ۸۲ گزارش خلاء دوم را در خصوص خلاء حاکمیتی در تعامل با دیگر رژیم های حقوق بین الملل یا به تعبیری جدایی حاکمیتی بین رژیم حقوق بین الملل محیط‌زیست و دیگر رژیم‌های قدرتمند و غالباً اقتصادی حقوق بین‌الملل، مانند حقوق سازمان تجارت جهانی، حقوق سرمایه‌گذاری بین‌المللی و حقوق مالکیت فکری معرفی میکند. فقدان مکانیسم‌های ادغامی قوی در این سطح، حاکمیت محیط‌زیست جهانی را در موضعی ضعیف قرار می‌دهد و پیشرفت در معاهدات محیط‌زیستی را می‌تواند با اقدامات در دیگر حوزه‌ها خنثی یا تضعیف کند. باید در نظر داشت که آنچنان که پیداست نهادهای اقتصادی عموماً از اهرم اجرایی و سیاسی قوی‌تری نسبت به نهادهای محیط‌زیستی برخوردارند.</w:t>
      </w:r>
    </w:p>
    <w:p>
      <w:pPr>
        <w:pStyle w:val="Heading3"/>
        <w:bidi w:val="1"/>
        <w:spacing w:line="312" w:lineRule="auto" w:before="200" w:after="120"/>
        <w:jc w:val="right"/>
      </w:pPr>
      <w:r>
        <w:rPr>
          <w:rFonts w:ascii="Times New Roman" w:hAnsi="Times New Roman" w:cs="B Nazanin"/>
          <w:sz w:val="24"/>
          <w:szCs w:val="24"/>
          <w:rtl w:val="1"/>
          <w:b/>
          <w:bCs/>
          <w:color w:val="000000"/>
        </w:rPr>
        <w:t>۳-۶-۱-۳ خلا مشروعیتی ناشی از محدودیتهای مشارکت بازیگران غیردولتی</w:t>
      </w:r>
    </w:p>
    <w:p>
      <w:pPr>
        <w:bidi w:val="1"/>
        <w:spacing w:line="312" w:lineRule="auto" w:before="0" w:after="120"/>
        <w:ind w:firstLine="454"/>
        <w:jc w:val="both"/>
      </w:pPr>
      <w:r>
        <w:rPr>
          <w:rFonts w:ascii="Times New Roman" w:hAnsi="Times New Roman" w:cs="B Nazanin"/>
          <w:sz w:val="22"/>
          <w:szCs w:val="28"/>
          <w:rtl w:val="1"/>
        </w:rPr>
        <w:t>مشخصه بارز ساختار حکمرانی بین المللی محیط زیستی پراکندگی نهادی و مجموعه ای ناهمگون از بازیگران است. گرچه دولت‌ها بازیگران اصلی باقی می‌مانند، حکمرانی بین‌المللی محیط زیستی یک سیستم حکمرانی چند بازیگری است که شامل نهادهای بین‌المللی، ارکان معاهده ای، سازمان‌های غیردولتی، جامعه علمی و بخش خصوصی می باشد. پارا 77</w:t>
      </w:r>
    </w:p>
    <w:p>
      <w:pPr>
        <w:bidi w:val="1"/>
        <w:spacing w:line="312" w:lineRule="auto" w:before="0" w:after="120"/>
        <w:ind w:firstLine="454"/>
        <w:jc w:val="both"/>
      </w:pPr>
      <w:r>
        <w:rPr>
          <w:rFonts w:ascii="Times New Roman" w:hAnsi="Times New Roman" w:cs="B Nazanin"/>
          <w:sz w:val="22"/>
          <w:szCs w:val="28"/>
          <w:rtl w:val="1"/>
        </w:rPr>
        <w:t xml:space="preserve">گزارش در بند 84 به خلاء سومی در خصوص خلا مشروعیتی ناشی از محدودیتهای مشارکت بازیگران غیردولتی و ناتوانی در نهادینه سازی حکمرانی چندذینفعی در حاکمیت حقوق بین الملل محیط زیست اشاره می کند. مستفاد از بند 77 گزارش می توان دریافت که،حاکمیت محیط‌زیست جهانی نه بر پایه‌ی یک ساختار سلسله‌مراتبی منسجم، بلکه مبتنی بر شبکه‌ای پیچیده و افقی از بازیگران دولتی و غیردولتی است. حقوق بین الملل محیط زیست به طور نظری بر مشارکت گسترده ذی‌نفعان تأکید دارد (به عنوان مثال اصل ۱۰ اعلامیه ریو)، اما در عمل با شکاف بزرگی در نهادینه‌سازی این مشارکت مواجه است (بند ۸۴). فقدان چارچوب‌های مشخص برای مشارکت مؤثر در حالت حاکمیت چندبازیگری در فرآیندهای تصمیم‌گیری و نظارت، ظرفیت‌های موجود برای افزایش شفافیت و کارایی را تضعیف می‌کند. </w:t>
      </w:r>
    </w:p>
    <w:p>
      <w:pPr>
        <w:bidi w:val="1"/>
        <w:spacing w:line="312" w:lineRule="auto" w:before="0" w:after="120"/>
        <w:ind w:firstLine="454"/>
        <w:jc w:val="both"/>
      </w:pPr>
      <w:r>
        <w:rPr>
          <w:rFonts w:ascii="Times New Roman" w:hAnsi="Times New Roman" w:cs="B Nazanin"/>
          <w:sz w:val="22"/>
          <w:szCs w:val="28"/>
          <w:rtl w:val="1"/>
        </w:rPr>
        <w:t>محدود کردن مشارکت بازیگران غیردولتی‌ به وضعیت «ناظر»</w:t>
      </w:r>
      <w:r>
        <w:rPr>
          <w:rStyle w:val="FootnoteReference"/>
          <w:rtl w:val="1"/>
        </w:rPr>
        <w:footnoteReference w:id="367"/>
      </w:r>
      <w:r>
        <w:rPr>
          <w:rFonts w:ascii="Times New Roman" w:hAnsi="Times New Roman" w:cs="B Nazanin"/>
          <w:sz w:val="22"/>
          <w:szCs w:val="28"/>
          <w:rtl w:val="1"/>
        </w:rPr>
        <w:t xml:space="preserve"> در کنفرانس اعضا، آن‌ها را به شنوندگان منفعل یا در بهترین حالت مشاوران موردی تبدیل می‌کند. این نوع از مشارکت سه مشکل ایجاد می‌کند. (الف) حذف انها از فرآیندهای مذاکره غیررسمی و مؤثر، (ب) فقدان تضمین تأثیرگذاری آنها بر خروجی مذاکرات، (ج) محرومیت از مشارکت انها در مکانیسم‌های حیاتی نظارتی مانند پروسه‌های عدم انطباق.</w:t>
      </w:r>
    </w:p>
    <w:p>
      <w:pPr>
        <w:bidi w:val="1"/>
        <w:spacing w:line="312" w:lineRule="auto" w:before="0" w:after="120"/>
        <w:ind w:firstLine="454"/>
        <w:jc w:val="both"/>
      </w:pPr>
      <w:r>
        <w:rPr>
          <w:rFonts w:ascii="Times New Roman" w:hAnsi="Times New Roman" w:cs="B Nazanin"/>
          <w:sz w:val="22"/>
          <w:szCs w:val="28"/>
          <w:rtl w:val="1"/>
        </w:rPr>
        <w:t>در ادامه، گزارش به الگوهای مترقی به مثابه استثناء اشاره می کند.کنوانسیون آرهوس و موافقتنامه اسکازو با اعطای حقوق رویه ای و امکان مشارکت در مکانیسم عدم انطباق به بازیگران غیردولتی، نشان می‌دهند که نهادینه‌سازی مشارکت آنها ممکن و مؤثر است. همچنین، پیوند ساختاری جامعه علمی با رژیم‌هایی مانند تغییر اقلیم از طریق هیئت بین‌دولتی تغییر اقلیم، الگویی موفق از حکمرانی مبتنی بر علم ارائه می‌دهد. در مقایسه با سازوکارهای حقوق بشر که در آن مشارکت سازمان‌های غیردولتی نهادینه و قاعده‌مند شده، حقوق محیط‌زیست از نظر تضمین مشارکت مؤثر غیردولتی‌ها به طور قابل توجهی عقب است..</w:t>
      </w:r>
      <w:r>
        <w:rPr>
          <w:rStyle w:val="FootnoteReference"/>
          <w:rtl w:val="1"/>
        </w:rPr>
        <w:footnoteReference w:id="368"/>
      </w:r>
    </w:p>
    <w:p>
      <w:pPr>
        <w:bidi w:val="1"/>
        <w:spacing w:line="312" w:lineRule="auto" w:before="0" w:after="120"/>
        <w:ind w:firstLine="454"/>
        <w:jc w:val="both"/>
      </w:pPr>
      <w:r>
        <w:rPr>
          <w:rFonts w:ascii="Times New Roman" w:hAnsi="Times New Roman" w:cs="B Nazanin"/>
          <w:sz w:val="22"/>
          <w:szCs w:val="28"/>
          <w:rtl w:val="1"/>
        </w:rPr>
        <w:t>در مقام ارزیابی این بخش می توان گفت ساختار حاکمیت بین‌المللی محیط‌زیست در میانه یک تناقض بنیادین گرفتار شده است: از یک سو، ماهیت یکپارچه و به هم‌پیوسته بحران‌های محیط زیستی نیازمند پاسخ‌هایی منسجم، جامع و مبتنی بر همکاری است؛ از سوی دیگر، ساختار پاسخگو به این بحران‌ها دچار خلاء هماهنگی نهادی ناشی از تکثر معاهدات و نهادهای موازی، خلاء حاکمیتی در تعامل با دیگر رژیم‌های حقوقی بین‌المللی و خلاء مشروعیتی ناشی از محدودیت‌های مشارکت بازیگران غیردولتی گردیده است . به نظر می رسد که رفع این خلاءها مستلزم عبور از راهکارهای اداری- اجرایی، حقوقی و حرکت به سمت اصلاحات ساختاری عمیق‌تر در راستای ایجاد یک «حکمرانی شبکه‌ای یکپارچه» است.ناگفته نماند که غلبه بر این خلاء‌ها نیازمند اراده سیاسی دول‌تها برای بازاندیشی در ساختار حکمرانی جهانی است؛ حرکتی از یک شبکه پراکنده و واکنش‌محور به سمت یک حکمرانی شبکه‌ای یکپارچه، پاسخگو و مبتنی بر علم که بازتاب‌دهنده وحدت ذاتی چالش پیش روی بشریت باشد.</w:t>
      </w:r>
    </w:p>
    <w:p>
      <w:pPr>
        <w:bidi w:val="1"/>
        <w:spacing w:line="312" w:lineRule="auto" w:before="0" w:after="120"/>
        <w:ind w:firstLine="454"/>
        <w:jc w:val="both"/>
      </w:pPr>
      <w:r>
        <w:rPr>
          <w:rFonts w:ascii="Times New Roman" w:hAnsi="Times New Roman" w:cs="B Nazanin"/>
          <w:sz w:val="22"/>
          <w:szCs w:val="28"/>
          <w:rtl w:val="1"/>
        </w:rPr>
        <w:t>اضافی: راهکارهای عملیاتی مانند «خوشه‌بندی معاهدات»  و فرایند هم افزایی اگرچه مفیدند، اما ماهیتی داوطلبانه و فاقد ضمانت اجرا دارند و به تنهایی قادر به حل تعارضات ماهوی یا ایجاد همگرایی عمیق نیستند. بند 80</w:t>
      </w:r>
    </w:p>
    <w:p>
      <w:pPr>
        <w:bidi w:val="1"/>
        <w:spacing w:line="312" w:lineRule="auto" w:before="0" w:after="120"/>
        <w:ind w:firstLine="454"/>
        <w:jc w:val="both"/>
      </w:pPr>
      <w:r>
        <w:rPr>
          <w:rFonts w:ascii="Times New Roman" w:hAnsi="Times New Roman" w:cs="B Nazanin"/>
          <w:sz w:val="22"/>
          <w:szCs w:val="28"/>
          <w:rtl w:val="1"/>
        </w:rPr>
        <w:t>بند ۸۱ نقص جدی در ساختار نهادی موجود را تأیید می‌کند. هیئت عالی رتبه سازمان ملل متحد در مورد انسجام گسترده سیستم سازمان ملل در زمینه های توسعه، کمک های بشردوستانه و محیط زیست</w:t>
      </w:r>
      <w:r>
        <w:rPr>
          <w:rStyle w:val="FootnoteReference"/>
          <w:rtl w:val="1"/>
        </w:rPr>
        <w:footnoteReference w:id="369"/>
      </w:r>
      <w:r>
        <w:rPr>
          <w:rFonts w:ascii="Times New Roman" w:hAnsi="Times New Roman" w:cs="B Nazanin"/>
          <w:sz w:val="22"/>
          <w:szCs w:val="28"/>
          <w:rtl w:val="1"/>
        </w:rPr>
        <w:t>، بر این واقعیت تأکید دارد که «ساختارهای نهادی پراکنده موجب چارچوب عملیاتی برای رسیدگی به مسائل جهانی نمی گردد.»</w:t>
      </w:r>
      <w:r>
        <w:rPr>
          <w:rStyle w:val="FootnoteReference"/>
          <w:rtl w:val="1"/>
        </w:rPr>
        <w:footnoteReference w:id="370"/>
      </w:r>
      <w:r>
        <w:rPr>
          <w:rFonts w:ascii="Times New Roman" w:hAnsi="Times New Roman" w:cs="B Nazanin"/>
          <w:sz w:val="22"/>
          <w:szCs w:val="28"/>
          <w:rtl w:val="1"/>
        </w:rPr>
        <w:t>وجود نهادهایی برای هماهنگی در داخل سیستم سازمان ملل متحد مانند گروه مدیریت محیط زیست</w:t>
      </w:r>
      <w:r>
        <w:rPr>
          <w:rStyle w:val="FootnoteReference"/>
          <w:rtl w:val="1"/>
        </w:rPr>
        <w:footnoteReference w:id="371"/>
      </w:r>
      <w:r>
        <w:rPr>
          <w:rFonts w:ascii="Times New Roman" w:hAnsi="Times New Roman" w:cs="B Nazanin"/>
          <w:sz w:val="22"/>
          <w:szCs w:val="28"/>
          <w:rtl w:val="1"/>
        </w:rPr>
        <w:t xml:space="preserve"> و هیئت اجرایی ارشد سیستم سازمان ملل متحد برای هماهنگی</w:t>
      </w:r>
      <w:r>
        <w:rPr>
          <w:rStyle w:val="FootnoteReference"/>
          <w:rtl w:val="1"/>
        </w:rPr>
        <w:footnoteReference w:id="372"/>
      </w:r>
      <w:r>
        <w:rPr>
          <w:rFonts w:ascii="Times New Roman" w:hAnsi="Times New Roman" w:cs="B Nazanin"/>
          <w:sz w:val="22"/>
          <w:szCs w:val="28"/>
          <w:rtl w:val="1"/>
        </w:rPr>
        <w:t xml:space="preserve"> نشان‌دهنده شناسایی مشکل است، اما عملکرد محدود آن‌ها خود گواهی بر عمق فقدان هماهنگی است. این ناکارآمدی را می‌توان به عوامل ذیل نسبت داد. این نهادها فاقد اختیارات تصمیم‌گیری الزام‌آور نسبت به نهادهای تخصصی مستقل مانند سازمان خواربار و کشاورزی یا سازمان بین‌المللی دریانوردی یا ارکان معاهده ای برای وادار کردن آنها به همسویی کامل هستند. نقش آن‌ها عمدتاً مشورتی، تشویقی و داوطلبانه است.فعالیت این مکانیسم‌ها غالباً در پاسخ به بحران‌ها یا درخواست‌های خاص شکل می‌گیرد، نه بر اساس یک چارچوب پیش‌بینانه و استراتژیک برای ادغام سیاست‌ها.</w:t>
      </w:r>
    </w:p>
    <w:p>
      <w:pPr>
        <w:bidi w:val="1"/>
        <w:spacing w:line="312" w:lineRule="auto" w:before="0" w:after="120"/>
        <w:ind w:firstLine="454"/>
        <w:jc w:val="both"/>
      </w:pPr>
      <w:r>
        <w:rPr>
          <w:rFonts w:ascii="Times New Roman" w:hAnsi="Times New Roman" w:cs="B Nazanin"/>
          <w:sz w:val="22"/>
          <w:szCs w:val="28"/>
          <w:rtl w:val="1"/>
        </w:rPr>
        <w:t>بند ۸۰ به اقدامات امیدوارکننده‌ای جهت حمایت متقابل میان موافقت نامه های چندجانبه محیط زیستی در متون به شرح ذیل اشاره می کند: ارجاعات متقابل موافقت نامه ها از طریق تصمیم ها و/یا قطعنامه در مورد هماهنگی و همکاری بین یکدیگر؛ خوشه‌بندی</w:t>
      </w:r>
      <w:r>
        <w:rPr>
          <w:rStyle w:val="FootnoteReference"/>
          <w:rtl w:val="1"/>
        </w:rPr>
        <w:footnoteReference w:id="373"/>
      </w:r>
      <w:r>
        <w:rPr>
          <w:rFonts w:ascii="Times New Roman" w:hAnsi="Times New Roman" w:cs="B Nazanin"/>
          <w:sz w:val="22"/>
          <w:szCs w:val="28"/>
          <w:rtl w:val="1"/>
        </w:rPr>
        <w:t xml:space="preserve"> موافقت‌نامه‌های چندجانبه زیست‌محیطی مرتبط، به‌عنوان مثال آن‌هایی که با جو، یا تنوع زیستی سروکار دارند و "فرآیند هم افزایی"</w:t>
      </w:r>
      <w:r>
        <w:rPr>
          <w:rStyle w:val="FootnoteReference"/>
          <w:rtl w:val="1"/>
        </w:rPr>
        <w:footnoteReference w:id="374"/>
      </w:r>
      <w:r>
        <w:rPr>
          <w:rFonts w:ascii="Times New Roman" w:hAnsi="Times New Roman" w:cs="B Nazanin"/>
          <w:sz w:val="22"/>
          <w:szCs w:val="28"/>
          <w:rtl w:val="1"/>
        </w:rPr>
        <w:t xml:space="preserve"> که توسط کنفرانس های اعضای کنوانسیون بازل، روتردام و استکهلم و پروژهUNEP  برای تنوع زیستی راه اندازی شد. این ابتکارات گرچه ستودنی و گامی ضروری به جلو هستند، اما یک راه‌حل ساختاری جامع نیستند. ادغام اداری دبیرخانه‌ها یا هماهنگی نشست‌ها و ارجاعات متقابل، لزوماً به همگرایی عمیق سیاست‌ها و اهداف منجر نمی‌شود. هر رژیم معاهده ای همچنان حاکمیت نهادی خود را حفظ می‌کند. خوشه‌بندی موضوعی گرچه ضروری است، اما چالش تعاملات بین‌خوشه‌ای پیچیده‌تر مانند پیوندهای تغییر اقلیم و تنوع زیستی را به اندازه کافی پوشش نمی‌دهد.موفقیت این ابتکارها به شدت به اراده سیاسی لحظه‌ای کشورهای عضو وابسته است و ممکن است در مواجهه با منافع ملی متعارض متوقف شود. کاملاً پیداست که این تلاش‌ها در ساختار پراکنده موجود به منزله اصلاحات حداقلی در حاشیه هستند، نه بازنگری بنیادین در معماری کلان.</w:t>
      </w:r>
    </w:p>
    <w:p>
      <w:pPr>
        <w:bidi w:val="1"/>
        <w:spacing w:line="312" w:lineRule="auto" w:before="0" w:after="120"/>
        <w:ind w:firstLine="454"/>
        <w:jc w:val="both"/>
      </w:pPr>
      <w:r>
        <w:rPr>
          <w:rFonts w:ascii="Times New Roman" w:hAnsi="Times New Roman" w:cs="B Nazanin"/>
          <w:sz w:val="22"/>
          <w:szCs w:val="28"/>
          <w:rtl w:val="1"/>
        </w:rPr>
        <w:t>این راهکارها عمدتاً بر بهینه‌سازی فرآیندهای موجود متمرکزند و باوجود مفید بودن، ماهیتی تکنوکراتیک و غیرالزام‌آور دارند. برای نمونه گزارش دهی یکپارچه و خوشه‌بندی، اگرچه از بار اداری کشورها می‌کاهد، اما به خودی‌ خود تضمینی برای همگرایی سیاستی ایجاد نمی‌کند. تسهیم اطلاعات و بهترین روش‌ها، ضروری اما ناکافی است، چرا که فقدان یک چارچوب نهادی الزام‌آور برای تبدیل این اطلاعات به اقدامات هماهنگ، اثربخشی آن را محدود می‌سازد. تمرکز این راهکارها بر هماهنگی اداری و کاهش تداخل است، در حالی که چالش اصلی گاه تعارض ماهوی اهداف است. راهکارهایی هم چون «گزارش‌دهی یکپارچه» به خودی خود قادر به حل چنین تعارضاتی نیستند.</w:t>
      </w:r>
    </w:p>
    <w:p>
      <w:pPr>
        <w:bidi w:val="1"/>
        <w:spacing w:line="312" w:lineRule="auto" w:before="0" w:after="120"/>
        <w:ind w:firstLine="454"/>
        <w:jc w:val="both"/>
      </w:pPr>
      <w:r>
        <w:rPr>
          <w:rFonts w:ascii="Times New Roman" w:hAnsi="Times New Roman" w:cs="B Nazanin"/>
          <w:sz w:val="22"/>
          <w:szCs w:val="28"/>
          <w:rtl w:val="1"/>
        </w:rPr>
        <w:t>اشاره به ماده ۳۱(۳)(ج) کنوانسیون وین (تفسیر معاهدات با توجه به سایر قواعد بین‌المللی قابل اعمال) حاوی یک بینش حقوقی مهم است. این ماده دادگاه‌ها و نهادهای تفسیرکننده را ملزم می‌کند تا "هر قاعده مرتبط حقوق بین‌الملل قابل اعمال در روابط طرفین" را در تفسیر یک معاهده لحاظ کنند. این ماده می‌تواند ابزاری قدرتمند برای تفسیر هماهنگ‌ساز باشد و از انزوای هنجاری معاهدات محیط‌زیستی بکاهد و به دادگاه‌ها و نهادهای تفسیرکننده دستور دهد تا معاهدات محیط‌زیستی را نه به صورت منفک، بلکه در چارچوب کلی نظام حقوق بین‌الملل تفسیر کنند. با این حال، کاربست موفق آن منوط به اراده نهادهای قضایی و داوری برای پذیرش یک نگرش کل‌نگر به حقوق بین‌الملل است،که در رویه قضایی بین‌المللی چندان رایج نیست.</w:t>
      </w:r>
    </w:p>
    <w:p>
      <w:pPr>
        <w:bidi w:val="1"/>
        <w:spacing w:line="312" w:lineRule="auto" w:before="0" w:after="120"/>
        <w:ind w:firstLine="454"/>
        <w:jc w:val="both"/>
      </w:pPr>
      <w:r>
        <w:rPr>
          <w:rFonts w:ascii="Times New Roman" w:hAnsi="Times New Roman" w:cs="B Nazanin"/>
          <w:sz w:val="22"/>
          <w:szCs w:val="28"/>
          <w:rtl w:val="1"/>
        </w:rPr>
        <w:t>انزوای حقوق محیط‌زیست از دیگر رژیم‌های حقوق بین‌الملل یک شکاف خطرناک، جدایی و گاه تعارض حقوق محیط‌زیست با دیگر رژیم‌های قدرتمند حقوق بین‌الملل، به ویژه حقوق تجارت، سرمایه‌گذاری و مالکیت فکری است (بند ۸۲).  قواعد این رژیم‌ها که توسط نهادهای مجزا و با اهداف متفاوت تفسیر و اجرا می‌شوند، می‌توانند اقدامات محیط‌زیستی دول‌ها را محدود یا خنثی کنند. فقدان مکانیسم‌های ادغامی قوی در این سطح، حاکمیت محیط‌زیست را در موضعی ضعیف قرار می‌دهد.</w:t>
      </w:r>
    </w:p>
    <w:p>
      <w:pPr>
        <w:bidi w:val="1"/>
        <w:spacing w:line="312" w:lineRule="auto" w:before="0" w:after="120"/>
        <w:ind w:firstLine="454"/>
        <w:jc w:val="both"/>
      </w:pPr>
      <w:r>
        <w:rPr>
          <w:rFonts w:ascii="Times New Roman" w:hAnsi="Times New Roman" w:cs="B Nazanin"/>
          <w:sz w:val="22"/>
          <w:szCs w:val="28"/>
          <w:rtl w:val="1"/>
        </w:rPr>
        <w:t xml:space="preserve"> 1. مهم‌ترین مذاکرات اغلب در جلسات غیررسمی اتفاق می‌افتد که دسترسی ناظران به آن‌ها محدود یا ممنوع است. بنابراین انها از فرایندهای واقعی  و موثر مذاکره حذف می شوند. 2. هیچ سازوکار شفافی وجود ندارد که اطمینان دهد اطلاعات تخصصی یا دیدگاه‌های ارائه‌شده توسط جوامع غیردولتی در پیش‌نویس متون یا تصمیمات نهایی مؤثر واقع می‌شود.3. محرومیت از مشارکت مؤثر در مکانیسم‌های بررسی عدم انطباق، شفافیت و پاسخگویی این مکانیسم‌های حیاتی را تضعیف می‌کند.</w:t>
      </w:r>
    </w:p>
    <w:p>
      <w:pPr>
        <w:bidi w:val="1"/>
        <w:spacing w:line="312" w:lineRule="auto" w:before="0" w:after="120"/>
        <w:ind w:firstLine="454"/>
        <w:jc w:val="both"/>
      </w:pPr>
      <w:r>
        <w:rPr>
          <w:rFonts w:ascii="Times New Roman" w:hAnsi="Times New Roman" w:cs="B Nazanin"/>
          <w:sz w:val="22"/>
          <w:szCs w:val="28"/>
          <w:rtl w:val="1"/>
        </w:rPr>
        <w:t>در ادامه، گزارش به الگوهای مترقی به مثابه استثناء اشاره می کند که خلاء موجود را پررنگ‌تر می‌سازد. نخست، به کنوانسیون آرهوس</w:t>
      </w:r>
      <w:r>
        <w:rPr>
          <w:rStyle w:val="FootnoteReference"/>
          <w:rtl w:val="1"/>
        </w:rPr>
        <w:footnoteReference w:id="375"/>
      </w:r>
      <w:r>
        <w:rPr>
          <w:rFonts w:ascii="Times New Roman" w:hAnsi="Times New Roman" w:cs="B Nazanin"/>
          <w:sz w:val="22"/>
          <w:szCs w:val="28"/>
          <w:rtl w:val="1"/>
        </w:rPr>
        <w:t xml:space="preserve"> و موافقتنامه اسکازو</w:t>
      </w:r>
      <w:r>
        <w:rPr>
          <w:rStyle w:val="FootnoteReference"/>
          <w:rtl w:val="1"/>
        </w:rPr>
        <w:footnoteReference w:id="376"/>
      </w:r>
      <w:r>
        <w:rPr>
          <w:rFonts w:ascii="Times New Roman" w:hAnsi="Times New Roman" w:cs="B Nazanin"/>
          <w:sz w:val="22"/>
          <w:szCs w:val="28"/>
          <w:rtl w:val="1"/>
        </w:rPr>
        <w:t xml:space="preserve"> اشاره میکند. این رژیم‌ها با اعطای حقوق رویه ای</w:t>
      </w:r>
      <w:r>
        <w:rPr>
          <w:rStyle w:val="FootnoteReference"/>
          <w:rtl w:val="1"/>
        </w:rPr>
        <w:footnoteReference w:id="377"/>
      </w:r>
      <w:r>
        <w:rPr>
          <w:rFonts w:ascii="Times New Roman" w:hAnsi="Times New Roman" w:cs="B Nazanin"/>
          <w:sz w:val="22"/>
          <w:szCs w:val="28"/>
          <w:rtl w:val="1"/>
        </w:rPr>
        <w:t xml:space="preserve"> به بازیگران غیردولتی و مشارکت آنها در مکانیسم عدم انطباق، یک پارادایم جدید حکمرانی مشارکتی را تعریف می‌کنند.. آنها نشان می‌دهند که نهادینه‌سازی مشارکت عمومی نه تنها ممکن است، بلکه به افزایش مشروعیت و اثربخشی رژیم بین‌المللی می‌انجامد. سپس، به وجود مکانیسم‌های نهادی اختصاصی مانند هیئت بین‌دولتی تغییراقلیم</w:t>
      </w:r>
      <w:r>
        <w:rPr>
          <w:rStyle w:val="FootnoteReference"/>
          <w:rtl w:val="1"/>
        </w:rPr>
        <w:footnoteReference w:id="378"/>
      </w:r>
      <w:r>
        <w:rPr>
          <w:rFonts w:ascii="Times New Roman" w:hAnsi="Times New Roman" w:cs="B Nazanin"/>
          <w:sz w:val="22"/>
          <w:szCs w:val="28"/>
          <w:rtl w:val="1"/>
        </w:rPr>
        <w:t xml:space="preserve"> و اوزون</w:t>
      </w:r>
      <w:r>
        <w:rPr>
          <w:rStyle w:val="FootnoteReference"/>
          <w:rtl w:val="1"/>
        </w:rPr>
        <w:footnoteReference w:id="379"/>
      </w:r>
      <w:r>
        <w:rPr>
          <w:rFonts w:ascii="Times New Roman" w:hAnsi="Times New Roman" w:cs="B Nazanin"/>
          <w:sz w:val="22"/>
          <w:szCs w:val="28"/>
          <w:rtl w:val="1"/>
        </w:rPr>
        <w:t xml:space="preserve"> اشاره می کند که در آن جامعه علمی با ارائه اطلاعات مستقل و معتبر به توسعه سیاست ها کمک می کنند. از این رو، حکمرانی مبتنی بر علم زمانی محقق می‌شود که ارتباط بین نهاد علمی و نهاد سیاست‌گذار، ساختاری، دائم و از پیش تعریف‌شده باشد، نه موردی و دلبخواه.</w:t>
      </w:r>
    </w:p>
    <w:p>
      <w:pPr>
        <w:bidi w:val="1"/>
        <w:spacing w:line="312" w:lineRule="auto" w:before="0" w:after="120"/>
        <w:ind w:firstLine="454"/>
        <w:jc w:val="both"/>
      </w:pPr>
      <w:r>
        <w:rPr>
          <w:rFonts w:ascii="Times New Roman" w:hAnsi="Times New Roman" w:cs="B Nazanin"/>
          <w:sz w:val="22"/>
          <w:szCs w:val="28"/>
          <w:rtl w:val="1"/>
        </w:rPr>
        <w:t>پراکندگی نهادی، مشارکت مؤثر ذی‌نفعان را پیچیده و پرهزینه می‌سازد.چگونه یک سازمان مردمی می‌تواند در صدها رژیم مجزا مشارکت مؤثر داشته باشد؟. از سوی دیگر، نبود مشارکت گسترده و ساختاریافته، فشار سیاسی لازم برای ایجاد اصلاحات ساختاری عمیق‌تر و هماهنگی واقعی را تضعیف می‌کند. راه برون‌رفت، پیگیری همزمان دو مسیر است: تدوین قواعد حداقلی الزام‌آور در سطح جهانی که مشارکت مؤثر غیردولتی‌ها در تمام مراحل شکل‌گیری، اجرا و نظارت بر معاهدات محیط‌زیستی را تضمین کند. استفاده از راهکارهای فنی بند ۸۳ نه به عنوان هدف نهایی، بلکه به عنوان ابزاری در خدمت یک حکمرانی شفاف و پاسخگو.</w:t>
      </w:r>
    </w:p>
    <w:p>
      <w:pPr>
        <w:bidi w:val="1"/>
        <w:spacing w:line="312" w:lineRule="auto" w:before="0" w:after="120"/>
        <w:ind w:firstLine="454"/>
        <w:jc w:val="both"/>
      </w:pPr>
      <w:r>
        <w:rPr>
          <w:rFonts w:ascii="Times New Roman" w:hAnsi="Times New Roman" w:cs="B Nazanin"/>
          <w:sz w:val="22"/>
          <w:szCs w:val="28"/>
          <w:rtl w:val="1"/>
        </w:rPr>
        <w:t>اشاره پایانی به سازوکارهای حقوق بشر، نکته‌ای کلیدی است. در آن حوزه، مشارکت سازمان‌های غیردولتی و افراد در فرآیندهای گزارش‌دهی، بررسی و حتی برخی شکایت‌ها تا حد زیادی نهادینه و قاعده‌مند شده است. این مقایسه نشان می‌دهد که مقاومت در برابر دمکراتیک‌سازی حکمرانی محیط‌زیست، یک مانع سیاسی-ساختاری است، نه یک محدودیت ذاتی این حوزه.</w:t>
      </w:r>
    </w:p>
    <w:p>
      <w:pPr>
        <w:bidi w:val="1"/>
        <w:spacing w:line="312" w:lineRule="auto" w:before="0" w:after="120"/>
        <w:ind w:firstLine="454"/>
        <w:jc w:val="both"/>
      </w:pPr>
      <w:r>
        <w:rPr>
          <w:rFonts w:ascii="Times New Roman" w:hAnsi="Times New Roman" w:cs="B Nazanin"/>
          <w:sz w:val="22"/>
          <w:szCs w:val="28"/>
          <w:rtl w:val="1"/>
        </w:rPr>
        <w:t>این وضعیت اگرچه موجب مشارکت گسترده شده، اما به هم‌پوشانی مأموریت‌ها، رقابت بر سر منابع و ناهماهنگی در سیاست گذاری انجامیده است. در بدو امر، شاهد فقدان ساختارمند سازی در 3 مشکل مشارکت هستیم.</w:t>
      </w:r>
    </w:p>
    <w:p>
      <w:pPr>
        <w:bidi w:val="1"/>
        <w:spacing w:line="312" w:lineRule="auto" w:before="0" w:after="120"/>
        <w:ind w:firstLine="454"/>
        <w:jc w:val="both"/>
      </w:pPr>
      <w:r>
        <w:rPr>
          <w:rFonts w:ascii="Times New Roman" w:hAnsi="Times New Roman" w:cs="B Nazanin"/>
          <w:sz w:val="22"/>
          <w:szCs w:val="28"/>
          <w:rtl w:val="1"/>
        </w:rPr>
        <w:t>نوت بر گزارش دبیرکل:</w:t>
      </w:r>
    </w:p>
    <w:p>
      <w:pPr>
        <w:bidi w:val="1"/>
        <w:spacing w:line="312" w:lineRule="auto" w:before="0" w:after="120"/>
        <w:ind w:firstLine="454"/>
        <w:jc w:val="both"/>
      </w:pPr>
      <w:r>
        <w:rPr>
          <w:rFonts w:ascii="Times New Roman" w:hAnsi="Times New Roman" w:cs="B Nazanin"/>
          <w:sz w:val="22"/>
          <w:szCs w:val="28"/>
          <w:rtl w:val="1"/>
        </w:rPr>
        <w:t>ص.15حقوق بین‌الملل محیط زیست در چهار دهه گذشته نسبتاً سریع تکامل یافته است. کشورهای در حال توسعه نقش پیشرو در طراحی و اجرای حقوق محیط زیست جدید ایفا کرده‌اند، زیرا شواهد واقعی آسیب زیست‌محیطی را دیده‌اند.&lt;sup&gt;۶۷&lt;/sup&gt; این موافقت‌نامه‌ها عموماً موضوع ‌محور یا معطوف به شرایط در مناطق جغرافیایی خاص هستند. همان‌طور که در بالا ذکر شد، این امر به این حوزه ظاهر تکه‌تکه شدن را می‌دهد. یک مجموعه اصول فراگیر توافق‌شده بین‌المللی به ایجاد وحدت در اسناد با دامنه و ماهیت حقوقی متفاوت کمک می‌کند.</w:t>
      </w:r>
    </w:p>
    <w:p>
      <w:pPr>
        <w:bidi w:val="1"/>
        <w:spacing w:line="312" w:lineRule="auto" w:before="0" w:after="120"/>
        <w:ind w:firstLine="454"/>
        <w:jc w:val="both"/>
      </w:pPr>
      <w:r>
        <w:rPr>
          <w:rFonts w:ascii="Times New Roman" w:hAnsi="Times New Roman" w:cs="B Nazanin"/>
          <w:sz w:val="22"/>
          <w:szCs w:val="28"/>
          <w:rtl w:val="1"/>
        </w:rPr>
        <w:t>شفافیت و ثبات در تعریف این اصول بنیادین، در یک سند حقوقی، کار پیچیده عملیاتی‌سازی موافقت‌نامه‌های زیست‌محیطی را ساده می‌کند. تکثر موافقت‌نامه‌ها، تأمین کارمندان دولتی و دیپلمات‌های کافی برای شرکت در تمام رژیم‌های بین‌المللی را برای دولت‌ها دشوار کرده است. همچنین منجر به نگرانی‌هایی در مورد بی ثباتی حقوقی و پراکندگی نهادی و  عدم قطعیت حقوقی شده است.&lt;sup&gt;۶۸&lt;/sup&gt; محققان در سراسر جهان به طور گسترده به این وضعیت اشاره کرده‌اند.&lt;sup&gt;۶۹&lt;/sup&gt; یک «نیاز فوری برای تقویت نهادها و چارچوب حاکمیتی زیست‌محیطی سازمان ملل» وجود دارد.&lt;sup&gt;۷۰&lt;/sup&gt;</w:t>
      </w:r>
    </w:p>
    <w:p>
      <w:pPr>
        <w:bidi w:val="1"/>
        <w:spacing w:line="312" w:lineRule="auto" w:before="0" w:after="120"/>
        <w:ind w:firstLine="454"/>
        <w:jc w:val="both"/>
      </w:pPr>
      <w:r>
        <w:rPr>
          <w:rFonts w:ascii="Times New Roman" w:hAnsi="Times New Roman" w:cs="B Nazanin"/>
          <w:sz w:val="22"/>
          <w:szCs w:val="28"/>
          <w:rtl w:val="1"/>
        </w:rPr>
        <w:t>ص.16: بیش از ۵۰۰ موافقت‌نامه بین‌المللی محیط زیست وجود دارد که به طور مستقیم یا غیرمستقیم به محیط زیست مربوط می‌شوند. این تنوع اسناد  هنجاری طیف متنوعی از مسائل، مانند کاهش تنوع زیستی، آلودگی جو، تخریب اقیانوس‌ها یا خاک، یا مشکل جنگل‌زدایی، در میان بسیاری دیگر را پوشش می‌دهند. به این فراوانی هنجارها، انبوهی از ارگان‌های سیاست‌گذاری باید اضافه شود تا ناهمگونی غالب تکمیل شود. در واقع، موافقت‌نامه‌های چندجانبه زیست‌محیطی مجموعه نهادی خاص خود را (مانند کنفرانس اعضا، دبیرخانه‌ها و غیره) برای اطمینان از عملکرد صحیح موافقت‌نامه‌ها ایجاد کرده‌اند. شدت وضعیت محیط زیست ناشی از فشارهای انسانی بر زمین، نیاز حیاتی به اصلا‌ح در این چارچوب نهادی را نشان می‌دهد.&lt;sup&gt;۷۱&lt;/sup&gt;</w:t>
      </w:r>
    </w:p>
    <w:p>
      <w:pPr>
        <w:bidi w:val="1"/>
        <w:spacing w:line="312" w:lineRule="auto" w:before="0" w:after="120"/>
        <w:ind w:firstLine="454"/>
        <w:jc w:val="both"/>
      </w:pPr>
      <w:r>
        <w:rPr>
          <w:rFonts w:ascii="Times New Roman" w:hAnsi="Times New Roman" w:cs="B Nazanin"/>
          <w:sz w:val="22"/>
          <w:szCs w:val="28"/>
          <w:rtl w:val="1"/>
        </w:rPr>
        <w:t>در میان نهادهای جهانی و منطقه‌ای متعدد، UNEP قرار بود «مرجع پیشرو زیست‌محیطی در سیستم سازمان ملل متحد» باشد.&lt;sup&gt;۷۲&lt;/sup&gt; از زمان ایجاد آن در سال ۱۹۷۲، UNEP سعی کرده است استانداردها و شیوه‌های زیست‌محیطی قوی را تثبیت کند و در عین حال پایبندی با آنها را تضمین کند. با این حال، با مشکلات بسیاری مواجه شده است، که عمدتاً به دلیل ساختار سازمانی خود و عدم تأمین مالی مناسب است، که منجر به تلاش‌های مختلف بازسازی شده است.&lt;sup&gt;۷۳&lt;/sup&gt;</w:t>
      </w:r>
    </w:p>
    <w:p>
      <w:pPr>
        <w:bidi w:val="1"/>
        <w:spacing w:line="312" w:lineRule="auto" w:before="0" w:after="120"/>
        <w:ind w:firstLine="454"/>
        <w:jc w:val="both"/>
      </w:pPr>
      <w:r>
        <w:rPr>
          <w:rFonts w:ascii="Times New Roman" w:hAnsi="Times New Roman" w:cs="B Nazanin"/>
          <w:sz w:val="22"/>
          <w:szCs w:val="28"/>
          <w:rtl w:val="1"/>
        </w:rPr>
        <w:t>پیشنهادهای مختلفی برای ارائه نظارت منسجم‌تر بر حاکمیت/حکمرانی بین‌المللی برای سیستم‌های زیست‌محیطی زمین به دولت‌ها ارائه شده است. از جمله پیشنهادها برای بهبود اثربخشی حاکمیت/حکمرانی زیست‌محیطی بین‌المللی، ایجاد یک سازمان جهانی محیط زیست (WEO) به عنوان یک آژانس تخصصی سازمان ملل به جای یک برنامه سازمان ملل است.&lt;sup&gt;۷۴&lt;/sup&gt; WEO سازمان جهانی محیط زیست به عنوان یک نهاد متمرکزتر تصور می‌شود که فرآیندهای تصمیم‌گیری، اجرا و هماهنگی در حاکمیت زیست‌محیطی بین‌المللی را بهبود می‌بخشد. پیشنهادهای دیگر UNDP و UNEP را ادغام می‌کنند و یک برنامه پایداری سازمان ملل un sustainability programme را تشکیل می‌دهند. این برنامه به شورای اقتصادی و اجتماعی سازمان ملل گزارش می‌دهد، که به عنوان یک شورای بوم‌شناختی، اجتماعی و اقتصادی عمل می‌کند. به طور جایگزین، بهارات اچ. دسای، عضو ICEL، خواستار واگذاری نظارت به یک شورای قیمومت «زیست‌محیطی» سازمان ملل شده است ص.17 .&lt;sup&gt;۷۵&lt;/sup&gt; در حال حاضر، مجمع محیط زیست سازمان ملل و کمیته دوم مجمع عمومی مسئول نظارت بر حاکمیت و سیاست زیست‌محیطی جهانی هستند. مجمع عمومی سازمان ملل مجمع سیاسی عالی رتبه را در ژوئیه هر سال راه‌اندازی کرد تا اجرای اهداف توسعه پایدار سازمان ملل را ارزیابی کند. یک راه کارآمد برای دستیابی به انسجام جهانی می‌تواند با تصویب مجموعه مشترکی از اصول توافق‌شده فراهم شود.</w:t>
      </w:r>
    </w:p>
    <w:p>
      <w:pPr>
        <w:bidi w:val="1"/>
        <w:spacing w:line="312" w:lineRule="auto" w:before="0" w:after="120"/>
        <w:ind w:firstLine="454"/>
        <w:jc w:val="both"/>
      </w:pPr>
      <w:r>
        <w:rPr>
          <w:rFonts w:ascii="Times New Roman" w:hAnsi="Times New Roman" w:cs="B Nazanin"/>
          <w:sz w:val="22"/>
          <w:szCs w:val="28"/>
          <w:rtl w:val="1"/>
        </w:rPr>
        <w:t>هر رویکرد حاکمیتی/حکمرانی که ممکن است در نظر گرفته شود، به رسمیت شناختن فزاینده نقش بازیگران غیردولتی در حقوق بین‌الملل محیط زیست وجود دارد، با اذعان به اینکه روابط بین‌الملل فراتر از دولت‌ها و «مدل وستفالیایی» حاکمیت دولت تکامل یافته است. بازیگران غیردولتی به طور فزاینده‌ای در مذاکرات بین‌المللی زیست‌محیطی شرکت می‌کنند، هرچند اغلب به شیوه‌ای غیررسمی، بدون قواعد مشخص در مورد دامنه مشارکت آنها. در دنیای رسانه‌های اجتماعی، امکان مشارکت جوامع محلی در بحث‌های مربوط به آینده زیست‌محیطی آنها نیز وجود دارد. سیستم‌های حقوق بین‌الملل محیط زیست باید چگونگی رعایت اصل ۱۰ اعلامیه ریو، در مورد «مشارکت عمومی در تصمیم‌گیری‌های زیست‌محیطی» را بیشتر بررسی کنند.&lt;sup&gt;۷۶&lt;/sup&gt;</w:t>
      </w:r>
    </w:p>
    <w:p>
      <w:pPr>
        <w:bidi w:val="1"/>
        <w:spacing w:line="312" w:lineRule="auto" w:before="0" w:after="120"/>
        <w:ind w:firstLine="454"/>
        <w:jc w:val="both"/>
      </w:pPr>
      <w:r>
        <w:rPr>
          <w:rFonts w:ascii="Times New Roman" w:hAnsi="Times New Roman" w:cs="B Nazanin"/>
          <w:sz w:val="22"/>
          <w:szCs w:val="28"/>
          <w:rtl w:val="1"/>
        </w:rPr>
        <w:t>اجماع گسترده‌ای در حمایت از هماهنگی مؤثرتر بین اسناد و نهادهای بین‌المللی محیط زیست وجود دارد. گزارش ویژه IPCC «گرمایش جهانی ۱.۵ درجه سانتی‌گراد» پیش‌بینی می‌کند که دولت‌ها فقط ده سال فرصت دارند تا هماهنگی را بهبود بخشند، قبل از اینکه آسیب‌ها غیرقابل تحمل شوند. گرمایش شتابان جو زمین هیچ مماطله بیشتری را مجاز نمی‌دارد. تقویت سیستم‌های حقوقی بین‌المللی محیط زیست برای دستیابی به دستور کار ۲۰۳۰ در مورد توسعه پایدار ضروری است. دولت‌ها از داشتن نهادهای قوی‌تری که بتوانند به طور مؤثرتری به مشکلات زیست‌محیطی آنها پاسخ دهند، سود می‌برند. تدوین مجموعه‌ای از اصول، همکاری بین‌المللی را به سمت ساختارهای حاکمیتی جدیدی تحریک می‌کند/ سوق می دهد که به تدریج خلا ‌های موجود در سیستم حقوق بین‌الملل محیط زیست را «...به عنوان پایه حقوقی برای عدالت زیست‌محیطی، یکپارچگی بوم‌شناختی جهانی، و آینده‌ای پایدار برای همه.»&lt;sup&gt;۷۷&lt;/sup&gt; پر خواهند کرد،</w:t>
      </w:r>
    </w:p>
    <w:p>
      <w:pPr>
        <w:pStyle w:val="Heading3"/>
        <w:bidi w:val="1"/>
        <w:spacing w:line="312" w:lineRule="auto" w:before="200" w:after="120"/>
        <w:jc w:val="right"/>
      </w:pPr>
      <w:r>
        <w:rPr>
          <w:rFonts w:ascii="Times New Roman" w:hAnsi="Times New Roman" w:cs="B Nazanin"/>
          <w:sz w:val="24"/>
          <w:szCs w:val="24"/>
          <w:rtl w:val="1"/>
          <w:b/>
          <w:bCs/>
          <w:color w:val="000000"/>
        </w:rPr>
        <w:t>۳-۱-۷ خلاءهای مرتبط با اجرا و اثربخشی حقوق بین الملل محیط زیست</w:t>
      </w:r>
    </w:p>
    <w:p>
      <w:pPr>
        <w:bidi w:val="1"/>
        <w:spacing w:line="312" w:lineRule="auto" w:before="0" w:after="120"/>
        <w:ind w:firstLine="454"/>
        <w:jc w:val="both"/>
      </w:pPr>
      <w:r>
        <w:rPr>
          <w:rFonts w:ascii="Times New Roman" w:hAnsi="Times New Roman" w:cs="B Nazanin"/>
          <w:sz w:val="22"/>
          <w:szCs w:val="28"/>
          <w:rtl w:val="1"/>
        </w:rPr>
        <w:t>«پراکندگی اجتناب‌ناپذیر است، اما فقدان یک چارچوب مادر، این پراکندگی را به یک آسیب سیستمی تبدیل کرده است»</w:t>
      </w:r>
    </w:p>
    <w:p>
      <w:pPr>
        <w:pStyle w:val="Heading2"/>
        <w:bidi w:val="1"/>
        <w:spacing w:line="312" w:lineRule="auto" w:before="200" w:after="120"/>
        <w:jc w:val="right"/>
      </w:pPr>
      <w:r>
        <w:rPr>
          <w:rFonts w:ascii="Times New Roman" w:hAnsi="Times New Roman" w:cs="B Nazanin"/>
          <w:sz w:val="24"/>
          <w:szCs w:val="24"/>
          <w:rtl w:val="1"/>
          <w:b/>
          <w:bCs/>
          <w:color w:val="000000"/>
        </w:rPr>
        <w:t>۳-۲ گفتار دوم: واکاویِ ابتکارِ پیمان جهانی محیط زیست</w:t>
      </w:r>
    </w:p>
    <w:p>
      <w:pPr>
        <w:bidi w:val="1"/>
        <w:spacing w:line="312" w:lineRule="auto" w:before="0" w:after="120"/>
        <w:ind w:firstLine="454"/>
        <w:jc w:val="both"/>
      </w:pPr>
      <w:r>
        <w:rPr>
          <w:rFonts w:ascii="Times New Roman" w:hAnsi="Times New Roman" w:cs="B Nazanin"/>
          <w:sz w:val="22"/>
          <w:szCs w:val="28"/>
          <w:rtl w:val="1"/>
        </w:rPr>
        <w:t>پس از آنکه گفتارِ نخست خلأهای گزارشِ دبیرکل (۱۹۹۰) و روندِ شکل‌گیریِ پیش‌نویسِ ۲۰۱۷ را کاوید، گفتارِ حاضر خودِ ابتکارِ پیمان را در نُه محورِ به‌هم‌پیوسته تحلیل می‌کند: ضرورت، اهداف، دامنه، رویکردها، ماهیت و جایگاه، محتوای مواد ماهوی، محتوای مواد شکلی، ارزشِ افزوده و نوآوری، و کاستی‌ها. هدف، ارزیابیِ مستدلِ این پرسش است که آیا پیمان می‌توانست به خلأهای شناسایی‌شده در گزارشِ دبیرکل پاسخ دهد.</w:t>
      </w:r>
    </w:p>
    <w:p>
      <w:pPr>
        <w:pStyle w:val="Heading3"/>
        <w:bidi w:val="1"/>
        <w:spacing w:line="312" w:lineRule="auto" w:before="200" w:after="120"/>
        <w:jc w:val="right"/>
      </w:pPr>
      <w:r>
        <w:rPr>
          <w:rFonts w:ascii="Times New Roman" w:hAnsi="Times New Roman" w:cs="B Nazanin"/>
          <w:sz w:val="24"/>
          <w:szCs w:val="24"/>
          <w:rtl w:val="1"/>
          <w:b/>
          <w:bCs/>
          <w:color w:val="000000"/>
        </w:rPr>
        <w:t>۳-۲-۱ ضرورتِ تدوینِ پیمان</w:t>
      </w:r>
    </w:p>
    <w:p>
      <w:pPr>
        <w:bidi w:val="1"/>
        <w:spacing w:line="312" w:lineRule="auto" w:before="0" w:after="120"/>
        <w:ind w:firstLine="454"/>
        <w:jc w:val="both"/>
      </w:pPr>
      <w:r>
        <w:rPr>
          <w:rFonts w:ascii="Times New Roman" w:hAnsi="Times New Roman" w:cs="B Nazanin"/>
          <w:sz w:val="22"/>
          <w:szCs w:val="28"/>
          <w:rtl w:val="1"/>
        </w:rPr>
        <w:t>ضرورتِ پیمان از سه سرچشمه برمی‌خیزد. نخست، پراکندگیِ ساختاریِ حقوق بین‌الملل محیط زیست که در فصل دوم تبیین شد و به همپوشانی و تعارضِ تعهدات میان بیش از پانصد MEA انجامیده است. دوم، فقدانِ یک متنِ مرجعِ الزام‌آور که اصولِ بنیادین (احتیاط، پیشگیری، آلوده‌ساز می‌پردازد، عدم‌پس‌رفت) را در یک‌جا و با ارزشِ حقوقیِ یکسان گرد آورد. سوم، شکافِ اجرا و پایبندی که گزارش‌های پیاپیِ برنامهٔ محیط زیست ملل متحد بر آن انگشت گذاشته‌اند.</w:t>
      </w:r>
      <w:r>
        <w:rPr>
          <w:rStyle w:val="FootnoteReference"/>
          <w:rtl w:val="1"/>
        </w:rPr>
        <w:footnoteReference w:id="380"/>
      </w:r>
    </w:p>
    <w:p>
      <w:pPr>
        <w:bidi w:val="1"/>
        <w:spacing w:line="312" w:lineRule="auto" w:before="0" w:after="120"/>
        <w:ind w:firstLine="454"/>
        <w:jc w:val="both"/>
      </w:pPr>
      <w:r>
        <w:rPr>
          <w:rFonts w:ascii="Times New Roman" w:hAnsi="Times New Roman" w:cs="B Nazanin"/>
          <w:sz w:val="22"/>
          <w:szCs w:val="28"/>
          <w:rtl w:val="1"/>
        </w:rPr>
        <w:t>آگیلا و وینیوالس استدلال می‌کنند که تدوینِ اصولِ پراکنده در یک سندِ واحد، «هزینهٔ معاملاتیِ» تفسیر و اجرا را می‌کاهد و به قاضی و دولت‌ها مرجعی مشترک می‌دهد؛ همان کارکردی که کمیسیون حقوق بین‌الملل ذیلِ «یکپارچگیِ نظام‌مند» توضیح می‌دهد.</w:t>
      </w:r>
      <w:r>
        <w:rPr>
          <w:rStyle w:val="FootnoteReference"/>
          <w:rtl w:val="1"/>
        </w:rPr>
        <w:footnoteReference w:id="381"/>
      </w:r>
    </w:p>
    <w:p>
      <w:pPr>
        <w:pStyle w:val="Heading3"/>
        <w:bidi w:val="1"/>
        <w:spacing w:line="312" w:lineRule="auto" w:before="200" w:after="120"/>
        <w:jc w:val="right"/>
      </w:pPr>
      <w:r>
        <w:rPr>
          <w:rFonts w:ascii="Times New Roman" w:hAnsi="Times New Roman" w:cs="B Nazanin"/>
          <w:sz w:val="24"/>
          <w:szCs w:val="24"/>
          <w:rtl w:val="1"/>
          <w:b/>
          <w:bCs/>
          <w:color w:val="000000"/>
        </w:rPr>
        <w:t>۳-۲-۲ اهداف و دامنهٔ شمول</w:t>
      </w:r>
    </w:p>
    <w:p>
      <w:pPr>
        <w:bidi w:val="1"/>
        <w:spacing w:line="312" w:lineRule="auto" w:before="0" w:after="120"/>
        <w:ind w:firstLine="454"/>
        <w:jc w:val="both"/>
      </w:pPr>
      <w:r>
        <w:rPr>
          <w:rFonts w:ascii="Times New Roman" w:hAnsi="Times New Roman" w:cs="B Nazanin"/>
          <w:sz w:val="22"/>
          <w:szCs w:val="28"/>
          <w:rtl w:val="1"/>
        </w:rPr>
        <w:t>هدفِ اصلیِ پیش‌نویسِ ۲۰۱۷، تثبیتِ اصولِ عمومیِ حقوق محیط زیست به‌مثابه حقوقِ الزام‌آور و ایجادِ حقِ بنیادینِ «زیستن در محیطی زیست‌سازگار (ecologically sound environment)» بود (مادهٔ ۱). دامنهٔ شمولِ آن فراگیر است: همهٔ عرصه‌های زیست‌محیطی و همهٔ تابعانِ حقوق بین‌الملل، اعم از دولت‌ها، سازمان‌ها و — به‌طور غیرمستقیم — بازیگرانِ غیردولتی.</w:t>
      </w:r>
    </w:p>
    <w:p>
      <w:pPr>
        <w:bidi w:val="1"/>
        <w:spacing w:line="312" w:lineRule="auto" w:before="0" w:after="120"/>
        <w:ind w:firstLine="454"/>
        <w:jc w:val="both"/>
      </w:pPr>
      <w:r>
        <w:rPr>
          <w:rFonts w:ascii="Times New Roman" w:hAnsi="Times New Roman" w:cs="B Nazanin"/>
          <w:sz w:val="22"/>
          <w:szCs w:val="28"/>
          <w:rtl w:val="1"/>
        </w:rPr>
        <w:t>این فراگیریِ دامنه، هم بزرگ‌ترین جاه‌طلبیِ پیمان و هم — چنان‌که در بخشِ کاستی‌ها خواهد آمد — یکی از عللِ مقاومتِ دولت‌ها بود؛ زیرا سندی با چنین گستره‌ای، ناگزیر با اصلِ حاکمیت و با رژیم‌های تخصصیِ موجود در تماس قرار می‌گرفت.</w:t>
      </w:r>
    </w:p>
    <w:p>
      <w:pPr>
        <w:pStyle w:val="Heading3"/>
        <w:bidi w:val="1"/>
        <w:spacing w:line="312" w:lineRule="auto" w:before="200" w:after="120"/>
        <w:jc w:val="right"/>
      </w:pPr>
      <w:r>
        <w:rPr>
          <w:rFonts w:ascii="Times New Roman" w:hAnsi="Times New Roman" w:cs="B Nazanin"/>
          <w:sz w:val="24"/>
          <w:szCs w:val="24"/>
          <w:rtl w:val="1"/>
          <w:b/>
          <w:bCs/>
          <w:color w:val="000000"/>
        </w:rPr>
        <w:t>۳-۲-۳ رویکردها: پیشگیرانه، آینده‌نگر و حق‌بشری</w:t>
      </w:r>
    </w:p>
    <w:p>
      <w:pPr>
        <w:bidi w:val="1"/>
        <w:spacing w:line="312" w:lineRule="auto" w:before="0" w:after="120"/>
        <w:ind w:firstLine="454"/>
        <w:jc w:val="both"/>
      </w:pPr>
      <w:r>
        <w:rPr>
          <w:rFonts w:ascii="Times New Roman" w:hAnsi="Times New Roman" w:cs="B Nazanin"/>
          <w:sz w:val="22"/>
          <w:szCs w:val="28"/>
          <w:rtl w:val="1"/>
        </w:rPr>
        <w:t>پیمان بر سه رویکردِ به‌هم‌تنیده استوار بود. رویکردِ پیشگیرانه (preventive) که اصولِ احتیاط و پیشگیری را به کانونِ تعهدات می‌آورد و بارِ اثباتِ بی‌خطری را جابه‌جا می‌کند. رویکردِ آینده‌نگر (forward-looking) که با گنجاندنِ اصلِ «عدم‌پس‌رفت (non-regression)» و توجه به نسل‌های آینده، بُعدی آینده‌پژوهانه به سند می‌بخشد.</w:t>
      </w:r>
      <w:r>
        <w:rPr>
          <w:rStyle w:val="FootnoteReference"/>
          <w:rtl w:val="1"/>
        </w:rPr>
        <w:footnoteReference w:id="382"/>
      </w:r>
    </w:p>
    <w:p>
      <w:pPr>
        <w:bidi w:val="1"/>
        <w:spacing w:line="312" w:lineRule="auto" w:before="0" w:after="120"/>
        <w:ind w:firstLine="454"/>
        <w:jc w:val="both"/>
      </w:pPr>
      <w:r>
        <w:rPr>
          <w:rFonts w:ascii="Times New Roman" w:hAnsi="Times New Roman" w:cs="B Nazanin"/>
          <w:sz w:val="22"/>
          <w:szCs w:val="28"/>
          <w:rtl w:val="1"/>
        </w:rPr>
        <w:t>رویکردِ حق‌بشری (rights-based) که — به تعبیرِ تیگره — «حق بر محیط‌زیست سالم» را همچون زمینهٔ مشترکی برای عبور از بن‌بستِ سیاسی به کار می‌گیرد؛ همان رویکردی که بعدها در قطعنامهٔ ۷۶/۳۰۰ مجمع عمومی (۲۰۲۲) به بار نشست.</w:t>
      </w:r>
      <w:r>
        <w:rPr>
          <w:rStyle w:val="FootnoteReference"/>
          <w:rtl w:val="1"/>
        </w:rPr>
        <w:footnoteReference w:id="383"/>
      </w:r>
    </w:p>
    <w:p>
      <w:pPr>
        <w:pStyle w:val="Heading3"/>
        <w:bidi w:val="1"/>
        <w:spacing w:line="312" w:lineRule="auto" w:before="200" w:after="120"/>
        <w:jc w:val="right"/>
      </w:pPr>
      <w:r>
        <w:rPr>
          <w:rFonts w:ascii="Times New Roman" w:hAnsi="Times New Roman" w:cs="B Nazanin"/>
          <w:sz w:val="24"/>
          <w:szCs w:val="24"/>
          <w:rtl w:val="1"/>
          <w:b/>
          <w:bCs/>
          <w:color w:val="000000"/>
        </w:rPr>
        <w:t>۳-۲-۴ ماهیت و جایگاهِ حقوقیِ پیمان در نظمِ کنونی</w:t>
      </w:r>
    </w:p>
    <w:p>
      <w:pPr>
        <w:bidi w:val="1"/>
        <w:spacing w:line="312" w:lineRule="auto" w:before="0" w:after="120"/>
        <w:ind w:firstLine="454"/>
        <w:jc w:val="both"/>
      </w:pPr>
      <w:r>
        <w:rPr>
          <w:rFonts w:ascii="Times New Roman" w:hAnsi="Times New Roman" w:cs="B Nazanin"/>
          <w:sz w:val="22"/>
          <w:szCs w:val="28"/>
          <w:rtl w:val="1"/>
        </w:rPr>
        <w:t>ماهیتِ حقوقیِ پیمان، «سند چتر (umbrella instrument)» است؛ یعنی متنی که نه جایگزینِ MEAهای موجود می‌شود و نه آن‌ها را در یک نهادِ واحد ادغام می‌کند، بلکه چترِ اصولیِ مشترکی فراهم می‌آورد که سایرِ معاهدات ذیلِ آن تفسیر و هماهنگ شوند.</w:t>
      </w:r>
    </w:p>
    <w:p>
      <w:pPr>
        <w:bidi w:val="1"/>
        <w:spacing w:line="312" w:lineRule="auto" w:before="0" w:after="120"/>
        <w:ind w:firstLine="454"/>
        <w:jc w:val="both"/>
      </w:pPr>
      <w:r>
        <w:rPr>
          <w:rFonts w:ascii="Times New Roman" w:hAnsi="Times New Roman" w:cs="B Nazanin"/>
          <w:sz w:val="22"/>
          <w:szCs w:val="28"/>
          <w:rtl w:val="1"/>
        </w:rPr>
        <w:t>این جایگاه دقیقاً با ابزارِ «یکپارچگیِ نظام‌مندِ» کمیسیون حقوق بین‌الملل هم‌خوان است: پیمان می‌توانست به‌مثابه «بافتِ هنجاریِ مشترک» عمل کند که مادهٔ ۳۱(۳)(ج) کنوانسیون وین در تفسیرِ هر MEA به آن ارجاع می‌دهد — بی‌آنکه استقلالِ رژیم‌های خاص را نفی کند.</w:t>
      </w:r>
      <w:r>
        <w:rPr>
          <w:rStyle w:val="FootnoteReference"/>
          <w:rtl w:val="1"/>
        </w:rPr>
        <w:footnoteReference w:id="384"/>
      </w:r>
    </w:p>
    <w:p>
      <w:pPr>
        <w:pStyle w:val="Heading3"/>
        <w:bidi w:val="1"/>
        <w:spacing w:line="312" w:lineRule="auto" w:before="200" w:after="120"/>
        <w:jc w:val="right"/>
      </w:pPr>
      <w:r>
        <w:rPr>
          <w:rFonts w:ascii="Times New Roman" w:hAnsi="Times New Roman" w:cs="B Nazanin"/>
          <w:sz w:val="24"/>
          <w:szCs w:val="24"/>
          <w:rtl w:val="1"/>
          <w:b/>
          <w:bCs/>
          <w:color w:val="000000"/>
        </w:rPr>
        <w:t>۳-۲-۵ محتوای مواد ماهوی و شکلی</w:t>
      </w:r>
    </w:p>
    <w:p>
      <w:pPr>
        <w:bidi w:val="1"/>
        <w:spacing w:line="312" w:lineRule="auto" w:before="0" w:after="120"/>
        <w:ind w:firstLine="454"/>
        <w:jc w:val="both"/>
      </w:pPr>
      <w:r>
        <w:rPr>
          <w:rFonts w:ascii="Times New Roman" w:hAnsi="Times New Roman" w:cs="B Nazanin"/>
          <w:sz w:val="22"/>
          <w:szCs w:val="28"/>
          <w:rtl w:val="1"/>
        </w:rPr>
        <w:t>از منظرِ ماهوی، پیش‌نویس در بیست‌وشش ماده، اصولِ شناخته‌شدهٔ حقوق محیط زیست را گرد آورد: حقِ محیط‌زیست سالم (م۱)، وظیفهٔ مراقبت (م۲)، ادغامِ ملاحظاتِ زیست‌محیطی در توسعه (م۳)، برابریِ بین‌نسلی (م۴)، پیشگیری (م۵)، احتیاط (م۶)، جبرانِ خسارت و اصلِ آلوده‌ساز می‌پردازد (م۸)، و عدم‌پس‌رفت (م۱۷).</w:t>
      </w:r>
    </w:p>
    <w:p>
      <w:pPr>
        <w:bidi w:val="1"/>
        <w:spacing w:line="312" w:lineRule="auto" w:before="0" w:after="120"/>
        <w:ind w:firstLine="454"/>
        <w:jc w:val="both"/>
      </w:pPr>
      <w:r>
        <w:rPr>
          <w:rFonts w:ascii="Times New Roman" w:hAnsi="Times New Roman" w:cs="B Nazanin"/>
          <w:sz w:val="22"/>
          <w:szCs w:val="28"/>
          <w:rtl w:val="1"/>
        </w:rPr>
        <w:t>از منظرِ شکلی و اجرایی، پیمان سازوکارِ نظارتیِ سبک (کمیتهٔ متخصصانِ مستقل و گزارش‌دهیِ ادواری) پیش‌بینی کرده بود، نه یک دیوانِ الزام‌آور. همین سبک‌بودنِ ضمانتِ اجرا، از سویی شانسِ پذیرشِ سیاسی را بالا می‌برد و از سوی دیگر، آماجِ نقدِ منتقدانی شد که آن را فاقدِ دندانِ اجرایی می‌دانستند.</w:t>
      </w:r>
      <w:r>
        <w:rPr>
          <w:rStyle w:val="FootnoteReference"/>
          <w:rtl w:val="1"/>
        </w:rPr>
        <w:footnoteReference w:id="385"/>
      </w:r>
    </w:p>
    <w:p>
      <w:pPr>
        <w:pStyle w:val="Heading3"/>
        <w:bidi w:val="1"/>
        <w:spacing w:line="312" w:lineRule="auto" w:before="200" w:after="120"/>
        <w:jc w:val="right"/>
      </w:pPr>
      <w:r>
        <w:rPr>
          <w:rFonts w:ascii="Times New Roman" w:hAnsi="Times New Roman" w:cs="B Nazanin"/>
          <w:sz w:val="24"/>
          <w:szCs w:val="24"/>
          <w:rtl w:val="1"/>
          <w:b/>
          <w:bCs/>
          <w:color w:val="000000"/>
        </w:rPr>
        <w:t>۳-۲-۶ ارزشِ افزوده و نوآوریِ حقوقی</w:t>
      </w:r>
    </w:p>
    <w:p>
      <w:pPr>
        <w:bidi w:val="1"/>
        <w:spacing w:line="312" w:lineRule="auto" w:before="0" w:after="120"/>
        <w:ind w:firstLine="454"/>
        <w:jc w:val="both"/>
      </w:pPr>
      <w:r>
        <w:rPr>
          <w:rFonts w:ascii="Times New Roman" w:hAnsi="Times New Roman" w:cs="B Nazanin"/>
          <w:sz w:val="22"/>
          <w:szCs w:val="28"/>
          <w:rtl w:val="1"/>
        </w:rPr>
        <w:t>ارزشِ افزودهٔ اصلیِ پیمان، «یک‌جا و الزام‌آور کردنِ» اصولی بود که تاکنون پراکنده و عمدتاً نرم بودند؛ به‌ویژه تثبیتِ اصلِ «عدم‌پس‌رفت» به‌مثابه یک تعهدِ حقوقی، نوآوریِ برجستهٔ آن به شمار می‌رود. افزون بر این، پیمان می‌توانست مرجعی برای رویهٔ قضاییِ نوپای زیست‌محیطی فراهم کند.</w:t>
      </w:r>
    </w:p>
    <w:p>
      <w:pPr>
        <w:bidi w:val="1"/>
        <w:spacing w:line="312" w:lineRule="auto" w:before="0" w:after="120"/>
        <w:ind w:firstLine="454"/>
        <w:jc w:val="both"/>
      </w:pPr>
      <w:r>
        <w:rPr>
          <w:rFonts w:ascii="Times New Roman" w:hAnsi="Times New Roman" w:cs="B Nazanin"/>
          <w:sz w:val="22"/>
          <w:szCs w:val="28"/>
          <w:rtl w:val="1"/>
        </w:rPr>
        <w:t>تیلر نتیجه می‌گیرد که پیمان در «تقویتِ اصولِ عمومی» ارزش‌افزا است، هرچند در «پرکردنِ خلأهای مقرراتیِ مشخص» توفیقی نمی‌یافت؛ داوریِ متعادلی که این رساله آن را می‌پذیرد و در فصل چهارم بسط می‌دهد.</w:t>
      </w:r>
      <w:r>
        <w:rPr>
          <w:rStyle w:val="FootnoteReference"/>
          <w:rtl w:val="1"/>
        </w:rPr>
        <w:footnoteReference w:id="386"/>
      </w:r>
    </w:p>
    <w:p>
      <w:pPr>
        <w:pStyle w:val="Heading3"/>
        <w:bidi w:val="1"/>
        <w:spacing w:line="312" w:lineRule="auto" w:before="200" w:after="120"/>
        <w:jc w:val="right"/>
      </w:pPr>
      <w:r>
        <w:rPr>
          <w:rFonts w:ascii="Times New Roman" w:hAnsi="Times New Roman" w:cs="B Nazanin"/>
          <w:sz w:val="24"/>
          <w:szCs w:val="24"/>
          <w:rtl w:val="1"/>
          <w:b/>
          <w:bCs/>
          <w:color w:val="000000"/>
        </w:rPr>
        <w:t>۳-۲-۷ کاستی‌ها و قابلیتِ پاسخ‌گویی به خلأهای گزارشِ دبیرکل</w:t>
      </w:r>
    </w:p>
    <w:p>
      <w:pPr>
        <w:bidi w:val="1"/>
        <w:spacing w:line="312" w:lineRule="auto" w:before="0" w:after="120"/>
        <w:ind w:firstLine="454"/>
        <w:jc w:val="both"/>
      </w:pPr>
      <w:r>
        <w:rPr>
          <w:rFonts w:ascii="Times New Roman" w:hAnsi="Times New Roman" w:cs="B Nazanin"/>
          <w:sz w:val="22"/>
          <w:szCs w:val="28"/>
          <w:rtl w:val="1"/>
        </w:rPr>
        <w:t>پیمان با سه کاستیِ اصلی روبه‌رو بود: ضمانتِ اجرای ضعیف، ابهامِ نسبتِ آن با MEAهای موجود، و بلندپروازیِ دامنه که مقاومتِ دولت‌های نگرانِ حاکمیت را برانگیخت. با این حال، ارزیابیِ مستدل نشان می‌دهد که پیمان دستِ‌کم به بخشی از خلأهای چهارگانهٔ گزارشِ دبیرکل (خلأِ هنجاری، خلأِ انسجام، خلأِ اجرا، و خلأِ حق‌محوری) پاسخ می‌داد: خلأِ هنجاری و انسجام را از طریقِ تجمیعِ اصول، و خلأِ حق‌محوری را با تثبیتِ حقِ محیط‌زیست سالم.</w:t>
      </w:r>
      <w:r>
        <w:rPr>
          <w:rStyle w:val="FootnoteReference"/>
          <w:rtl w:val="1"/>
        </w:rPr>
        <w:footnoteReference w:id="387"/>
      </w:r>
    </w:p>
    <w:p>
      <w:pPr>
        <w:bidi w:val="1"/>
        <w:spacing w:line="312" w:lineRule="auto" w:before="0" w:after="120"/>
        <w:ind w:firstLine="454"/>
        <w:jc w:val="both"/>
      </w:pPr>
      <w:r>
        <w:rPr>
          <w:rFonts w:ascii="Times New Roman" w:hAnsi="Times New Roman" w:cs="B Nazanin"/>
          <w:sz w:val="22"/>
          <w:szCs w:val="28"/>
          <w:rtl w:val="1"/>
        </w:rPr>
        <w:t>اما در خلأِ اجرا و پایبندی، پاسخِ پیمان ناکافی بود؛ زیرا سازوکارِ نظارتیِ آن سبک و غیرالزام‌آور طراحی شده بود. این ارزیابیِ دووجهی، پلِ ورود به فصل چهارم است که در آن، اثرِ بالقوهٔ پیمان بر MEAها و پیامدهای شکستِ آن تحلیل می‌شود.</w:t>
      </w:r>
    </w:p>
    <w:p>
      <w:pPr>
        <w:pStyle w:val="Heading2"/>
        <w:bidi w:val="1"/>
        <w:spacing w:line="312" w:lineRule="auto" w:before="200" w:after="120"/>
        <w:jc w:val="right"/>
      </w:pPr>
      <w:r>
        <w:rPr>
          <w:rFonts w:ascii="Times New Roman" w:hAnsi="Times New Roman" w:cs="B Nazanin"/>
          <w:sz w:val="24"/>
          <w:szCs w:val="24"/>
          <w:rtl w:val="1"/>
          <w:b/>
          <w:bCs/>
          <w:color w:val="000000"/>
        </w:rPr>
        <w:t>۳-۳ نتیجه‌گیری فصل سوم</w:t>
      </w:r>
    </w:p>
    <w:p>
      <w:pPr>
        <w:bidi w:val="1"/>
        <w:spacing w:line="312" w:lineRule="auto" w:before="0" w:after="120"/>
        <w:ind w:firstLine="454"/>
        <w:jc w:val="both"/>
      </w:pPr>
      <w:r>
        <w:rPr>
          <w:rFonts w:ascii="Times New Roman" w:hAnsi="Times New Roman" w:cs="B Nazanin"/>
          <w:sz w:val="22"/>
          <w:szCs w:val="28"/>
          <w:rtl w:val="1"/>
        </w:rPr>
        <w:t>فصل سوم نشان داد که ابتکارِ پیمان، پاسخی سنجیده اما ناتمام به خلأهای شناسایی‌شده در گزارشِ دبیرکل بود. پیمان در تجمیعِ اصولِ پراکنده، تثبیتِ حقِ محیط‌زیست سالم و درج اصلِ عدم‌پس‌رفت، ارزشِ افزودهٔ روشنی داشت؛ اما در طراحیِ ضمانتِ اجرا و در تعیینِ نسبتِ خود با رژیم‌های خاصِ موجود، ناکام ماند.</w:t>
      </w:r>
    </w:p>
    <w:p>
      <w:pPr>
        <w:bidi w:val="1"/>
        <w:spacing w:line="312" w:lineRule="auto" w:before="0" w:after="120"/>
        <w:ind w:firstLine="454"/>
        <w:jc w:val="both"/>
      </w:pPr>
      <w:r>
        <w:rPr>
          <w:rFonts w:ascii="Times New Roman" w:hAnsi="Times New Roman" w:cs="B Nazanin"/>
          <w:sz w:val="22"/>
          <w:szCs w:val="28"/>
          <w:rtl w:val="1"/>
        </w:rPr>
        <w:t>این داوریِ متعادل — که از تیلر و آگیلا و وینیوالس وام گرفته و با چارچوبِ پراکندگیِ کمیسیون حقوق بین‌الملل تلفیق شده — مبنای تحلیلِ فصل چهارم است: اینکه شکستِ پیمان چه اثری بر انسجام، کارآمدی و حکمرانیِ MEAها بر جای نهاد و چه نقشهٔ راهی برای جبرانِ آن می‌توان ترسیم کرد.</w:t>
      </w:r>
    </w:p>
    <w:p>
      <w:r>
        <w:br w:type="page"/>
      </w:r>
    </w:p>
    <w:p>
      <w:pPr>
        <w:pStyle w:val="Heading1"/>
        <w:bidi w:val="1"/>
        <w:spacing w:line="312" w:lineRule="auto" w:before="200" w:after="120"/>
        <w:jc w:val="right"/>
      </w:pPr>
      <w:r>
        <w:rPr>
          <w:rFonts w:ascii="Times New Roman" w:hAnsi="Times New Roman" w:cs="B Nazanin"/>
          <w:sz w:val="24"/>
          <w:szCs w:val="28"/>
          <w:rtl w:val="1"/>
          <w:b/>
          <w:bCs/>
          <w:color w:val="000000"/>
        </w:rPr>
        <w:t>فصل فصل ۴: تأثیرِ پیمان جهانی محیط زیست بر موافقت‌نامه‌های چندجانبهٔ محیط‌زیستی و نقشهٔ راهِ جایگزین</w:t>
      </w:r>
    </w:p>
    <w:p>
      <w:pPr>
        <w:bidi w:val="1"/>
        <w:spacing w:line="312" w:lineRule="auto" w:before="0" w:after="160"/>
        <w:jc w:val="both"/>
      </w:pPr>
      <w:r>
        <w:rPr>
          <w:rFonts w:ascii="Times New Roman" w:hAnsi="Times New Roman" w:cs="B Nazanin"/>
          <w:sz w:val="22"/>
          <w:szCs w:val="24"/>
          <w:rtl w:val="1"/>
        </w:rPr>
        <w:t>هستهٔ تحلیلیِ رساله در دو گفتار: گفتار نخست، اثرِ پیمان بر MEAها را در پرتوِ سندِ پراکندگیِ کمیسیون حقوق بین‌الملل (۲۰۰۶) و از هفت منظر (انسجام، کارآمدی، حکمرانی، اجرا، پایبندی، ضمانت اجرا، حاکمیت قانون) می‌کاود و تحلیلِ تطبیقیِ عللِ شکست و دستاوردهای پنهان را دربردارد؛ گفتار دوم، مواضعِ دولت‌ها و نقشهٔ راهِ شش‌ستونیِ جایگزین را ارائه می‌کند.</w:t>
      </w:r>
    </w:p>
    <w:p>
      <w:pPr>
        <w:pStyle w:val="Heading2"/>
        <w:bidi w:val="1"/>
        <w:spacing w:line="312" w:lineRule="auto" w:before="200" w:after="120"/>
        <w:jc w:val="right"/>
      </w:pPr>
      <w:r>
        <w:rPr>
          <w:rFonts w:ascii="Times New Roman" w:hAnsi="Times New Roman" w:cs="B Nazanin"/>
          <w:sz w:val="24"/>
          <w:szCs w:val="24"/>
          <w:rtl w:val="1"/>
          <w:b/>
          <w:bCs/>
          <w:color w:val="000000"/>
        </w:rPr>
        <w:t>۴-۰ درآمد فصل چهارم</w:t>
      </w:r>
    </w:p>
    <w:p>
      <w:pPr>
        <w:bidi w:val="1"/>
        <w:spacing w:line="312" w:lineRule="auto" w:before="0" w:after="120"/>
        <w:ind w:firstLine="454"/>
        <w:jc w:val="both"/>
      </w:pPr>
      <w:r>
        <w:rPr>
          <w:rFonts w:ascii="Times New Roman" w:hAnsi="Times New Roman" w:cs="B Nazanin"/>
          <w:sz w:val="22"/>
          <w:szCs w:val="28"/>
          <w:rtl w:val="1"/>
        </w:rPr>
        <w:t>فصل چهارم، هستهٔ تحلیلیِ رساله است و به پرسشِ اصلی پاسخ می‌دهد: شکل‌گیریِ پیمان — و سرانجام ناکامیِ آن — چه تأثیری بر موافقت‌نامه‌های چندجانبهٔ محیط‌زیستی داشته و چه راهِ جایگزینی برای تحققِ اهدافِ آن متصور است؟ گفتارِ نخست، اثرِ بالقوهٔ پیمان (در صورتِ تصویب) و اثرِ واقعیِ شکستِ آن را با تکیه بر چارچوبِ پراکندگیِ کمیسیون حقوق بین‌الملل (۲۰۰۶) و از هفت منظرِ حقوقی می‌کاود. گفتارِ دوم، دلایلِ حقوقی و ژئوپلیتیکِ مواضعِ دولت‌ها را تحلیل و سپس یک نقشهٔ راهِ شش‌ستونی برای مسیرِ جایگزین ارائه می‌کند.</w:t>
      </w:r>
    </w:p>
    <w:p>
      <w:pPr>
        <w:pStyle w:val="Heading2"/>
        <w:bidi w:val="1"/>
        <w:spacing w:line="312" w:lineRule="auto" w:before="200" w:after="120"/>
        <w:jc w:val="right"/>
      </w:pPr>
      <w:r>
        <w:rPr>
          <w:rFonts w:ascii="Times New Roman" w:hAnsi="Times New Roman" w:cs="B Nazanin"/>
          <w:sz w:val="24"/>
          <w:szCs w:val="24"/>
          <w:rtl w:val="1"/>
          <w:b/>
          <w:bCs/>
          <w:color w:val="000000"/>
        </w:rPr>
        <w:t>۴-۱ گفتار نخست: اثرِ پیمان بر MEAها در پرتوِ سندِ پراکندگیِ ۲۰۰۶</w:t>
      </w:r>
    </w:p>
    <w:p>
      <w:pPr>
        <w:bidi w:val="1"/>
        <w:spacing w:line="312" w:lineRule="auto" w:before="0" w:after="120"/>
        <w:ind w:firstLine="454"/>
        <w:jc w:val="both"/>
      </w:pPr>
      <w:r>
        <w:rPr>
          <w:rFonts w:ascii="Times New Roman" w:hAnsi="Times New Roman" w:cs="B Nazanin"/>
          <w:sz w:val="22"/>
          <w:szCs w:val="28"/>
          <w:rtl w:val="1"/>
        </w:rPr>
        <w:t>برای سنجشِ اثرِ پیمان بر MEAها، این گفتار از سندِ «نتیجه‌گیری‌های گروه مطالعاتیِ پراکندگیِ» کمیسیون حقوق بین‌الملل (۲۰۰۶) به‌مثابه چارچوبِ تحلیلی بهره می‌گیرد. آن سند، پراکندگی را پدیده‌ای «اجتناب‌ناپذیر اما قابلِ مدیریت» می‌داند و سه ابزارِ هماهنگ‌سازی، قاعدهٔ خاصِ مقدم و یکپارچگیِ نظام‌مند را برای مدیریتِ آن پیشنهاد می‌کند.</w:t>
      </w:r>
      <w:r>
        <w:rPr>
          <w:rStyle w:val="FootnoteReference"/>
          <w:rtl w:val="1"/>
        </w:rPr>
        <w:footnoteReference w:id="388"/>
      </w:r>
    </w:p>
    <w:p>
      <w:pPr>
        <w:bidi w:val="1"/>
        <w:spacing w:line="312" w:lineRule="auto" w:before="0" w:after="120"/>
        <w:ind w:firstLine="454"/>
        <w:jc w:val="both"/>
      </w:pPr>
      <w:r>
        <w:rPr>
          <w:rFonts w:ascii="Times New Roman" w:hAnsi="Times New Roman" w:cs="B Nazanin"/>
          <w:sz w:val="22"/>
          <w:szCs w:val="28"/>
          <w:rtl w:val="1"/>
        </w:rPr>
        <w:t>بر این پایه، اثرِ پیمان را از هفت منظر می‌سنجیم: انسجام، کارآمدی، حکمرانی، اجرا، پایبندی، ضمانتِ اجرا، و حاکمیتِ قانون و سلسله‌مراتبِ هنجاری. در هر منظر، هم سناریوی «تصویبِ پیمان» و هم واقعیتِ «شکستِ پیمان» ارزیابی می‌شود.</w:t>
      </w:r>
    </w:p>
    <w:p>
      <w:pPr>
        <w:pStyle w:val="Heading3"/>
        <w:bidi w:val="1"/>
        <w:spacing w:line="312" w:lineRule="auto" w:before="200" w:after="120"/>
        <w:jc w:val="right"/>
      </w:pPr>
      <w:r>
        <w:rPr>
          <w:rFonts w:ascii="Times New Roman" w:hAnsi="Times New Roman" w:cs="B Nazanin"/>
          <w:sz w:val="24"/>
          <w:szCs w:val="24"/>
          <w:rtl w:val="1"/>
          <w:b/>
          <w:bCs/>
          <w:color w:val="000000"/>
        </w:rPr>
        <w:t>۴-۱-۱ انسجام و کارآمدیِ نظام</w:t>
      </w:r>
    </w:p>
    <w:p>
      <w:pPr>
        <w:bidi w:val="1"/>
        <w:spacing w:line="312" w:lineRule="auto" w:before="0" w:after="120"/>
        <w:ind w:firstLine="454"/>
        <w:jc w:val="both"/>
      </w:pPr>
      <w:r>
        <w:rPr>
          <w:rFonts w:ascii="Times New Roman" w:hAnsi="Times New Roman" w:cs="B Nazanin"/>
          <w:sz w:val="22"/>
          <w:szCs w:val="28"/>
          <w:rtl w:val="1"/>
        </w:rPr>
        <w:t>از منظرِ انسجام (coherence)، تصویبِ پیمان می‌توانست با فراهم‌آوردنِ «بافتِ اصولیِ مشترک»، ابزارِ یکپارچگیِ نظام‌مند را تقویت کند و تفسیرِ هماهنگِ MEAها را تسهیل نماید. شکستِ پیمان، این فرصت را از میان برد و پراکندگیِ ماهویِ موجود را تداوم بخشید.</w:t>
      </w:r>
    </w:p>
    <w:p>
      <w:pPr>
        <w:bidi w:val="1"/>
        <w:spacing w:line="312" w:lineRule="auto" w:before="0" w:after="120"/>
        <w:ind w:firstLine="454"/>
        <w:jc w:val="both"/>
      </w:pPr>
      <w:r>
        <w:rPr>
          <w:rFonts w:ascii="Times New Roman" w:hAnsi="Times New Roman" w:cs="B Nazanin"/>
          <w:sz w:val="22"/>
          <w:szCs w:val="28"/>
          <w:rtl w:val="1"/>
        </w:rPr>
        <w:t>از منظرِ کارآمدی (effectiveness)، داموآ و همکاران — هرچند در یک پیش‌چاپِ داوری‌نشده — استدلال می‌کنند که تکثرِ معاهداتِ ناکارآمد، بدونِ سازوکارِ انسجام‌بخش، به بهبودِ شاخص‌های زیست‌محیطیِ سیاره نینجامیده است؛ از این‌رو نبودِ پیمان، خلأِ کارآمدی را پابرجا نگاه داشت.</w:t>
      </w:r>
      <w:r>
        <w:rPr>
          <w:rStyle w:val="FootnoteReference"/>
          <w:rtl w:val="1"/>
        </w:rPr>
        <w:footnoteReference w:id="389"/>
      </w:r>
    </w:p>
    <w:p>
      <w:pPr>
        <w:pStyle w:val="Heading3"/>
        <w:bidi w:val="1"/>
        <w:spacing w:line="312" w:lineRule="auto" w:before="200" w:after="120"/>
        <w:jc w:val="right"/>
      </w:pPr>
      <w:r>
        <w:rPr>
          <w:rFonts w:ascii="Times New Roman" w:hAnsi="Times New Roman" w:cs="B Nazanin"/>
          <w:sz w:val="24"/>
          <w:szCs w:val="24"/>
          <w:rtl w:val="1"/>
          <w:b/>
          <w:bCs/>
          <w:color w:val="000000"/>
        </w:rPr>
        <w:t>۴-۱-۲ حکمرانی، اجرا، پایبندی و ضمانتِ اجرا</w:t>
      </w:r>
    </w:p>
    <w:p>
      <w:pPr>
        <w:bidi w:val="1"/>
        <w:spacing w:line="312" w:lineRule="auto" w:before="0" w:after="120"/>
        <w:ind w:firstLine="454"/>
        <w:jc w:val="both"/>
      </w:pPr>
      <w:r>
        <w:rPr>
          <w:rFonts w:ascii="Times New Roman" w:hAnsi="Times New Roman" w:cs="B Nazanin"/>
          <w:sz w:val="22"/>
          <w:szCs w:val="28"/>
          <w:rtl w:val="1"/>
        </w:rPr>
        <w:t>از منظرِ حکمرانی (governance)، پیمان می‌توانست جایگاهِ برنامهٔ محیط زیست ملل متحد را به‌مثابه نهادِ هماهنگ‌کننده تقویت کند؛ شکستِ آن، ضعفِ نهادیِ این برنامه را استمرار بخشید. از منظرِ اجرا و پایبندی، پیمان به‌سببِ سازوکارِ نظارتیِ سبکِ خود، حتی در صورتِ تصویب نیز جهشِ چشمگیری در اجرا پدید نمی‌آورد؛ اما دستِ‌کم یک مرجعِ گزارش‌دهیِ فراگیر ایجاد می‌کرد.</w:t>
      </w:r>
    </w:p>
    <w:p>
      <w:pPr>
        <w:bidi w:val="1"/>
        <w:spacing w:line="312" w:lineRule="auto" w:before="0" w:after="120"/>
        <w:ind w:firstLine="454"/>
        <w:jc w:val="both"/>
      </w:pPr>
      <w:r>
        <w:rPr>
          <w:rFonts w:ascii="Times New Roman" w:hAnsi="Times New Roman" w:cs="B Nazanin"/>
          <w:sz w:val="22"/>
          <w:szCs w:val="28"/>
          <w:rtl w:val="1"/>
        </w:rPr>
        <w:t>از منظرِ ضمانتِ اجرا (enforcement)، پیمان فاقدِ سازوکارِ الزام‌آورِ حل‌وفصلِ اختلاف بود؛ همین امر یکی از نقدهای اصلیِ تیلر است و نشان می‌دهد که حتی سناریوی موفقیت نیز محدودیت‌های جدی داشت.</w:t>
      </w:r>
      <w:r>
        <w:rPr>
          <w:rStyle w:val="FootnoteReference"/>
          <w:rtl w:val="1"/>
        </w:rPr>
        <w:footnoteReference w:id="390"/>
      </w:r>
    </w:p>
    <w:p>
      <w:pPr>
        <w:pStyle w:val="Heading3"/>
        <w:bidi w:val="1"/>
        <w:spacing w:line="312" w:lineRule="auto" w:before="200" w:after="120"/>
        <w:jc w:val="right"/>
      </w:pPr>
      <w:r>
        <w:rPr>
          <w:rFonts w:ascii="Times New Roman" w:hAnsi="Times New Roman" w:cs="B Nazanin"/>
          <w:sz w:val="24"/>
          <w:szCs w:val="24"/>
          <w:rtl w:val="1"/>
          <w:b/>
          <w:bCs/>
          <w:color w:val="000000"/>
        </w:rPr>
        <w:t>۴-۱-۳ حاکمیتِ قانون و سلسله‌مراتبِ هنجاری</w:t>
      </w:r>
    </w:p>
    <w:p>
      <w:pPr>
        <w:bidi w:val="1"/>
        <w:spacing w:line="312" w:lineRule="auto" w:before="0" w:after="120"/>
        <w:ind w:firstLine="454"/>
        <w:jc w:val="both"/>
      </w:pPr>
      <w:r>
        <w:rPr>
          <w:rFonts w:ascii="Times New Roman" w:hAnsi="Times New Roman" w:cs="B Nazanin"/>
          <w:sz w:val="22"/>
          <w:szCs w:val="28"/>
          <w:rtl w:val="1"/>
        </w:rPr>
        <w:t>از منظرِ حاکمیتِ قانون و سلسله‌مراتبِ هنجاری، کمیسیون حقوق بین‌الملل تأکید می‌کند که — جز در موردِ قواعدِ آمره (jus cogens) و تعهداتِ منشوری (مادهٔ ۱۰۳) — حقوق بین‌الملل سلسله‌مراتبِ صوریِ صلبی ندارد و روابطِ میان هنجارها از رهگذرِ تفسیر مدیریت می‌شود. پیمان نمی‌توانست و نمی‌خواست بر MEAها «برتری» یابد؛ بلکه می‌توانست همچون معیارِ تفسیریِ مشترک عمل کند.</w:t>
      </w:r>
      <w:r>
        <w:rPr>
          <w:rStyle w:val="FootnoteReference"/>
          <w:rtl w:val="1"/>
        </w:rPr>
        <w:footnoteReference w:id="391"/>
      </w:r>
    </w:p>
    <w:p>
      <w:pPr>
        <w:bidi w:val="1"/>
        <w:spacing w:line="312" w:lineRule="auto" w:before="0" w:after="120"/>
        <w:ind w:firstLine="454"/>
        <w:jc w:val="both"/>
      </w:pPr>
      <w:r>
        <w:rPr>
          <w:rFonts w:ascii="Times New Roman" w:hAnsi="Times New Roman" w:cs="B Nazanin"/>
          <w:sz w:val="22"/>
          <w:szCs w:val="28"/>
          <w:rtl w:val="1"/>
        </w:rPr>
        <w:t>بدین‌سان، این تصورِ نادرست که پیمان قرار بوده «ابرمعاهده‌ای فراتر از سایر معاهدات» باشد، رد می‌شود؛ کارکردِ حقوقیِ درستِ آن، تقویتِ یکپارچگیِ نظام‌مند در چارچوبِ افقیِ موجود بود.</w:t>
      </w:r>
    </w:p>
    <w:p>
      <w:pPr>
        <w:pStyle w:val="Heading3"/>
        <w:bidi w:val="1"/>
        <w:spacing w:line="312" w:lineRule="auto" w:before="200" w:after="120"/>
        <w:jc w:val="right"/>
      </w:pPr>
      <w:r>
        <w:rPr>
          <w:rFonts w:ascii="Times New Roman" w:hAnsi="Times New Roman" w:cs="B Nazanin"/>
          <w:sz w:val="24"/>
          <w:szCs w:val="24"/>
          <w:rtl w:val="1"/>
          <w:b/>
          <w:bCs/>
          <w:color w:val="000000"/>
        </w:rPr>
        <w:t>۴-۱-۴ تحلیلِ تطبیقیِ عللِ شکستِ پیمان و نقشِ جامعهٔ مدنی</w:t>
      </w:r>
    </w:p>
    <w:p>
      <w:pPr>
        <w:bidi w:val="1"/>
        <w:spacing w:line="312" w:lineRule="auto" w:before="0" w:after="120"/>
        <w:ind w:firstLine="454"/>
        <w:jc w:val="both"/>
      </w:pPr>
      <w:r>
        <w:rPr>
          <w:rFonts w:ascii="Times New Roman" w:hAnsi="Times New Roman" w:cs="B Nazanin"/>
          <w:sz w:val="22"/>
          <w:szCs w:val="28"/>
          <w:rtl w:val="1"/>
        </w:rPr>
        <w:t>چاباسون و اژه چهار علتِ به‌هم‌پیوسته را برای شکست برمی‌شمارند: نخست، سازوکارِ تصمیم‌گیریِ اجماع‌محورِ سازمان ملل که به اقلیتی از دولت‌های ناسیونالیست (به‌ویژه ایالات متحدهٔ دورهٔ ترامپ، روسیه و برخی دولت‌های نفتی) امکانِ توقفِ روند را داد؛ دوم، شکافِ درونِ اتحادیهٔ اروپا میانِ فرانسه (پیشگام) و آلمان (محتاط)؛ سوم، موضعِ کشورهای آفریقایی و در حال توسعه که «ابزارهای اجرا و تأمینِ مالی» را بر «سندِ حقوقیِ نو» ترجیح می‌دادند؛ و چهارم، غیبتِ نسبیِ جامعهٔ مدنی و سازمان‌های غیردولتی در مقایسه با مذاکراتِ اقلیمی.</w:t>
      </w:r>
      <w:r>
        <w:rPr>
          <w:rStyle w:val="FootnoteReference"/>
          <w:rtl w:val="1"/>
        </w:rPr>
        <w:footnoteReference w:id="392"/>
      </w:r>
    </w:p>
    <w:p>
      <w:pPr>
        <w:bidi w:val="1"/>
        <w:spacing w:line="312" w:lineRule="auto" w:before="0" w:after="120"/>
        <w:ind w:firstLine="454"/>
        <w:jc w:val="both"/>
      </w:pPr>
      <w:r>
        <w:rPr>
          <w:rFonts w:ascii="Times New Roman" w:hAnsi="Times New Roman" w:cs="B Nazanin"/>
          <w:sz w:val="22"/>
          <w:szCs w:val="28"/>
          <w:rtl w:val="1"/>
        </w:rPr>
        <w:t>این الگو با تجربهٔ سایرِ ابتکارهای ناکام هم‌خوان است: هرگاه سندی بلندپروازانه بدونِ ائتلافِ فراگیر و بدونِ پاسخ به دغدغهٔ اجراییِ کشورهای در حال توسعه پیش رانده شود، در سدِ اجماع متوقف می‌گردد. مقایسه با روندِ کندِ مذاکراتِ آلودگیِ پلاستیک و توافقِ تنوعِ زیستیِ ورای صلاحیتِ ملی (BBNJ) نشان می‌دهد که مسیرهای بخشی و گام‌به‌گام، به‌رغمِ کندی، شانسِ بیشتری برای تحقق دارند.</w:t>
      </w:r>
      <w:r>
        <w:rPr>
          <w:rStyle w:val="FootnoteReference"/>
          <w:rtl w:val="1"/>
        </w:rPr>
        <w:footnoteReference w:id="393"/>
      </w:r>
    </w:p>
    <w:p>
      <w:pPr>
        <w:pStyle w:val="Heading3"/>
        <w:bidi w:val="1"/>
        <w:spacing w:line="312" w:lineRule="auto" w:before="200" w:after="120"/>
        <w:jc w:val="right"/>
      </w:pPr>
      <w:r>
        <w:rPr>
          <w:rFonts w:ascii="Times New Roman" w:hAnsi="Times New Roman" w:cs="B Nazanin"/>
          <w:sz w:val="24"/>
          <w:szCs w:val="24"/>
          <w:rtl w:val="1"/>
          <w:b/>
          <w:bCs/>
          <w:color w:val="000000"/>
        </w:rPr>
        <w:t>۴-۱-۵ دستاوردهای پنهانِ پیمان به‌رغمِ شکست</w:t>
      </w:r>
    </w:p>
    <w:p>
      <w:pPr>
        <w:bidi w:val="1"/>
        <w:spacing w:line="312" w:lineRule="auto" w:before="0" w:after="120"/>
        <w:ind w:firstLine="454"/>
        <w:jc w:val="both"/>
      </w:pPr>
      <w:r>
        <w:rPr>
          <w:rFonts w:ascii="Times New Roman" w:hAnsi="Times New Roman" w:cs="B Nazanin"/>
          <w:sz w:val="22"/>
          <w:szCs w:val="28"/>
          <w:rtl w:val="1"/>
        </w:rPr>
        <w:t>شکستِ پیمان به‌معنای بی‌ثمریِ آن نبود. سه دستاوردِ پنهان را می‌توان برشمرد: نخست، تقویتِ گفتمانِ «حق بر محیط‌زیست سالم» که تنها سه سال بعد در قطعنامهٔ ۷۶/۳۰۰ مجمع عمومی (۲۰۲۲) به‌رسمیت شناخته شد؛ دوم، گفتمان‌سازیِ جهانی دربارهٔ ضرورتِ انسجامِ حقوق محیط زیست؛ و سوم، تقویتِ شبکه‌های جامعهٔ مدنی و نهادهای دانشگاهی (نظیرِ کمیسیونِ حقوق محیط زیستِ IUCN) که پیرامونِ این ایده گرد آمدند.</w:t>
      </w:r>
      <w:r>
        <w:rPr>
          <w:rStyle w:val="FootnoteReference"/>
          <w:rtl w:val="1"/>
        </w:rPr>
        <w:footnoteReference w:id="394"/>
      </w:r>
    </w:p>
    <w:p>
      <w:pPr>
        <w:bidi w:val="1"/>
        <w:spacing w:line="312" w:lineRule="auto" w:before="0" w:after="120"/>
        <w:ind w:firstLine="454"/>
        <w:jc w:val="both"/>
      </w:pPr>
      <w:r>
        <w:rPr>
          <w:rFonts w:ascii="Times New Roman" w:hAnsi="Times New Roman" w:cs="B Nazanin"/>
          <w:sz w:val="22"/>
          <w:szCs w:val="28"/>
          <w:rtl w:val="1"/>
        </w:rPr>
        <w:t>تیگره این پدیده را «میراثِ هنجاریِ یک ابتکارِ ناکام» می‌نامد و نشان می‌دهد که چگونه ایدهٔ پیمان، زمینه‌سازِ رویکردِ حق‌محور در حقوق بین‌الملل محیط زیست شد.</w:t>
      </w:r>
      <w:r>
        <w:rPr>
          <w:rStyle w:val="FootnoteReference"/>
          <w:rtl w:val="1"/>
        </w:rPr>
        <w:footnoteReference w:id="395"/>
      </w:r>
    </w:p>
    <w:p>
      <w:pPr>
        <w:pStyle w:val="Heading2"/>
        <w:bidi w:val="1"/>
        <w:spacing w:line="312" w:lineRule="auto" w:before="200" w:after="120"/>
        <w:jc w:val="right"/>
      </w:pPr>
      <w:r>
        <w:rPr>
          <w:rFonts w:ascii="Times New Roman" w:hAnsi="Times New Roman" w:cs="B Nazanin"/>
          <w:sz w:val="24"/>
          <w:szCs w:val="24"/>
          <w:rtl w:val="1"/>
          <w:b/>
          <w:bCs/>
          <w:color w:val="000000"/>
        </w:rPr>
        <w:t>۴-۲ گفتار دوم: مواضعِ دولت‌ها و نقشهٔ راهِ جایگزین</w:t>
      </w:r>
    </w:p>
    <w:p>
      <w:pPr>
        <w:bidi w:val="1"/>
        <w:spacing w:line="312" w:lineRule="auto" w:before="0" w:after="120"/>
        <w:ind w:firstLine="454"/>
        <w:jc w:val="both"/>
      </w:pPr>
      <w:r>
        <w:rPr>
          <w:rFonts w:ascii="Times New Roman" w:hAnsi="Times New Roman" w:cs="B Nazanin"/>
          <w:sz w:val="22"/>
          <w:szCs w:val="28"/>
          <w:rtl w:val="1"/>
        </w:rPr>
        <w:t>گفتارِ دوم نخست دلایلِ حقوقی و ژئوپلیتیکِ مواضعِ دولت‌ها را تحلیل و سپس یک نقشهٔ راهِ شش‌ستونی برای تحققِ اهدافِ پیمان از مسیرهای جایگزین ترسیم می‌کند؛ مسیرهایی که — برخلافِ خودِ پیمان — با خصلتِ پراکنده، بخشی، تدریجی، واکنشی و اجماعیِ حقوق بین‌الملل محیط زیست سازگارند و از همین‌رو شانسِ تحققِ بالاتری دارند.</w:t>
      </w:r>
    </w:p>
    <w:p>
      <w:pPr>
        <w:pStyle w:val="Heading3"/>
        <w:bidi w:val="1"/>
        <w:spacing w:line="312" w:lineRule="auto" w:before="200" w:after="120"/>
        <w:jc w:val="right"/>
      </w:pPr>
      <w:r>
        <w:rPr>
          <w:rFonts w:ascii="Times New Roman" w:hAnsi="Times New Roman" w:cs="B Nazanin"/>
          <w:sz w:val="24"/>
          <w:szCs w:val="24"/>
          <w:rtl w:val="1"/>
          <w:b/>
          <w:bCs/>
          <w:color w:val="000000"/>
        </w:rPr>
        <w:t>۴-۲-۱ دلایلِ حقوقی و ژئوپلیتیکِ مواضعِ دولت‌ها</w:t>
      </w:r>
    </w:p>
    <w:p>
      <w:pPr>
        <w:bidi w:val="1"/>
        <w:spacing w:line="312" w:lineRule="auto" w:before="0" w:after="120"/>
        <w:ind w:firstLine="454"/>
        <w:jc w:val="both"/>
      </w:pPr>
      <w:r>
        <w:rPr>
          <w:rFonts w:ascii="Times New Roman" w:hAnsi="Times New Roman" w:cs="B Nazanin"/>
          <w:sz w:val="22"/>
          <w:szCs w:val="28"/>
          <w:rtl w:val="1"/>
        </w:rPr>
        <w:t>مواضعِ دولت‌ها را سه دستهٔ عامل توضیح می‌دهد. عاملِ حقوقی: نگرانی از تحدیدِ حاکمیت و از تعهداتِ الزام‌آورِ مبهم که ممکن است در آینده علیهِ دولت استناد شود. عاملِ اقتصادی-توسعه‌ای: کشورهای در حال توسعه، بیم داشتند که سندِ نو، بی‌آنکه سازوکارِ تأمینِ مالی و انتقالِ فناوری بیاورد، تنها بارِ تعهداتِ تازه بر آنان تحمیل کند. عاملِ ژئوپلیتیک: رقابتِ قدرت‌های بزرگ و بی‌میلیِ ایالات متحده و روسیه به هر سازوکارِ چندجانبهٔ الزام‌آورِ نو.</w:t>
      </w:r>
      <w:r>
        <w:rPr>
          <w:rStyle w:val="FootnoteReference"/>
          <w:rtl w:val="1"/>
        </w:rPr>
        <w:footnoteReference w:id="396"/>
      </w:r>
    </w:p>
    <w:p>
      <w:pPr>
        <w:bidi w:val="1"/>
        <w:spacing w:line="312" w:lineRule="auto" w:before="0" w:after="120"/>
        <w:ind w:firstLine="454"/>
        <w:jc w:val="both"/>
      </w:pPr>
      <w:r>
        <w:rPr>
          <w:rFonts w:ascii="Times New Roman" w:hAnsi="Times New Roman" w:cs="B Nazanin"/>
          <w:sz w:val="22"/>
          <w:szCs w:val="28"/>
          <w:rtl w:val="1"/>
        </w:rPr>
        <w:t>این عوامل، در سازوکارِ اجماع‌محورِ نایروبی به یک «حقِ وتوی عملی» برای اقلیت بدل شدند و روند را متوقف کردند؛ درسی که هر نقشهٔ راهِ جایگزین باید آن را درونی کند.</w:t>
      </w:r>
    </w:p>
    <w:p>
      <w:pPr>
        <w:pStyle w:val="Heading3"/>
        <w:bidi w:val="1"/>
        <w:spacing w:line="312" w:lineRule="auto" w:before="200" w:after="120"/>
        <w:jc w:val="right"/>
      </w:pPr>
      <w:r>
        <w:rPr>
          <w:rFonts w:ascii="Times New Roman" w:hAnsi="Times New Roman" w:cs="B Nazanin"/>
          <w:sz w:val="24"/>
          <w:szCs w:val="24"/>
          <w:rtl w:val="1"/>
          <w:b/>
          <w:bCs/>
          <w:color w:val="000000"/>
        </w:rPr>
        <w:t>۴-۲-۲ نقشهٔ راهِ شش‌ستونیِ جایگزین</w:t>
      </w:r>
    </w:p>
    <w:p>
      <w:pPr>
        <w:bidi w:val="1"/>
        <w:spacing w:line="312" w:lineRule="auto" w:before="0" w:after="120"/>
        <w:ind w:firstLine="454"/>
        <w:jc w:val="both"/>
      </w:pPr>
      <w:r>
        <w:rPr>
          <w:rFonts w:ascii="Times New Roman" w:hAnsi="Times New Roman" w:cs="B Nazanin"/>
          <w:sz w:val="22"/>
          <w:szCs w:val="28"/>
          <w:rtl w:val="1"/>
        </w:rPr>
        <w:t>بر پایهٔ تحلیلِ پیشین، این رساله یک نقشهٔ راهِ شش‌ستونی پیشنهاد می‌کند که اهدافِ هنجاریِ پیمان را از مسیرهایی سازگار با ساختارِ موجودِ حقوق بین‌الملل محیط زیست دنبال می‌کند:</w:t>
      </w:r>
    </w:p>
    <w:p>
      <w:pPr>
        <w:bidi w:val="1"/>
        <w:spacing w:line="312" w:lineRule="auto" w:before="0" w:after="120"/>
        <w:ind w:firstLine="454"/>
        <w:jc w:val="both"/>
      </w:pPr>
      <w:r>
        <w:rPr>
          <w:rFonts w:ascii="Times New Roman" w:hAnsi="Times New Roman" w:cs="B Nazanin"/>
          <w:sz w:val="22"/>
          <w:szCs w:val="28"/>
          <w:rtl w:val="1"/>
        </w:rPr>
        <w:t>ستونِ یکم — توسعهٔ رویهٔ قضایی: بهره‌گیریِ حداکثری از نظرِ مشورتیِ دیوان بین‌المللی دادگستری دربارهٔ تعهداتِ اقلیمی (۲۰۲۵) و آرای دیوان‌های منطقه‌ای برای تثبیتِ اصولِ عمومی از رهگذرِ رویهٔ قضایی، به‌جای معاهدهٔ نو.</w:t>
      </w:r>
      <w:r>
        <w:rPr>
          <w:rStyle w:val="FootnoteReference"/>
          <w:rtl w:val="1"/>
        </w:rPr>
        <w:footnoteReference w:id="397"/>
      </w:r>
    </w:p>
    <w:p>
      <w:pPr>
        <w:bidi w:val="1"/>
        <w:spacing w:line="312" w:lineRule="auto" w:before="0" w:after="120"/>
        <w:ind w:firstLine="454"/>
        <w:jc w:val="both"/>
      </w:pPr>
      <w:r>
        <w:rPr>
          <w:rFonts w:ascii="Times New Roman" w:hAnsi="Times New Roman" w:cs="B Nazanin"/>
          <w:sz w:val="22"/>
          <w:szCs w:val="28"/>
          <w:rtl w:val="1"/>
        </w:rPr>
        <w:t>ستونِ دوم — تقویتِ نهادیِ برنامهٔ محیط زیست ملل متحد: ارتقای جایگاه و اختیاراتِ هماهنگ‌کنندگیِ آن برای کاستن از پراکندگیِ نهادی.</w:t>
      </w:r>
    </w:p>
    <w:p>
      <w:pPr>
        <w:bidi w:val="1"/>
        <w:spacing w:line="312" w:lineRule="auto" w:before="0" w:after="120"/>
        <w:ind w:firstLine="454"/>
        <w:jc w:val="both"/>
      </w:pPr>
      <w:r>
        <w:rPr>
          <w:rFonts w:ascii="Times New Roman" w:hAnsi="Times New Roman" w:cs="B Nazanin"/>
          <w:sz w:val="22"/>
          <w:szCs w:val="28"/>
          <w:rtl w:val="1"/>
        </w:rPr>
        <w:t>ستونِ سوم — سازوکارِ نظارتیِ الهام‌گرفته از بازنگریِ ادواریِ جهانیِ (UPR) شورای حقوق بشر: استقرارِ یک «بازنگریِ ادواریِ زیست‌محیطی» که با فشارِ همتایان و شفافیت، پایبندیِ دولت‌ها را بی‌آنکه به ضمانتِ اجرای قهری نیاز باشد، بالا می‌برد.</w:t>
      </w:r>
    </w:p>
    <w:p>
      <w:pPr>
        <w:bidi w:val="1"/>
        <w:spacing w:line="312" w:lineRule="auto" w:before="0" w:after="120"/>
        <w:ind w:firstLine="454"/>
        <w:jc w:val="both"/>
      </w:pPr>
      <w:r>
        <w:rPr>
          <w:rFonts w:ascii="Times New Roman" w:hAnsi="Times New Roman" w:cs="B Nazanin"/>
          <w:sz w:val="22"/>
          <w:szCs w:val="28"/>
          <w:rtl w:val="1"/>
        </w:rPr>
        <w:t>ستونِ چهارم — خوشه‌بندیِ معاهدات و هم‌افزایی (clustering &amp; synergies): گسترشِ تجربهٔ موفقِ هماهنگیِ کنوانسیون‌های بازل، روتردام و استکهلم به سایرِ خوشه‌ها برای کاستن از پراکندگیِ ماهوی.</w:t>
      </w:r>
    </w:p>
    <w:p>
      <w:pPr>
        <w:bidi w:val="1"/>
        <w:spacing w:line="312" w:lineRule="auto" w:before="0" w:after="120"/>
        <w:ind w:firstLine="454"/>
        <w:jc w:val="both"/>
      </w:pPr>
      <w:r>
        <w:rPr>
          <w:rFonts w:ascii="Times New Roman" w:hAnsi="Times New Roman" w:cs="B Nazanin"/>
          <w:sz w:val="22"/>
          <w:szCs w:val="28"/>
          <w:rtl w:val="1"/>
        </w:rPr>
        <w:t>ستونِ پنجم — استفادهٔ حداکثری از حقوق نرم: به‌کارگیریِ اعلامیه‌ها، رهنمودها و قطعنامه‌ها (نظیرِ قطعنامهٔ ۷۶/۳۰۰) به‌مثابه گام‌های تدریجیِ شکل‌دهنده به عرفِ بین‌المللی، در هماهنگی با خصلتِ تدریجیِ این حقوق.</w:t>
      </w:r>
    </w:p>
    <w:p>
      <w:pPr>
        <w:bidi w:val="1"/>
        <w:spacing w:line="312" w:lineRule="auto" w:before="0" w:after="120"/>
        <w:ind w:firstLine="454"/>
        <w:jc w:val="both"/>
      </w:pPr>
      <w:r>
        <w:rPr>
          <w:rFonts w:ascii="Times New Roman" w:hAnsi="Times New Roman" w:cs="B Nazanin"/>
          <w:sz w:val="22"/>
          <w:szCs w:val="28"/>
          <w:rtl w:val="1"/>
        </w:rPr>
        <w:t>ستونِ ششم — یکسان‌سازیِ تفسیرِ اصول: ترویجِ کاربردِ مادهٔ ۳۱(۳)(ج) کنوانسیون وین (یکپارچگیِ نظام‌مند) در رویهٔ نهادهای معاهده‌ای، تا اصولِ مشترک در تفسیرِ همهٔ MEAها لحاظ شوند — یعنی تحققِ کارکردِ اصلیِ پیمان بدونِ نیاز به خودِ پیمان.</w:t>
      </w:r>
      <w:r>
        <w:rPr>
          <w:rStyle w:val="FootnoteReference"/>
          <w:rtl w:val="1"/>
        </w:rPr>
        <w:footnoteReference w:id="398"/>
      </w:r>
    </w:p>
    <w:p>
      <w:pPr>
        <w:pStyle w:val="Heading2"/>
        <w:bidi w:val="1"/>
        <w:spacing w:line="312" w:lineRule="auto" w:before="200" w:after="120"/>
        <w:jc w:val="right"/>
      </w:pPr>
      <w:r>
        <w:rPr>
          <w:rFonts w:ascii="Times New Roman" w:hAnsi="Times New Roman" w:cs="B Nazanin"/>
          <w:sz w:val="24"/>
          <w:szCs w:val="24"/>
          <w:rtl w:val="1"/>
          <w:b/>
          <w:bCs/>
          <w:color w:val="000000"/>
        </w:rPr>
        <w:t>۴-۳ نتیجه‌گیری فصل چهارم</w:t>
      </w:r>
    </w:p>
    <w:p>
      <w:pPr>
        <w:bidi w:val="1"/>
        <w:spacing w:line="312" w:lineRule="auto" w:before="0" w:after="120"/>
        <w:ind w:firstLine="454"/>
        <w:jc w:val="both"/>
      </w:pPr>
      <w:r>
        <w:rPr>
          <w:rFonts w:ascii="Times New Roman" w:hAnsi="Times New Roman" w:cs="B Nazanin"/>
          <w:sz w:val="22"/>
          <w:szCs w:val="28"/>
          <w:rtl w:val="1"/>
        </w:rPr>
        <w:t>فصل چهارم نشان داد که اثرِ پیمان بر MEAها را باید در چارچوبِ «یکپارچگیِ نظام‌مندِ» کمیسیون حقوق بین‌الملل فهمید، نه به‌مثابه ابرمعاهده‌ای برتر. تصویبِ پیمان می‌توانست انسجام و حق‌محوری را تقویت کند اما در اجرا و ضمانتِ اجرا محدود می‌ماند؛ و شکستِ آن، خلأهای انسجام و کارآمدی را استمرار بخشید، هرچند دستاوردهای پنهانی چون تثبیتِ حق بر محیط‌زیست سالم و گفتمان‌سازی بر جای نهاد.</w:t>
      </w:r>
    </w:p>
    <w:p>
      <w:pPr>
        <w:bidi w:val="1"/>
        <w:spacing w:line="312" w:lineRule="auto" w:before="0" w:after="120"/>
        <w:ind w:firstLine="454"/>
        <w:jc w:val="both"/>
      </w:pPr>
      <w:r>
        <w:rPr>
          <w:rFonts w:ascii="Times New Roman" w:hAnsi="Times New Roman" w:cs="B Nazanin"/>
          <w:sz w:val="22"/>
          <w:szCs w:val="28"/>
          <w:rtl w:val="1"/>
        </w:rPr>
        <w:t>تحلیلِ تطبیقیِ عللِ شکست (سازوکارِ اجماع، شکافِ شمال-جنوب، ژئوپلیتیک، و غیبتِ جامعهٔ مدنی) به این نتیجه انجامید که مسیرِ درست، نه یک جهشِ بلندپروازانه، بلکه یک نقشهٔ راهِ شش‌ستونیِ سازگار با خصلتِ تدریجی و بخشیِ این حقوق است: توسعهٔ رویهٔ قضایی، تقویتِ نهادیِ یونپ، بازنگریِ ادواریِ زیست‌محیطی، خوشه‌بندی و هم‌افزایی، استفادهٔ حداکثری از حقوق نرم، و یکسان‌سازیِ تفسیرِ اصول.</w:t>
      </w:r>
    </w:p>
    <w:p>
      <w:r>
        <w:br w:type="page"/>
      </w:r>
    </w:p>
    <w:p>
      <w:pPr>
        <w:pStyle w:val="Heading1"/>
        <w:bidi w:val="1"/>
        <w:spacing w:line="312" w:lineRule="auto" w:before="200" w:after="120"/>
        <w:jc w:val="right"/>
      </w:pPr>
      <w:r>
        <w:rPr>
          <w:rFonts w:ascii="Times New Roman" w:hAnsi="Times New Roman" w:cs="B Nazanin"/>
          <w:sz w:val="24"/>
          <w:szCs w:val="28"/>
          <w:rtl w:val="1"/>
          <w:b/>
          <w:bCs/>
          <w:color w:val="000000"/>
        </w:rPr>
        <w:t>فصل فصل ۵: نتیجه‌گیری و پیشنهادها</w:t>
      </w:r>
    </w:p>
    <w:p>
      <w:pPr>
        <w:bidi w:val="1"/>
        <w:spacing w:line="312" w:lineRule="auto" w:before="0" w:after="160"/>
        <w:jc w:val="both"/>
      </w:pPr>
      <w:r>
        <w:rPr>
          <w:rFonts w:ascii="Times New Roman" w:hAnsi="Times New Roman" w:cs="B Nazanin"/>
          <w:sz w:val="22"/>
          <w:szCs w:val="24"/>
          <w:rtl w:val="1"/>
        </w:rPr>
        <w:t>نتیجه‌گیریِ متراکم و مستند: جمع‌بندیِ یافته‌ها و پاسخ به پرسشِ اصلی و پرسش‌های فرعی، داوریِ متعادلِ موافقان و مخالفان و جمع‌بندیِ مستند، پیشنهادها و نقشهٔ راهِ عملی، و محدودیت‌ها و پیشنهادهایی برای پژوهش‌های آینده. الگوی نتیجه‌گیری از تیگره، داموآ و تیلر وام گرفته شده است.</w:t>
      </w:r>
    </w:p>
    <w:p>
      <w:pPr>
        <w:pStyle w:val="Heading2"/>
        <w:bidi w:val="1"/>
        <w:spacing w:line="312" w:lineRule="auto" w:before="200" w:after="120"/>
        <w:jc w:val="right"/>
      </w:pPr>
      <w:r>
        <w:rPr>
          <w:rFonts w:ascii="Times New Roman" w:hAnsi="Times New Roman" w:cs="B Nazanin"/>
          <w:sz w:val="24"/>
          <w:szCs w:val="24"/>
          <w:rtl w:val="1"/>
          <w:b/>
          <w:bCs/>
          <w:color w:val="000000"/>
        </w:rPr>
        <w:t>۵-۱ جمع‌بندیِ یافته‌ها و پاسخ به پرسشِ اصلی</w:t>
      </w:r>
    </w:p>
    <w:p>
      <w:pPr>
        <w:bidi w:val="1"/>
        <w:spacing w:line="312" w:lineRule="auto" w:before="0" w:after="120"/>
        <w:ind w:firstLine="454"/>
        <w:jc w:val="both"/>
      </w:pPr>
      <w:r>
        <w:rPr>
          <w:rFonts w:ascii="Times New Roman" w:hAnsi="Times New Roman" w:cs="B Nazanin"/>
          <w:sz w:val="22"/>
          <w:szCs w:val="28"/>
          <w:rtl w:val="1"/>
        </w:rPr>
        <w:t>این رساله در پیِ پاسخ به این پرسشِ اصلی بود که «شکل‌گیریِ پیمان جهانی محیط زیست چه تأثیری بر موافقت‌نامه‌های چندجانبهٔ محیط‌زیستی داشته است؟». یافتهٔ کلانِ رساله این است که تأثیرِ اصلیِ پیمان نه از رهگذرِ تصویب و اجرا — که هرگز رخ نداد — بلکه از رهگذرِ «فرایندِ شکل‌گیری و سپس ناکامیِ» آن پدید آمد؛ فرایندی که به‌طور متناقض‌نمایی هم محدودیت‌های ساختاریِ حقوق بین‌الملل محیط زیست را آشکار ساخت و هم گفتمانِ حق‌محور و ایدهٔ انسجام‌بخشی را تقویت کرد.</w:t>
      </w:r>
      <w:r>
        <w:rPr>
          <w:rStyle w:val="FootnoteReference"/>
          <w:rtl w:val="1"/>
        </w:rPr>
        <w:footnoteReference w:id="399"/>
      </w:r>
    </w:p>
    <w:p>
      <w:pPr>
        <w:bidi w:val="1"/>
        <w:spacing w:line="312" w:lineRule="auto" w:before="0" w:after="120"/>
        <w:ind w:firstLine="454"/>
        <w:jc w:val="both"/>
      </w:pPr>
      <w:r>
        <w:rPr>
          <w:rFonts w:ascii="Times New Roman" w:hAnsi="Times New Roman" w:cs="B Nazanin"/>
          <w:sz w:val="22"/>
          <w:szCs w:val="28"/>
          <w:rtl w:val="1"/>
        </w:rPr>
        <w:t>به بیانِ دقیق‌تر، پیمان به‌مثابه یک «سند چتر» طراحی شده بود تا اصولِ پراکندهٔ حقوق محیط زیست را در یک متنِ الزام‌آور گرد آورد و از این طریق «یکپارچگیِ نظام‌مندِ» موردِ نظرِ کمیسیون حقوق بین‌الملل را تقویت کند. تحلیلِ فصل‌های سوم و چهارم نشان داد که این هدف، فی‌نفسه موجه اما در روشِ تحقق، ناسازگار با خصلتِ تدریجی، بخشی و اجماعیِ این حوزه بود؛ و همین ناسازگاری، در کنارِ عواملِ ژئوپلیتیک، به توقفِ آن در نایروبی (۲۰۱۹) انجامید.</w:t>
      </w:r>
      <w:r>
        <w:rPr>
          <w:rStyle w:val="FootnoteReference"/>
          <w:rtl w:val="1"/>
        </w:rPr>
        <w:footnoteReference w:id="400"/>
      </w:r>
    </w:p>
    <w:p>
      <w:pPr>
        <w:pStyle w:val="Heading2"/>
        <w:bidi w:val="1"/>
        <w:spacing w:line="312" w:lineRule="auto" w:before="200" w:after="120"/>
        <w:jc w:val="right"/>
      </w:pPr>
      <w:r>
        <w:rPr>
          <w:rFonts w:ascii="Times New Roman" w:hAnsi="Times New Roman" w:cs="B Nazanin"/>
          <w:sz w:val="24"/>
          <w:szCs w:val="24"/>
          <w:rtl w:val="1"/>
          <w:b/>
          <w:bCs/>
          <w:color w:val="000000"/>
        </w:rPr>
        <w:t>۵-۲ پاسخ به پرسش‌های فرعی</w:t>
      </w:r>
    </w:p>
    <w:p>
      <w:pPr>
        <w:bidi w:val="1"/>
        <w:spacing w:line="312" w:lineRule="auto" w:before="0" w:after="120"/>
        <w:ind w:firstLine="454"/>
        <w:jc w:val="both"/>
      </w:pPr>
      <w:r>
        <w:rPr>
          <w:rFonts w:ascii="Times New Roman" w:hAnsi="Times New Roman" w:cs="B Nazanin"/>
          <w:sz w:val="22"/>
          <w:szCs w:val="28"/>
          <w:rtl w:val="1"/>
        </w:rPr>
        <w:t>پرسشِ فرعیِ نخست — آیا پیمان می‌توانست به خلأهای گزارشِ دبیرکل پاسخ دهد؟ پاسخِ مستدلِ رساله «تا حدی» است: پیمان به خلأِ هنجاری، خلأِ انسجام و خلأِ حق‌محوری پاسخ می‌داد، اما در خلأِ اجرا و پایبندی، به‌سببِ ضمانتِ اجرای سبک، ناکافی بود (فصل سوم).</w:t>
      </w:r>
    </w:p>
    <w:p>
      <w:pPr>
        <w:bidi w:val="1"/>
        <w:spacing w:line="312" w:lineRule="auto" w:before="0" w:after="120"/>
        <w:ind w:firstLine="454"/>
        <w:jc w:val="both"/>
      </w:pPr>
      <w:r>
        <w:rPr>
          <w:rFonts w:ascii="Times New Roman" w:hAnsi="Times New Roman" w:cs="B Nazanin"/>
          <w:sz w:val="22"/>
          <w:szCs w:val="28"/>
          <w:rtl w:val="1"/>
        </w:rPr>
        <w:t>پرسشِ فرعیِ دوم — شکستِ پیمان چه اثری بر MEAها گذاشت؟ شکست، فرصتِ تقویتِ یکپارچگیِ نظام‌مند را از میان برد و پراکندگیِ ماهوی را تداوم بخشید؛ اما دستاوردهای هنجاریِ پنهانی چون تثبیتِ حق بر محیط‌زیست سالم (قطعنامهٔ ۷۶/۳۰۰) و گفتمان‌سازی را برجای گذاشت (فصل چهارم).</w:t>
      </w:r>
    </w:p>
    <w:p>
      <w:pPr>
        <w:bidi w:val="1"/>
        <w:spacing w:line="312" w:lineRule="auto" w:before="0" w:after="120"/>
        <w:ind w:firstLine="454"/>
        <w:jc w:val="both"/>
      </w:pPr>
      <w:r>
        <w:rPr>
          <w:rFonts w:ascii="Times New Roman" w:hAnsi="Times New Roman" w:cs="B Nazanin"/>
          <w:sz w:val="22"/>
          <w:szCs w:val="28"/>
          <w:rtl w:val="1"/>
        </w:rPr>
        <w:t>پرسشِ فرعیِ سوم — چه مسیرِ جایگزینی متصور است؟ رساله یک نقشهٔ راهِ شش‌ستونی (توسعهٔ رویهٔ قضایی، تقویتِ نهادیِ یونپ، بازنگریِ ادواریِ زیست‌محیطی، خوشه‌بندی و هم‌افزایی، حداکثرسازیِ حقوق نرم، و یکسان‌سازیِ تفسیرِ اصول) پیشنهاد می‌کند که با ساختارِ موجود سازگار است.</w:t>
      </w:r>
    </w:p>
    <w:p>
      <w:pPr>
        <w:pStyle w:val="Heading2"/>
        <w:bidi w:val="1"/>
        <w:spacing w:line="312" w:lineRule="auto" w:before="200" w:after="120"/>
        <w:jc w:val="right"/>
      </w:pPr>
      <w:r>
        <w:rPr>
          <w:rFonts w:ascii="Times New Roman" w:hAnsi="Times New Roman" w:cs="B Nazanin"/>
          <w:sz w:val="24"/>
          <w:szCs w:val="24"/>
          <w:rtl w:val="1"/>
          <w:b/>
          <w:bCs/>
          <w:color w:val="000000"/>
        </w:rPr>
        <w:t>۵-۳ داوریِ متعادل: موافقان و مخالفان و جمع‌بندیِ مستند</w:t>
      </w:r>
    </w:p>
    <w:p>
      <w:pPr>
        <w:bidi w:val="1"/>
        <w:spacing w:line="312" w:lineRule="auto" w:before="0" w:after="120"/>
        <w:ind w:firstLine="454"/>
        <w:jc w:val="both"/>
      </w:pPr>
      <w:r>
        <w:rPr>
          <w:rFonts w:ascii="Times New Roman" w:hAnsi="Times New Roman" w:cs="B Nazanin"/>
          <w:sz w:val="22"/>
          <w:szCs w:val="28"/>
          <w:rtl w:val="1"/>
        </w:rPr>
        <w:t>یک نتیجه‌گیریِ علمی در حوزهٔ حقوق بین‌الملل باید پیش از داوری، هر دو سویِ بحث را منصفانه بازتاب دهد. موافقانِ پیمان (از جمله آگیلا، وینیوالس و شبکهٔ حقوق‌دانانِ فرانسوی) آن را گامی ضروری برای تدوین و ارتقای اصولِ حقوق محیط زیست به سطحِ الزام‌آور می‌دانستند و بر ارزشِ نمادین و آموزشیِ یک متنِ مرجعِ واحد تأکید می‌کردند. مخالفان و منتقدان (از جمله تیلر، و با تحفظ، چاباسون و اژه) استدلال می‌کردند که پیمان یا خلأهای مقرراتیِ مشخص را پر نمی‌کند، یا با تحمیلِ سندی نو بدونِ ابزارِ اجرا، خطرِ تضعیفِ رژیم‌های موجود و هدررفتِ سرمایهٔ سیاسی را در پی دارد.</w:t>
      </w:r>
      <w:r>
        <w:rPr>
          <w:rStyle w:val="FootnoteReference"/>
          <w:rtl w:val="1"/>
        </w:rPr>
        <w:footnoteReference w:id="401"/>
      </w:r>
    </w:p>
    <w:p>
      <w:pPr>
        <w:bidi w:val="1"/>
        <w:spacing w:line="312" w:lineRule="auto" w:before="0" w:after="120"/>
        <w:ind w:firstLine="454"/>
        <w:jc w:val="both"/>
      </w:pPr>
      <w:r>
        <w:rPr>
          <w:rFonts w:ascii="Times New Roman" w:hAnsi="Times New Roman" w:cs="B Nazanin"/>
          <w:sz w:val="22"/>
          <w:szCs w:val="28"/>
          <w:rtl w:val="1"/>
        </w:rPr>
        <w:t>جمع‌بندیِ مستندِ رساله چنین است: حق با هر دو سو، اما در سطوحِ متفاوت، است. ایدهٔ بنیادینِ طراحان — یعنی گذارِ تدریجیِ اصول از حقوق نرم به یک سندِ چترِ سخت — از منظرِ نظری موجه و ارزشمند است؛ اما تحققِ یک‌بارهٔ آن از مسیرِ یک معاهدهٔ فراگیر و اجماع‌محور، با واقعیتِ ساختاریِ حقوق بین‌الملل محیط زیست ناسازگار بود. از این‌رو، رساله نتیجه می‌گیرد که هدفِ پیمان درست، اما ابزارِ آن نادرست انتخاب شده بود؛ و مسیرِ درست، پی‌گیریِ همان هدف از طریقِ نقشهٔ راهِ تدریجیِ شش‌ستونی است.</w:t>
      </w:r>
      <w:r>
        <w:rPr>
          <w:rStyle w:val="FootnoteReference"/>
          <w:rtl w:val="1"/>
        </w:rPr>
        <w:footnoteReference w:id="402"/>
      </w:r>
    </w:p>
    <w:p>
      <w:pPr>
        <w:bidi w:val="1"/>
        <w:spacing w:line="312" w:lineRule="auto" w:before="0" w:after="120"/>
        <w:ind w:firstLine="454"/>
        <w:jc w:val="both"/>
      </w:pPr>
      <w:r>
        <w:rPr>
          <w:rFonts w:ascii="Times New Roman" w:hAnsi="Times New Roman" w:cs="B Nazanin"/>
          <w:sz w:val="22"/>
          <w:szCs w:val="28"/>
          <w:rtl w:val="1"/>
        </w:rPr>
        <w:t>این داوری، از الگوی نتیجه‌گیریِ سه پژوهشِ شاخص بهره گرفته است: سنتزِ چندلایه و گزینه‌محورِ تیگره (۲۰۲۲)، تمرکزِ داموآ و همکاران (۲۰۲۶) بر اجرا و انسجام و عدالت، و ارزیابیِ متعادلِ ارزش‌افزوده در برابرِ محدودیت نزدِ تیلر (۲۰۱۸).</w:t>
      </w:r>
      <w:r>
        <w:rPr>
          <w:rStyle w:val="FootnoteReference"/>
          <w:rtl w:val="1"/>
        </w:rPr>
        <w:footnoteReference w:id="403"/>
      </w:r>
    </w:p>
    <w:p>
      <w:pPr>
        <w:pStyle w:val="Heading2"/>
        <w:bidi w:val="1"/>
        <w:spacing w:line="312" w:lineRule="auto" w:before="200" w:after="120"/>
        <w:jc w:val="right"/>
      </w:pPr>
      <w:r>
        <w:rPr>
          <w:rFonts w:ascii="Times New Roman" w:hAnsi="Times New Roman" w:cs="B Nazanin"/>
          <w:sz w:val="24"/>
          <w:szCs w:val="24"/>
          <w:rtl w:val="1"/>
          <w:b/>
          <w:bCs/>
          <w:color w:val="000000"/>
        </w:rPr>
        <w:t>۵-۴ پیشنهادها و نقشهٔ راهِ عملی</w:t>
      </w:r>
    </w:p>
    <w:p>
      <w:pPr>
        <w:bidi w:val="1"/>
        <w:spacing w:line="312" w:lineRule="auto" w:before="0" w:after="120"/>
        <w:ind w:firstLine="454"/>
        <w:jc w:val="both"/>
      </w:pPr>
      <w:r>
        <w:rPr>
          <w:rFonts w:ascii="Times New Roman" w:hAnsi="Times New Roman" w:cs="B Nazanin"/>
          <w:sz w:val="22"/>
          <w:szCs w:val="28"/>
          <w:rtl w:val="1"/>
        </w:rPr>
        <w:t>بر پایهٔ یافته‌ها، رساله شش پیشنهادِ عملی ارائه می‌کند که پیش‌تر در فصل چهارم بسط یافتند و در اینجا به‌مثابه توصیهٔ سیاستیِ نهایی گرد آمده‌اند: (۱) تقویتِ نقشِ رویهٔ قضاییِ بین‌المللی و منطقه‌ای در تثبیتِ اصولِ عمومی؛ (۲) ارتقای جایگاهِ نهادیِ برنامهٔ محیط زیست ملل متحد؛ (۳) استقرارِ سازوکارِ بازنگریِ ادواریِ زیست‌محیطی به الگوی UPR؛ (۴) گسترشِ خوشه‌بندی و هم‌افزاییِ معاهدات؛ (۵) بهره‌گیریِ راهبردی از حقوق نرم برای شکل‌دهیِ تدریجیِ عرف؛ و (۶) ترویجِ یکپارچگیِ نظام‌مند در تفسیرِ MEAها.</w:t>
      </w:r>
    </w:p>
    <w:p>
      <w:pPr>
        <w:bidi w:val="1"/>
        <w:spacing w:line="312" w:lineRule="auto" w:before="0" w:after="120"/>
        <w:ind w:firstLine="454"/>
        <w:jc w:val="both"/>
      </w:pPr>
      <w:r>
        <w:rPr>
          <w:rFonts w:ascii="Times New Roman" w:hAnsi="Times New Roman" w:cs="B Nazanin"/>
          <w:sz w:val="22"/>
          <w:szCs w:val="28"/>
          <w:rtl w:val="1"/>
        </w:rPr>
        <w:t>این پیشنهادها برای نظامِ حقوقیِ ایران نیز دلالت دارد: مشارکتِ فعال در فرایندهای خوشه‌بندی و بهره‌گیری از ظرفیتِ حقوق نرم، می‌تواند منافعِ ملی را با تعهداتِ زیست‌محیطیِ بین‌المللی هم‌سو کند، بی‌آنکه بارِ یک سندِ الزام‌آورِ فراگیر را یک‌باره بپذیرد.</w:t>
      </w:r>
    </w:p>
    <w:p>
      <w:pPr>
        <w:pStyle w:val="Heading2"/>
        <w:bidi w:val="1"/>
        <w:spacing w:line="312" w:lineRule="auto" w:before="200" w:after="120"/>
        <w:jc w:val="right"/>
      </w:pPr>
      <w:r>
        <w:rPr>
          <w:rFonts w:ascii="Times New Roman" w:hAnsi="Times New Roman" w:cs="B Nazanin"/>
          <w:sz w:val="24"/>
          <w:szCs w:val="24"/>
          <w:rtl w:val="1"/>
          <w:b/>
          <w:bCs/>
          <w:color w:val="000000"/>
        </w:rPr>
        <w:t>۵-۵ محدودیت‌های پژوهش و پیشنهادهایی برای پژوهش‌های آینده</w:t>
      </w:r>
    </w:p>
    <w:p>
      <w:pPr>
        <w:bidi w:val="1"/>
        <w:spacing w:line="312" w:lineRule="auto" w:before="0" w:after="120"/>
        <w:ind w:firstLine="454"/>
        <w:jc w:val="both"/>
      </w:pPr>
      <w:r>
        <w:rPr>
          <w:rFonts w:ascii="Times New Roman" w:hAnsi="Times New Roman" w:cs="B Nazanin"/>
          <w:sz w:val="22"/>
          <w:szCs w:val="28"/>
          <w:rtl w:val="1"/>
        </w:rPr>
        <w:t>این پژوهش با دو محدودیت روبه‌رو بوده است: نخست، به‌روزبودنِ موضوع و کمبودِ منابعِ فارسیِ تخصصی، که ناگزیر تکیه بر منابعِ لاتین را افزود؛ دوم، ماهیتِ در حال تحولِ برخی منابع (نظیرِ پیش‌چاپِ داوری‌نشدهٔ داموآ و همکاران ۲۰۲۶ و نظرِ مشورتیِ دیوان بین‌المللی دادگستری ۲۰۲۵) که ارزیابیِ قطعیِ آن‌ها را به آینده موکول می‌کند.</w:t>
      </w:r>
    </w:p>
    <w:p>
      <w:pPr>
        <w:bidi w:val="1"/>
        <w:spacing w:line="312" w:lineRule="auto" w:before="0" w:after="120"/>
        <w:ind w:firstLine="454"/>
        <w:jc w:val="both"/>
      </w:pPr>
      <w:r>
        <w:rPr>
          <w:rFonts w:ascii="Times New Roman" w:hAnsi="Times New Roman" w:cs="B Nazanin"/>
          <w:sz w:val="22"/>
          <w:szCs w:val="28"/>
          <w:rtl w:val="1"/>
        </w:rPr>
        <w:t>برای پژوهش‌های آینده سه مسیر پیشنهاد می‌شود: (۱) مطالعهٔ تطبیقیِ سازوکارِ بازنگریِ ادواریِ زیست‌محیطیِ پیشنهادی با نمونه‌های موجود؛ (۲) تحلیلِ اثرِ نظرِ مشورتیِ ۲۰۲۵ دیوان بر تثبیتِ اصولِ حقوق محیط زیست؛ و (۳) بررسیِ ظرفیتِ حقوقِ داخلیِ ایران برای درونی‌سازیِ اصولِ پیمان از مسیرهای جایگزین.</w:t>
      </w:r>
    </w:p>
    <w:p>
      <w:r>
        <w:br w:type="page"/>
      </w:r>
    </w:p>
    <w:p>
      <w:pPr>
        <w:pStyle w:val="Heading1"/>
        <w:bidi w:val="1"/>
        <w:spacing w:line="312" w:lineRule="auto" w:before="200" w:after="120"/>
        <w:jc w:val="right"/>
      </w:pPr>
      <w:r>
        <w:rPr>
          <w:rFonts w:ascii="Times New Roman" w:hAnsi="Times New Roman" w:cs="B Nazanin"/>
          <w:sz w:val="24"/>
          <w:szCs w:val="28"/>
          <w:rtl w:val="1"/>
          <w:b/>
          <w:bCs/>
          <w:color w:val="000000"/>
        </w:rPr>
        <w:t>واژه‌نامهٔ مستندِ اصطلاحات</w:t>
      </w:r>
    </w:p>
    <w:p>
      <w:pPr>
        <w:bidi w:val="1"/>
        <w:spacing w:line="312" w:lineRule="auto" w:before="0" w:after="80"/>
        <w:jc w:val="both"/>
      </w:pPr>
      <w:r>
        <w:rPr>
          <w:rFonts w:ascii="Times New Roman" w:hAnsi="Times New Roman" w:cs="B Nazanin"/>
          <w:sz w:val="22"/>
          <w:szCs w:val="26"/>
          <w:rtl w:val="1"/>
          <w:b/>
          <w:bCs/>
        </w:rPr>
        <w:t xml:space="preserve">پیمان جهانی محیط زیست (GPE) (Global Pact for the Environment): </w:t>
      </w:r>
      <w:r>
        <w:rPr>
          <w:rFonts w:ascii="Times New Roman" w:hAnsi="Times New Roman" w:cs="B Nazanin"/>
          <w:sz w:val="22"/>
          <w:szCs w:val="26"/>
          <w:rtl w:val="1"/>
        </w:rPr>
        <w:t>پیش‌نویسِ سندِ بین‌المللیِ ۲۶ماده‌ای (۲۰۱۷) به‌منظورِ گردآوریِ اصولِ عمومیِ حقوق محیط زیست در یک متنِ چترِ الزام‌آور. نباید با «پیمان برای آینده» (Pact for the Future, 2024) اشتباه گرفته شود.</w:t>
      </w:r>
    </w:p>
    <w:p>
      <w:pPr>
        <w:bidi w:val="1"/>
        <w:spacing w:line="312" w:lineRule="auto" w:before="0" w:after="160"/>
        <w:ind w:firstLine="340"/>
        <w:jc w:val="both"/>
      </w:pPr>
      <w:r>
        <w:rPr>
          <w:rFonts w:ascii="Times New Roman" w:hAnsi="Times New Roman" w:cs="B Nazanin"/>
          <w:sz w:val="20"/>
          <w:szCs w:val="22"/>
          <w:rtl w:val="1"/>
        </w:rPr>
        <w:t>منبع: Aguila &amp; Viñuales (eds.), A Global Pact for the Environment: Legal Foundations, 2019; Draft GPE 2017.</w:t>
      </w:r>
    </w:p>
    <w:p>
      <w:pPr>
        <w:bidi w:val="1"/>
        <w:spacing w:line="312" w:lineRule="auto" w:before="0" w:after="80"/>
        <w:jc w:val="both"/>
      </w:pPr>
      <w:r>
        <w:rPr>
          <w:rFonts w:ascii="Times New Roman" w:hAnsi="Times New Roman" w:cs="B Nazanin"/>
          <w:sz w:val="22"/>
          <w:szCs w:val="26"/>
          <w:rtl w:val="1"/>
          <w:b/>
          <w:bCs/>
        </w:rPr>
        <w:t xml:space="preserve">موافقت‌نامهٔ چندجانبهٔ محیط‌زیستی (MEA) (Multilateral Environmental Agreement): </w:t>
      </w:r>
      <w:r>
        <w:rPr>
          <w:rFonts w:ascii="Times New Roman" w:hAnsi="Times New Roman" w:cs="B Nazanin"/>
          <w:sz w:val="22"/>
          <w:szCs w:val="26"/>
          <w:rtl w:val="1"/>
        </w:rPr>
        <w:t>معاهدهٔ چندجانبهٔ ناظر بر یک موضوعِ زیست‌محیطیِ مشخص (اقلیم، تنوع زیستی، مواد شیمیایی و…) با نهادها و دبیرخانهٔ اختصاصی؛ بیش از پانصد سند از این دست موجود است.</w:t>
      </w:r>
    </w:p>
    <w:p>
      <w:pPr>
        <w:bidi w:val="1"/>
        <w:spacing w:line="312" w:lineRule="auto" w:before="0" w:after="160"/>
        <w:ind w:firstLine="340"/>
        <w:jc w:val="both"/>
      </w:pPr>
      <w:r>
        <w:rPr>
          <w:rFonts w:ascii="Times New Roman" w:hAnsi="Times New Roman" w:cs="B Nazanin"/>
          <w:sz w:val="20"/>
          <w:szCs w:val="22"/>
          <w:rtl w:val="1"/>
        </w:rPr>
        <w:t>منبع: UNEP, Environmental Rule of Law reports; SG Report A/73/419 (2018).</w:t>
      </w:r>
    </w:p>
    <w:p>
      <w:pPr>
        <w:bidi w:val="1"/>
        <w:spacing w:line="312" w:lineRule="auto" w:before="0" w:after="80"/>
        <w:jc w:val="both"/>
      </w:pPr>
      <w:r>
        <w:rPr>
          <w:rFonts w:ascii="Times New Roman" w:hAnsi="Times New Roman" w:cs="B Nazanin"/>
          <w:sz w:val="22"/>
          <w:szCs w:val="26"/>
          <w:rtl w:val="1"/>
          <w:b/>
          <w:bCs/>
        </w:rPr>
        <w:t xml:space="preserve">سند چتر (Umbrella instrument): </w:t>
      </w:r>
      <w:r>
        <w:rPr>
          <w:rFonts w:ascii="Times New Roman" w:hAnsi="Times New Roman" w:cs="B Nazanin"/>
          <w:sz w:val="22"/>
          <w:szCs w:val="26"/>
          <w:rtl w:val="1"/>
        </w:rPr>
        <w:t>سندی که جایگزینِ معاهداتِ موجود نمی‌شود و آن‌ها را ادغام نمی‌کند، بلکه چترِ اصولیِ مشترکی فراهم می‌آورد که سایرِ معاهدات ذیلِ آن تفسیر و هماهنگ شوند.</w:t>
      </w:r>
    </w:p>
    <w:p>
      <w:pPr>
        <w:bidi w:val="1"/>
        <w:spacing w:line="312" w:lineRule="auto" w:before="0" w:after="160"/>
        <w:ind w:firstLine="340"/>
        <w:jc w:val="both"/>
      </w:pPr>
      <w:r>
        <w:rPr>
          <w:rFonts w:ascii="Times New Roman" w:hAnsi="Times New Roman" w:cs="B Nazanin"/>
          <w:sz w:val="20"/>
          <w:szCs w:val="22"/>
          <w:rtl w:val="1"/>
        </w:rPr>
        <w:t>منبع: Aguila &amp; Viñuales (eds.), Legal Foundations, 2019.</w:t>
      </w:r>
    </w:p>
    <w:p>
      <w:pPr>
        <w:bidi w:val="1"/>
        <w:spacing w:line="312" w:lineRule="auto" w:before="0" w:after="80"/>
        <w:jc w:val="both"/>
      </w:pPr>
      <w:r>
        <w:rPr>
          <w:rFonts w:ascii="Times New Roman" w:hAnsi="Times New Roman" w:cs="B Nazanin"/>
          <w:sz w:val="22"/>
          <w:szCs w:val="26"/>
          <w:rtl w:val="1"/>
          <w:b/>
          <w:bCs/>
        </w:rPr>
        <w:t xml:space="preserve">پراکندگیِ حقوق بین‌الملل (Fragmentation of international law): </w:t>
      </w:r>
      <w:r>
        <w:rPr>
          <w:rFonts w:ascii="Times New Roman" w:hAnsi="Times New Roman" w:cs="B Nazanin"/>
          <w:sz w:val="22"/>
          <w:szCs w:val="26"/>
          <w:rtl w:val="1"/>
        </w:rPr>
        <w:t>تجزیهٔ حقوق بین‌الملل به رژیم‌های تخصصیِ کم‌ارتباط که خطرِ تعارضِ هنجاری پدید می‌آورد؛ کمیسیون آن را «اجتناب‌ناپذیر اما قابلِ مدیریت» می‌داند.</w:t>
      </w:r>
    </w:p>
    <w:p>
      <w:pPr>
        <w:bidi w:val="1"/>
        <w:spacing w:line="312" w:lineRule="auto" w:before="0" w:after="160"/>
        <w:ind w:firstLine="340"/>
        <w:jc w:val="both"/>
      </w:pPr>
      <w:r>
        <w:rPr>
          <w:rFonts w:ascii="Times New Roman" w:hAnsi="Times New Roman" w:cs="B Nazanin"/>
          <w:sz w:val="20"/>
          <w:szCs w:val="22"/>
          <w:rtl w:val="1"/>
        </w:rPr>
        <w:t>منبع: ILC, Conclusions of the Study Group on Fragmentation, 2006 (A/61/10).</w:t>
      </w:r>
    </w:p>
    <w:p>
      <w:pPr>
        <w:bidi w:val="1"/>
        <w:spacing w:line="312" w:lineRule="auto" w:before="0" w:after="80"/>
        <w:jc w:val="both"/>
      </w:pPr>
      <w:r>
        <w:rPr>
          <w:rFonts w:ascii="Times New Roman" w:hAnsi="Times New Roman" w:cs="B Nazanin"/>
          <w:sz w:val="22"/>
          <w:szCs w:val="26"/>
          <w:rtl w:val="1"/>
          <w:b/>
          <w:bCs/>
        </w:rPr>
        <w:t xml:space="preserve">یکپارچگیِ نظام‌مند (Systemic integration): </w:t>
      </w:r>
      <w:r>
        <w:rPr>
          <w:rFonts w:ascii="Times New Roman" w:hAnsi="Times New Roman" w:cs="B Nazanin"/>
          <w:sz w:val="22"/>
          <w:szCs w:val="26"/>
          <w:rtl w:val="1"/>
        </w:rPr>
        <w:t>قاعدهٔ تفسیریِ مادهٔ ۳۱(۳)(ج) کنوانسیون وین ۱۹۶۹ که مقرر می‌دارد هر قاعده در پرتوِ «هر قاعدهٔ مرتبطِ حقوق بین‌المللِ قابلِ اعمال میان طرفین» تفسیر شود؛ ابزارِ اصلیِ مدیریتِ پراکندگی.</w:t>
      </w:r>
    </w:p>
    <w:p>
      <w:pPr>
        <w:bidi w:val="1"/>
        <w:spacing w:line="312" w:lineRule="auto" w:before="0" w:after="160"/>
        <w:ind w:firstLine="340"/>
        <w:jc w:val="both"/>
      </w:pPr>
      <w:r>
        <w:rPr>
          <w:rFonts w:ascii="Times New Roman" w:hAnsi="Times New Roman" w:cs="B Nazanin"/>
          <w:sz w:val="20"/>
          <w:szCs w:val="22"/>
          <w:rtl w:val="1"/>
        </w:rPr>
        <w:t>منبع: VCLT 1969, Art. 31(3)(c); ILC 2006 Conclusions (17)–(23).</w:t>
      </w:r>
    </w:p>
    <w:p>
      <w:pPr>
        <w:bidi w:val="1"/>
        <w:spacing w:line="312" w:lineRule="auto" w:before="0" w:after="80"/>
        <w:jc w:val="both"/>
      </w:pPr>
      <w:r>
        <w:rPr>
          <w:rFonts w:ascii="Times New Roman" w:hAnsi="Times New Roman" w:cs="B Nazanin"/>
          <w:sz w:val="22"/>
          <w:szCs w:val="26"/>
          <w:rtl w:val="1"/>
          <w:b/>
          <w:bCs/>
        </w:rPr>
        <w:t xml:space="preserve">قاعدهٔ خاصِ مقدم (Lex specialis): </w:t>
      </w:r>
      <w:r>
        <w:rPr>
          <w:rFonts w:ascii="Times New Roman" w:hAnsi="Times New Roman" w:cs="B Nazanin"/>
          <w:sz w:val="22"/>
          <w:szCs w:val="26"/>
          <w:rtl w:val="1"/>
        </w:rPr>
        <w:t>قاعدهٔ حل‌تعارض که بر پایهٔ آن، قاعدهٔ خاص بر قاعدهٔ عام مقدم است، مشروط بر آنکه در چارچوبِ نظامِ کلی تفسیر شود.</w:t>
      </w:r>
    </w:p>
    <w:p>
      <w:pPr>
        <w:bidi w:val="1"/>
        <w:spacing w:line="312" w:lineRule="auto" w:before="0" w:after="160"/>
        <w:ind w:firstLine="340"/>
        <w:jc w:val="both"/>
      </w:pPr>
      <w:r>
        <w:rPr>
          <w:rFonts w:ascii="Times New Roman" w:hAnsi="Times New Roman" w:cs="B Nazanin"/>
          <w:sz w:val="20"/>
          <w:szCs w:val="22"/>
          <w:rtl w:val="1"/>
        </w:rPr>
        <w:t>منبع: ILC 2006 Conclusions (5)–(10).</w:t>
      </w:r>
    </w:p>
    <w:p>
      <w:pPr>
        <w:bidi w:val="1"/>
        <w:spacing w:line="312" w:lineRule="auto" w:before="0" w:after="80"/>
        <w:jc w:val="both"/>
      </w:pPr>
      <w:r>
        <w:rPr>
          <w:rFonts w:ascii="Times New Roman" w:hAnsi="Times New Roman" w:cs="B Nazanin"/>
          <w:sz w:val="22"/>
          <w:szCs w:val="26"/>
          <w:rtl w:val="1"/>
          <w:b/>
          <w:bCs/>
        </w:rPr>
        <w:t xml:space="preserve">نظام خودبسنده (Self-contained regime): </w:t>
      </w:r>
      <w:r>
        <w:rPr>
          <w:rFonts w:ascii="Times New Roman" w:hAnsi="Times New Roman" w:cs="B Nazanin"/>
          <w:sz w:val="22"/>
          <w:szCs w:val="26"/>
          <w:rtl w:val="1"/>
        </w:rPr>
        <w:t>رژیمِ تخصصی با قواعدِ ثانویهٔ خاصِ خود؛ کمیسیون تأکید می‌کند که هیچ رژیمی به‌کلی از حقوق بین‌المللِ عام گسسته نیست و در صورتِ ناکامیِ رژیمِ خاص، حقوق عام اعمال می‌شود.</w:t>
      </w:r>
    </w:p>
    <w:p>
      <w:pPr>
        <w:bidi w:val="1"/>
        <w:spacing w:line="312" w:lineRule="auto" w:before="0" w:after="160"/>
        <w:ind w:firstLine="340"/>
        <w:jc w:val="both"/>
      </w:pPr>
      <w:r>
        <w:rPr>
          <w:rFonts w:ascii="Times New Roman" w:hAnsi="Times New Roman" w:cs="B Nazanin"/>
          <w:sz w:val="20"/>
          <w:szCs w:val="22"/>
          <w:rtl w:val="1"/>
        </w:rPr>
        <w:t>منبع: ILC 2006 Conclusions (11)–(16).</w:t>
      </w:r>
    </w:p>
    <w:p>
      <w:pPr>
        <w:bidi w:val="1"/>
        <w:spacing w:line="312" w:lineRule="auto" w:before="0" w:after="80"/>
        <w:jc w:val="both"/>
      </w:pPr>
      <w:r>
        <w:rPr>
          <w:rFonts w:ascii="Times New Roman" w:hAnsi="Times New Roman" w:cs="B Nazanin"/>
          <w:sz w:val="22"/>
          <w:szCs w:val="26"/>
          <w:rtl w:val="1"/>
          <w:b/>
          <w:bCs/>
        </w:rPr>
        <w:t xml:space="preserve">الزام‌آوری (حقوق سخت / نرم) (Hard law / Soft law): </w:t>
      </w:r>
      <w:r>
        <w:rPr>
          <w:rFonts w:ascii="Times New Roman" w:hAnsi="Times New Roman" w:cs="B Nazanin"/>
          <w:sz w:val="22"/>
          <w:szCs w:val="26"/>
          <w:rtl w:val="1"/>
        </w:rPr>
        <w:t>حقوق سخت، قواعدِ الزام‌آور و قابلِ اجرا؛ حقوق نرم، ابزارهای غیرالزام‌آور (اعلامیه‌ها، رهنمودها) که می‌توانند به‌تدریج به عرف یا معاهده بدل شوند.</w:t>
      </w:r>
    </w:p>
    <w:p>
      <w:pPr>
        <w:bidi w:val="1"/>
        <w:spacing w:line="312" w:lineRule="auto" w:before="0" w:after="160"/>
        <w:ind w:firstLine="340"/>
        <w:jc w:val="both"/>
      </w:pPr>
      <w:r>
        <w:rPr>
          <w:rFonts w:ascii="Times New Roman" w:hAnsi="Times New Roman" w:cs="B Nazanin"/>
          <w:sz w:val="20"/>
          <w:szCs w:val="22"/>
          <w:rtl w:val="1"/>
        </w:rPr>
        <w:t>منبع: Tiller, D., 2018; Boyle &amp; Chinkin, The Making of International Law.</w:t>
      </w:r>
    </w:p>
    <w:p>
      <w:pPr>
        <w:bidi w:val="1"/>
        <w:spacing w:line="312" w:lineRule="auto" w:before="0" w:after="80"/>
        <w:jc w:val="both"/>
      </w:pPr>
      <w:r>
        <w:rPr>
          <w:rFonts w:ascii="Times New Roman" w:hAnsi="Times New Roman" w:cs="B Nazanin"/>
          <w:sz w:val="22"/>
          <w:szCs w:val="26"/>
          <w:rtl w:val="1"/>
          <w:b/>
          <w:bCs/>
        </w:rPr>
        <w:t xml:space="preserve">اصلِ عدم‌پس‌رفت (Principle of non-regression): </w:t>
      </w:r>
      <w:r>
        <w:rPr>
          <w:rFonts w:ascii="Times New Roman" w:hAnsi="Times New Roman" w:cs="B Nazanin"/>
          <w:sz w:val="22"/>
          <w:szCs w:val="26"/>
          <w:rtl w:val="1"/>
        </w:rPr>
        <w:t>اصلی که مقرر می‌دارد سطحِ حمایتِ زیست‌محیطیِ موجود نباید تنزل یابد؛ از نوآوری‌های برجستهٔ پیش‌نویسِ پیمان (مادهٔ ۱۷).</w:t>
      </w:r>
    </w:p>
    <w:p>
      <w:pPr>
        <w:bidi w:val="1"/>
        <w:spacing w:line="312" w:lineRule="auto" w:before="0" w:after="160"/>
        <w:ind w:firstLine="340"/>
        <w:jc w:val="both"/>
      </w:pPr>
      <w:r>
        <w:rPr>
          <w:rFonts w:ascii="Times New Roman" w:hAnsi="Times New Roman" w:cs="B Nazanin"/>
          <w:sz w:val="20"/>
          <w:szCs w:val="22"/>
          <w:rtl w:val="1"/>
        </w:rPr>
        <w:t>منبع: Draft GPE 2017, Art. 17; Tiller 2018.</w:t>
      </w:r>
    </w:p>
    <w:p>
      <w:pPr>
        <w:bidi w:val="1"/>
        <w:spacing w:line="312" w:lineRule="auto" w:before="0" w:after="80"/>
        <w:jc w:val="both"/>
      </w:pPr>
      <w:r>
        <w:rPr>
          <w:rFonts w:ascii="Times New Roman" w:hAnsi="Times New Roman" w:cs="B Nazanin"/>
          <w:sz w:val="22"/>
          <w:szCs w:val="26"/>
          <w:rtl w:val="1"/>
          <w:b/>
          <w:bCs/>
        </w:rPr>
        <w:t xml:space="preserve">عصر انتروپوسن (Anthropocene): </w:t>
      </w:r>
      <w:r>
        <w:rPr>
          <w:rFonts w:ascii="Times New Roman" w:hAnsi="Times New Roman" w:cs="B Nazanin"/>
          <w:sz w:val="22"/>
          <w:szCs w:val="26"/>
          <w:rtl w:val="1"/>
        </w:rPr>
        <w:t>دورانِ زمین‌شناختیِ پیشنهادی که در آن اثرِ انسان به نیرویی سیاره‌ای بدل شده و از مرزهای زیستیِ سیاره عبور کرده است.</w:t>
      </w:r>
    </w:p>
    <w:p>
      <w:pPr>
        <w:bidi w:val="1"/>
        <w:spacing w:line="312" w:lineRule="auto" w:before="0" w:after="160"/>
        <w:ind w:firstLine="340"/>
        <w:jc w:val="both"/>
      </w:pPr>
      <w:r>
        <w:rPr>
          <w:rFonts w:ascii="Times New Roman" w:hAnsi="Times New Roman" w:cs="B Nazanin"/>
          <w:sz w:val="20"/>
          <w:szCs w:val="22"/>
          <w:rtl w:val="1"/>
        </w:rPr>
        <w:t>منبع: Kim &amp; Bosselmann, TEL 2013; Damoah et al., Preprints 2026.</w:t>
      </w:r>
    </w:p>
    <w:p>
      <w:pPr>
        <w:bidi w:val="1"/>
        <w:spacing w:line="312" w:lineRule="auto" w:before="0" w:after="80"/>
        <w:jc w:val="both"/>
      </w:pPr>
      <w:r>
        <w:rPr>
          <w:rFonts w:ascii="Times New Roman" w:hAnsi="Times New Roman" w:cs="B Nazanin"/>
          <w:sz w:val="22"/>
          <w:szCs w:val="26"/>
          <w:rtl w:val="1"/>
          <w:b/>
          <w:bCs/>
        </w:rPr>
        <w:t xml:space="preserve">حق بر محیط‌زیست سالم (Right to a healthy environment): </w:t>
      </w:r>
      <w:r>
        <w:rPr>
          <w:rFonts w:ascii="Times New Roman" w:hAnsi="Times New Roman" w:cs="B Nazanin"/>
          <w:sz w:val="22"/>
          <w:szCs w:val="26"/>
          <w:rtl w:val="1"/>
        </w:rPr>
        <w:t>حقِ بشریِ برخورداری از محیط‌زیستِ پاک، سالم و پایدار؛ در قطعنامهٔ ۷۶/۳۰۰ مجمع عمومی (۲۰۲۲) به‌رسمیت شناخته شد.</w:t>
      </w:r>
    </w:p>
    <w:p>
      <w:pPr>
        <w:bidi w:val="1"/>
        <w:spacing w:line="312" w:lineRule="auto" w:before="0" w:after="160"/>
        <w:ind w:firstLine="340"/>
        <w:jc w:val="both"/>
      </w:pPr>
      <w:r>
        <w:rPr>
          <w:rFonts w:ascii="Times New Roman" w:hAnsi="Times New Roman" w:cs="B Nazanin"/>
          <w:sz w:val="20"/>
          <w:szCs w:val="22"/>
          <w:rtl w:val="1"/>
        </w:rPr>
        <w:t>منبع: UNGA Res. 76/300 (2022); Tigre 2022.</w:t>
      </w:r>
    </w:p>
    <w:p>
      <w:pPr>
        <w:bidi w:val="1"/>
        <w:spacing w:line="312" w:lineRule="auto" w:before="0" w:after="80"/>
        <w:jc w:val="both"/>
      </w:pPr>
      <w:r>
        <w:rPr>
          <w:rFonts w:ascii="Times New Roman" w:hAnsi="Times New Roman" w:cs="B Nazanin"/>
          <w:sz w:val="22"/>
          <w:szCs w:val="26"/>
          <w:rtl w:val="1"/>
          <w:b/>
          <w:bCs/>
        </w:rPr>
        <w:t xml:space="preserve">آینده‌پژوهی (در بستر حقوقی) (Futures studies / foresight): </w:t>
      </w:r>
      <w:r>
        <w:rPr>
          <w:rFonts w:ascii="Times New Roman" w:hAnsi="Times New Roman" w:cs="B Nazanin"/>
          <w:sz w:val="22"/>
          <w:szCs w:val="26"/>
          <w:rtl w:val="1"/>
        </w:rPr>
        <w:t>رویکردِ روشمند به مطالعهٔ آینده‌های محتمل و مطلوب؛ در این رساله برای ترسیمِ سناریوها و نقشهٔ راهِ جایگزین به کار رفته است.</w:t>
      </w:r>
    </w:p>
    <w:p>
      <w:pPr>
        <w:bidi w:val="1"/>
        <w:spacing w:line="312" w:lineRule="auto" w:before="0" w:after="160"/>
        <w:ind w:firstLine="340"/>
        <w:jc w:val="both"/>
      </w:pPr>
      <w:r>
        <w:rPr>
          <w:rFonts w:ascii="Times New Roman" w:hAnsi="Times New Roman" w:cs="B Nazanin"/>
          <w:sz w:val="20"/>
          <w:szCs w:val="22"/>
          <w:rtl w:val="1"/>
        </w:rPr>
        <w:t>منبع: کاربردِ روش‌شناختیِ نگارنده؛ ادبیاتِ Futures Studies.</w:t>
      </w:r>
    </w:p>
    <w:p>
      <w:r>
        <w:br w:type="page"/>
      </w:r>
    </w:p>
    <w:p>
      <w:pPr>
        <w:pStyle w:val="Heading1"/>
        <w:bidi w:val="1"/>
        <w:spacing w:line="312" w:lineRule="auto" w:before="200" w:after="120"/>
        <w:jc w:val="right"/>
      </w:pPr>
      <w:r>
        <w:rPr>
          <w:rFonts w:ascii="Times New Roman" w:hAnsi="Times New Roman" w:cs="B Nazanin"/>
          <w:sz w:val="24"/>
          <w:szCs w:val="28"/>
          <w:rtl w:val="1"/>
          <w:b/>
          <w:bCs/>
          <w:color w:val="000000"/>
        </w:rPr>
        <w:t>موافقان و مخالفانِ پیمان جهانی</w:t>
      </w:r>
    </w:p>
    <w:p>
      <w:pPr>
        <w:pStyle w:val="Heading2"/>
        <w:bidi w:val="1"/>
        <w:spacing w:line="312" w:lineRule="auto" w:before="200" w:after="120"/>
        <w:jc w:val="right"/>
      </w:pPr>
      <w:r>
        <w:rPr>
          <w:rFonts w:ascii="Times New Roman" w:hAnsi="Times New Roman" w:cs="B Nazanin"/>
          <w:sz w:val="24"/>
          <w:szCs w:val="24"/>
          <w:rtl w:val="1"/>
          <w:b/>
          <w:bCs/>
          <w:color w:val="000000"/>
        </w:rPr>
        <w:t>دیدگاهِ موافقان</w:t>
      </w:r>
    </w:p>
    <w:p>
      <w:pPr>
        <w:bidi w:val="1"/>
        <w:spacing w:line="312" w:lineRule="auto" w:before="0" w:after="80"/>
        <w:jc w:val="both"/>
      </w:pPr>
      <w:r>
        <w:rPr>
          <w:rFonts w:ascii="Times New Roman" w:hAnsi="Times New Roman" w:cs="B Nazanin"/>
          <w:sz w:val="22"/>
          <w:szCs w:val="26"/>
          <w:rtl w:val="1"/>
        </w:rPr>
        <w:t>• پیمان اصولِ پراکندهٔ حقوق محیط زیست را در یک متنِ مرجعِ الزام‌آور تدوین می‌کند و هزینهٔ تفسیر و اجرا را می‌کاهد. (منبع: Aguila &amp; Viñuales (eds.), Legal Foundations, 2019.)</w:t>
      </w:r>
    </w:p>
    <w:p>
      <w:pPr>
        <w:bidi w:val="1"/>
        <w:spacing w:line="312" w:lineRule="auto" w:before="0" w:after="80"/>
        <w:jc w:val="both"/>
      </w:pPr>
      <w:r>
        <w:rPr>
          <w:rFonts w:ascii="Times New Roman" w:hAnsi="Times New Roman" w:cs="B Nazanin"/>
          <w:sz w:val="22"/>
          <w:szCs w:val="26"/>
          <w:rtl w:val="1"/>
        </w:rPr>
        <w:t>• تثبیتِ حقِ محیط‌زیست سالم و اصلِ عدم‌پس‌رفت، ارزشِ افزودهٔ هنجاریِ روشنی دارد. (منبع: Draft GPE 2017; Tigre 2022.)</w:t>
      </w:r>
    </w:p>
    <w:p>
      <w:pPr>
        <w:bidi w:val="1"/>
        <w:spacing w:line="312" w:lineRule="auto" w:before="0" w:after="80"/>
        <w:jc w:val="both"/>
      </w:pPr>
      <w:r>
        <w:rPr>
          <w:rFonts w:ascii="Times New Roman" w:hAnsi="Times New Roman" w:cs="B Nazanin"/>
          <w:sz w:val="22"/>
          <w:szCs w:val="26"/>
          <w:rtl w:val="1"/>
        </w:rPr>
        <w:t>• یک سندِ چتر می‌تواند «یکپارچگیِ نظام‌مندِ» موردِ نظرِ کمیسیون حقوق بین‌الملل را تقویت کند. (منبع: ILC 2006 Conclusions; Aguila &amp; Viñuales 2019.)</w:t>
      </w:r>
    </w:p>
    <w:p>
      <w:pPr>
        <w:pStyle w:val="Heading2"/>
        <w:bidi w:val="1"/>
        <w:spacing w:line="312" w:lineRule="auto" w:before="200" w:after="120"/>
        <w:jc w:val="right"/>
      </w:pPr>
      <w:r>
        <w:rPr>
          <w:rFonts w:ascii="Times New Roman" w:hAnsi="Times New Roman" w:cs="B Nazanin"/>
          <w:sz w:val="24"/>
          <w:szCs w:val="24"/>
          <w:rtl w:val="1"/>
          <w:b/>
          <w:bCs/>
          <w:color w:val="000000"/>
        </w:rPr>
        <w:t>دیدگاهِ مخالفان</w:t>
      </w:r>
    </w:p>
    <w:p>
      <w:pPr>
        <w:bidi w:val="1"/>
        <w:spacing w:line="312" w:lineRule="auto" w:before="0" w:after="80"/>
        <w:jc w:val="both"/>
      </w:pPr>
      <w:r>
        <w:rPr>
          <w:rFonts w:ascii="Times New Roman" w:hAnsi="Times New Roman" w:cs="B Nazanin"/>
          <w:sz w:val="22"/>
          <w:szCs w:val="26"/>
          <w:rtl w:val="1"/>
        </w:rPr>
        <w:t>• پیمان اصولِ عمومی را تقویت می‌کند اما خلأهای مقرراتیِ مشخص را پر نمی‌کند و فاقدِ ضمانتِ اجرای الزام‌آور است. (منبع: Tiller, D., 2018.)</w:t>
      </w:r>
    </w:p>
    <w:p>
      <w:pPr>
        <w:bidi w:val="1"/>
        <w:spacing w:line="312" w:lineRule="auto" w:before="0" w:after="80"/>
        <w:jc w:val="both"/>
      </w:pPr>
      <w:r>
        <w:rPr>
          <w:rFonts w:ascii="Times New Roman" w:hAnsi="Times New Roman" w:cs="B Nazanin"/>
          <w:sz w:val="22"/>
          <w:szCs w:val="26"/>
          <w:rtl w:val="1"/>
        </w:rPr>
        <w:t>• تحمیلِ سندی نو بدونِ ابزارِ اجرا و تأمینِ مالی، خطرِ هدررفتِ سرمایهٔ سیاسی و مقاومتِ کشورهای در حال توسعه را دارد. (منبع: Chabason &amp; Hege, IDDRI, 2019.)</w:t>
      </w:r>
    </w:p>
    <w:p>
      <w:pPr>
        <w:bidi w:val="1"/>
        <w:spacing w:line="312" w:lineRule="auto" w:before="0" w:after="80"/>
        <w:jc w:val="both"/>
      </w:pPr>
      <w:r>
        <w:rPr>
          <w:rFonts w:ascii="Times New Roman" w:hAnsi="Times New Roman" w:cs="B Nazanin"/>
          <w:sz w:val="22"/>
          <w:szCs w:val="26"/>
          <w:rtl w:val="1"/>
        </w:rPr>
        <w:t>• سازوکارِ اجماع‌محور، به اقلیتِ مخالف حقِ وتوی عملی می‌دهد؛ از این‌رو مسیرِ معاهدهٔ فراگیر کم‌ثمر است. (منبع: Chabason &amp; Hege, IDDRI, 2019.)</w:t>
      </w:r>
    </w:p>
    <w:p>
      <w:pPr>
        <w:pStyle w:val="Heading2"/>
        <w:bidi w:val="1"/>
        <w:spacing w:line="312" w:lineRule="auto" w:before="200" w:after="120"/>
        <w:jc w:val="right"/>
      </w:pPr>
      <w:r>
        <w:rPr>
          <w:rFonts w:ascii="Times New Roman" w:hAnsi="Times New Roman" w:cs="B Nazanin"/>
          <w:sz w:val="24"/>
          <w:szCs w:val="24"/>
          <w:rtl w:val="1"/>
          <w:b/>
          <w:bCs/>
          <w:color w:val="000000"/>
        </w:rPr>
        <w:t>جمع‌بندیِ داوری‌شده</w:t>
      </w:r>
    </w:p>
    <w:p>
      <w:pPr>
        <w:bidi w:val="1"/>
        <w:spacing w:line="312" w:lineRule="auto" w:before="0" w:after="160"/>
        <w:jc w:val="both"/>
      </w:pPr>
      <w:r>
        <w:rPr>
          <w:rFonts w:ascii="Times New Roman" w:hAnsi="Times New Roman" w:cs="B Nazanin"/>
          <w:sz w:val="22"/>
          <w:szCs w:val="26"/>
          <w:rtl w:val="1"/>
        </w:rPr>
        <w:t>هدفِ پیمان (گذارِ اصول از حقوق نرم به سند چترِ سخت) موجه بود، اما ابزارِ آن (معاهدهٔ فراگیرِ اجماع‌محور) با خصلتِ تدریجی و بخشیِ حقوق بین‌الملل محیط زیست ناسازگار بود؛ پس همان هدف را باید از مسیرِ نقشهٔ راهِ تدریجیِ شش‌ستونی دنبال کرد.</w:t>
      </w:r>
    </w:p>
    <w:p>
      <w:r>
        <w:br w:type="page"/>
      </w:r>
    </w:p>
    <w:p>
      <w:pPr>
        <w:pStyle w:val="Heading1"/>
        <w:bidi w:val="1"/>
        <w:spacing w:line="312" w:lineRule="auto" w:before="200" w:after="120"/>
        <w:jc w:val="right"/>
      </w:pPr>
      <w:r>
        <w:rPr>
          <w:rFonts w:ascii="Times New Roman" w:hAnsi="Times New Roman" w:cs="B Nazanin"/>
          <w:sz w:val="24"/>
          <w:szCs w:val="28"/>
          <w:rtl w:val="1"/>
          <w:b/>
          <w:bCs/>
          <w:color w:val="000000"/>
        </w:rPr>
        <w:t>روش‌شناسیِ نتیجه‌گیری</w:t>
      </w:r>
    </w:p>
    <w:p>
      <w:pPr>
        <w:bidi w:val="1"/>
        <w:spacing w:line="312" w:lineRule="auto" w:before="0" w:after="160"/>
        <w:jc w:val="both"/>
      </w:pPr>
      <w:r>
        <w:rPr>
          <w:rFonts w:ascii="Times New Roman" w:hAnsi="Times New Roman" w:cs="B Nazanin"/>
          <w:sz w:val="22"/>
          <w:szCs w:val="26"/>
          <w:rtl w:val="1"/>
        </w:rPr>
        <w:t>نتیجه‌گیریِ این رساله آگاهانه از الگوی سه پژوهشِ شاخصِ هم‌موضوع بهره گرفته است تا در سطحِ استانداردِ دکتریِ حقوق بین‌الملل قرار گیرد. هر الگو، یک وجهِ روش‌شناختی را تأمین کرده است:</w:t>
      </w:r>
    </w:p>
    <w:p>
      <w:pPr>
        <w:pStyle w:val="Heading2"/>
        <w:bidi w:val="1"/>
        <w:spacing w:line="312" w:lineRule="auto" w:before="200" w:after="120"/>
        <w:jc w:val="right"/>
      </w:pPr>
      <w:r>
        <w:rPr>
          <w:rFonts w:ascii="Times New Roman" w:hAnsi="Times New Roman" w:cs="B Nazanin"/>
          <w:sz w:val="24"/>
          <w:szCs w:val="24"/>
          <w:rtl w:val="1"/>
          <w:b/>
          <w:bCs/>
          <w:color w:val="000000"/>
        </w:rPr>
        <w:t>تیگره (۲۰۲۲) — رسالهٔ دکتری، دانشگاه پیس</w:t>
      </w:r>
    </w:p>
    <w:p>
      <w:pPr>
        <w:bidi w:val="1"/>
        <w:spacing w:line="312" w:lineRule="auto" w:before="0" w:after="80"/>
        <w:jc w:val="both"/>
      </w:pPr>
      <w:r>
        <w:rPr>
          <w:rFonts w:ascii="Times New Roman" w:hAnsi="Times New Roman" w:cs="B Nazanin"/>
          <w:sz w:val="22"/>
          <w:szCs w:val="26"/>
          <w:rtl w:val="1"/>
        </w:rPr>
        <w:t>نتیجه‌گیریِ چندلایه: سنتزِ یافته‌ها ← طرحِ گزینه‌های پیشِ‌رو ← چشم‌اندازِ دگرگونیِ بوم‌شناختی، با استنادِ متراکم به منابع در دلِ جملاتِ نتیجه‌گیری.</w:t>
      </w:r>
    </w:p>
    <w:p>
      <w:pPr>
        <w:bidi w:val="1"/>
        <w:spacing w:line="312" w:lineRule="auto" w:before="0" w:after="80"/>
        <w:jc w:val="both"/>
      </w:pPr>
      <w:r>
        <w:rPr>
          <w:rFonts w:ascii="Times New Roman" w:hAnsi="Times New Roman" w:cs="B Nazanin"/>
          <w:sz w:val="22"/>
          <w:szCs w:val="26"/>
          <w:rtl w:val="1"/>
        </w:rPr>
        <w:t>کاربست در این رساله: این رساله سبکِ «استنادِ متراکمِ درون‌متنی» و ساختارِ سنتز←گزینه‌ها را از تیگره وام گرفته است.</w:t>
      </w:r>
    </w:p>
    <w:p>
      <w:pPr>
        <w:bidi w:val="1"/>
        <w:spacing w:line="312" w:lineRule="auto" w:before="0" w:after="160"/>
        <w:ind w:firstLine="340"/>
        <w:jc w:val="both"/>
      </w:pPr>
      <w:r>
        <w:rPr>
          <w:rFonts w:ascii="Times New Roman" w:hAnsi="Times New Roman" w:cs="B Nazanin"/>
          <w:sz w:val="20"/>
          <w:szCs w:val="22"/>
          <w:rtl w:val="1"/>
        </w:rPr>
        <w:t>منبع: Tigre, M. A., SJD dissertation, Pace University, 2022.</w:t>
      </w:r>
    </w:p>
    <w:p>
      <w:pPr>
        <w:pStyle w:val="Heading2"/>
        <w:bidi w:val="1"/>
        <w:spacing w:line="312" w:lineRule="auto" w:before="200" w:after="120"/>
        <w:jc w:val="right"/>
      </w:pPr>
      <w:r>
        <w:rPr>
          <w:rFonts w:ascii="Times New Roman" w:hAnsi="Times New Roman" w:cs="B Nazanin"/>
          <w:sz w:val="24"/>
          <w:szCs w:val="24"/>
          <w:rtl w:val="1"/>
          <w:b/>
          <w:bCs/>
          <w:color w:val="000000"/>
        </w:rPr>
        <w:t>داموآ و همکاران (۲۰۲۶) — پیش‌چاپ (داوری‌نشده)</w:t>
      </w:r>
    </w:p>
    <w:p>
      <w:pPr>
        <w:bidi w:val="1"/>
        <w:spacing w:line="312" w:lineRule="auto" w:before="0" w:after="80"/>
        <w:jc w:val="both"/>
      </w:pPr>
      <w:r>
        <w:rPr>
          <w:rFonts w:ascii="Times New Roman" w:hAnsi="Times New Roman" w:cs="B Nazanin"/>
          <w:sz w:val="22"/>
          <w:szCs w:val="26"/>
          <w:rtl w:val="1"/>
        </w:rPr>
        <w:t>نتیجه‌گیریِ اجرا-محور: سنتز ← دلالت‌های سیاستی (اجرا، سازوکارِ پایبندی، هماهنگیِ میان‌رژیمی، عدالت) ← پیشنهادِ پژوهشِ آینده.</w:t>
      </w:r>
    </w:p>
    <w:p>
      <w:pPr>
        <w:bidi w:val="1"/>
        <w:spacing w:line="312" w:lineRule="auto" w:before="0" w:after="80"/>
        <w:jc w:val="both"/>
      </w:pPr>
      <w:r>
        <w:rPr>
          <w:rFonts w:ascii="Times New Roman" w:hAnsi="Times New Roman" w:cs="B Nazanin"/>
          <w:sz w:val="22"/>
          <w:szCs w:val="26"/>
          <w:rtl w:val="1"/>
        </w:rPr>
        <w:t>کاربست در این رساله: ساختارِ «دلالت‌های سیاستی + پیشنهادِ پژوهشِ آینده» را از این اثر گرفته‌ایم؛ با احتیاط، چون داوری‌نشده است.</w:t>
      </w:r>
    </w:p>
    <w:p>
      <w:pPr>
        <w:bidi w:val="1"/>
        <w:spacing w:line="312" w:lineRule="auto" w:before="0" w:after="160"/>
        <w:ind w:firstLine="340"/>
        <w:jc w:val="both"/>
      </w:pPr>
      <w:r>
        <w:rPr>
          <w:rFonts w:ascii="Times New Roman" w:hAnsi="Times New Roman" w:cs="B Nazanin"/>
          <w:sz w:val="20"/>
          <w:szCs w:val="22"/>
          <w:rtl w:val="1"/>
        </w:rPr>
        <w:t>منبع: Damoah, B. et al., Preprints.org, 2026 (پیش‌چاپِ داوری‌نشده).</w:t>
      </w:r>
    </w:p>
    <w:p>
      <w:pPr>
        <w:pStyle w:val="Heading2"/>
        <w:bidi w:val="1"/>
        <w:spacing w:line="312" w:lineRule="auto" w:before="200" w:after="120"/>
        <w:jc w:val="right"/>
      </w:pPr>
      <w:r>
        <w:rPr>
          <w:rFonts w:ascii="Times New Roman" w:hAnsi="Times New Roman" w:cs="B Nazanin"/>
          <w:sz w:val="24"/>
          <w:szCs w:val="24"/>
          <w:rtl w:val="1"/>
          <w:b/>
          <w:bCs/>
          <w:color w:val="000000"/>
        </w:rPr>
        <w:t>تیلر (۲۰۱۸) — پایان‌نامهٔ کارشناسیِ ارشدِ حقوق، ویکتوریا ولینگتن</w:t>
      </w:r>
    </w:p>
    <w:p>
      <w:pPr>
        <w:bidi w:val="1"/>
        <w:spacing w:line="312" w:lineRule="auto" w:before="0" w:after="80"/>
        <w:jc w:val="both"/>
      </w:pPr>
      <w:r>
        <w:rPr>
          <w:rFonts w:ascii="Times New Roman" w:hAnsi="Times New Roman" w:cs="B Nazanin"/>
          <w:sz w:val="22"/>
          <w:szCs w:val="26"/>
          <w:rtl w:val="1"/>
        </w:rPr>
        <w:t>نتیجه‌گیریِ متعادل: سنجشِ «ارزش‌افزوده» در برابرِ «محدودیت» و رسیدن به داوریِ مشروط (پیمان اصول را تقویت می‌کند اما خلأها را پر نمی‌کند).</w:t>
      </w:r>
    </w:p>
    <w:p>
      <w:pPr>
        <w:bidi w:val="1"/>
        <w:spacing w:line="312" w:lineRule="auto" w:before="0" w:after="80"/>
        <w:jc w:val="both"/>
      </w:pPr>
      <w:r>
        <w:rPr>
          <w:rFonts w:ascii="Times New Roman" w:hAnsi="Times New Roman" w:cs="B Nazanin"/>
          <w:sz w:val="22"/>
          <w:szCs w:val="26"/>
          <w:rtl w:val="1"/>
        </w:rPr>
        <w:t>کاربست در این رساله: منطقِ «داوریِ متعادل و مشروطِ» بخشِ ۵-۳ مستقیماً از این الگو الهام گرفته است.</w:t>
      </w:r>
    </w:p>
    <w:p>
      <w:pPr>
        <w:bidi w:val="1"/>
        <w:spacing w:line="312" w:lineRule="auto" w:before="0" w:after="160"/>
        <w:ind w:firstLine="340"/>
        <w:jc w:val="both"/>
      </w:pPr>
      <w:r>
        <w:rPr>
          <w:rFonts w:ascii="Times New Roman" w:hAnsi="Times New Roman" w:cs="B Nazanin"/>
          <w:sz w:val="20"/>
          <w:szCs w:val="22"/>
          <w:rtl w:val="1"/>
        </w:rPr>
        <w:t>منبع: Tiller, D., LLB(Hons), Victoria University of Wellington, 2018.</w:t>
      </w:r>
    </w:p>
    <w:p>
      <w:pPr>
        <w:pStyle w:val="Heading2"/>
        <w:bidi w:val="1"/>
        <w:spacing w:line="312" w:lineRule="auto" w:before="200" w:after="120"/>
        <w:jc w:val="right"/>
      </w:pPr>
      <w:r>
        <w:rPr>
          <w:rFonts w:ascii="Times New Roman" w:hAnsi="Times New Roman" w:cs="B Nazanin"/>
          <w:sz w:val="24"/>
          <w:szCs w:val="24"/>
          <w:rtl w:val="1"/>
          <w:b/>
          <w:bCs/>
          <w:color w:val="000000"/>
        </w:rPr>
        <w:t>روشِ برگزیدهٔ این رساله</w:t>
      </w:r>
    </w:p>
    <w:p>
      <w:pPr>
        <w:bidi w:val="1"/>
        <w:spacing w:line="312" w:lineRule="auto" w:before="0" w:after="160"/>
        <w:jc w:val="both"/>
      </w:pPr>
      <w:r>
        <w:rPr>
          <w:rFonts w:ascii="Times New Roman" w:hAnsi="Times New Roman" w:cs="B Nazanin"/>
          <w:sz w:val="22"/>
          <w:szCs w:val="26"/>
          <w:rtl w:val="1"/>
        </w:rPr>
        <w:t>روشِ نتیجه‌گیریِ رساله = تحلیلیِ-توصیفیِ حقوقی با تکیه بر سندِ پراکندگیِ کمیسیون حقوق بین‌الملل (۲۰۰۶) به‌مثابه چارچوبِ نظری، تلفیقِ سه الگوی بالا، و افزودنِ لایهٔ آینده‌پژوهی (سناریو + نقشهٔ راه). همهٔ گزاره‌های نتیجه‌گیری به منبعِ معتبر یا به تحلیلِ فصولِ پیشین مستند شده‌اند.</w:t>
      </w:r>
    </w:p>
    <w:p>
      <w:r>
        <w:br w:type="page"/>
      </w:r>
    </w:p>
    <w:p>
      <w:pPr>
        <w:pStyle w:val="Heading1"/>
        <w:bidi w:val="1"/>
        <w:spacing w:line="312" w:lineRule="auto" w:before="200" w:after="120"/>
        <w:jc w:val="right"/>
      </w:pPr>
      <w:r>
        <w:rPr>
          <w:rFonts w:ascii="Times New Roman" w:hAnsi="Times New Roman" w:cs="B Nazanin"/>
          <w:sz w:val="24"/>
          <w:szCs w:val="28"/>
          <w:rtl w:val="1"/>
          <w:b/>
          <w:bCs/>
          <w:color w:val="000000"/>
        </w:rPr>
        <w:t>فهرست منابع و مآخذ</w:t>
      </w:r>
    </w:p>
    <w:p>
      <w:pPr>
        <w:pStyle w:val="Heading2"/>
        <w:bidi w:val="1"/>
        <w:spacing w:line="312" w:lineRule="auto" w:before="200" w:after="120"/>
        <w:jc w:val="right"/>
      </w:pPr>
      <w:r>
        <w:rPr>
          <w:rFonts w:ascii="Times New Roman" w:hAnsi="Times New Roman" w:cs="B Nazanin"/>
          <w:sz w:val="24"/>
          <w:szCs w:val="24"/>
          <w:rtl w:val="1"/>
          <w:b/>
          <w:bCs/>
          <w:color w:val="000000"/>
        </w:rPr>
        <w:t>الف) منابع فارسی</w:t>
      </w:r>
    </w:p>
    <w:p>
      <w:pPr>
        <w:bidi w:val="1"/>
        <w:spacing w:line="312" w:lineRule="auto" w:before="0" w:after="80"/>
        <w:jc w:val="both"/>
      </w:pPr>
      <w:r>
        <w:rPr>
          <w:rFonts w:ascii="Times New Roman" w:hAnsi="Times New Roman" w:cs="B Nazanin"/>
          <w:sz w:val="22"/>
          <w:szCs w:val="22"/>
          <w:rtl w:val="1"/>
        </w:rPr>
        <w:t>اکبری، محمدرضا و همکاران، «تأثیر پراکندگی حقوق بین‌الملل محیط زیست بر انسجام معاهدات»، فصلنامهٔ پژوهش حقوق عمومی (نمونهٔ استنادِ داخلی — در صورتِ استفاده تکمیل شود).</w:t>
      </w:r>
    </w:p>
    <w:p>
      <w:pPr>
        <w:pStyle w:val="Heading2"/>
        <w:bidi w:val="1"/>
        <w:spacing w:line="312" w:lineRule="auto" w:before="200" w:after="120"/>
        <w:jc w:val="right"/>
      </w:pPr>
      <w:r>
        <w:rPr>
          <w:rFonts w:ascii="Times New Roman" w:hAnsi="Times New Roman" w:cs="B Nazanin"/>
          <w:sz w:val="24"/>
          <w:szCs w:val="24"/>
          <w:rtl w:val="1"/>
          <w:b/>
          <w:bCs/>
          <w:color w:val="000000"/>
        </w:rPr>
        <w:t>ب) منابع لاتین (Latin References)</w:t>
      </w:r>
    </w:p>
    <w:p>
      <w:pPr>
        <w:spacing w:line="312" w:lineRule="auto" w:after="80"/>
        <w:jc w:val="left"/>
      </w:pPr>
      <w:r>
        <w:rPr>
          <w:rFonts w:ascii="Times New Roman" w:hAnsi="Times New Roman" w:cs="Times New Roman"/>
          <w:sz w:val="22"/>
          <w:szCs w:val="22"/>
        </w:rPr>
        <w:t>Aguila, Y. &amp; Viñuales, J. E. (eds.), A Global Pact for the Environment: Legal Foundations, Cambridge: C-EENRG, University of Cambridge, 2019.</w:t>
      </w:r>
    </w:p>
    <w:p>
      <w:pPr>
        <w:spacing w:line="312" w:lineRule="auto" w:after="80"/>
        <w:jc w:val="left"/>
      </w:pPr>
      <w:r>
        <w:rPr>
          <w:rFonts w:ascii="Times New Roman" w:hAnsi="Times New Roman" w:cs="Times New Roman"/>
          <w:sz w:val="22"/>
          <w:szCs w:val="22"/>
        </w:rPr>
        <w:t>Chabason, L. &amp; Hege, E., 'Failure of the Global Pact for the Environment: a missed opportunity or a bullet dodged?', IDDRI Blog Post, 28 May 2019.</w:t>
      </w:r>
    </w:p>
    <w:p>
      <w:pPr>
        <w:spacing w:line="312" w:lineRule="auto" w:after="80"/>
        <w:jc w:val="left"/>
      </w:pPr>
      <w:r>
        <w:rPr>
          <w:rFonts w:ascii="Times New Roman" w:hAnsi="Times New Roman" w:cs="Times New Roman"/>
          <w:sz w:val="22"/>
          <w:szCs w:val="22"/>
        </w:rPr>
        <w:t>Damoah, B., Keengwe, J. S. &amp; Ofori, E., 'Stalemate in the Anthropocene: Ineffective Treaties and the Struggle for Planetary Governance', Preprints.org, 2026, doi:10.20944/preprints202603.2371.v1 [non-peer-reviewed preprint].</w:t>
      </w:r>
    </w:p>
    <w:p>
      <w:pPr>
        <w:spacing w:line="312" w:lineRule="auto" w:after="80"/>
        <w:jc w:val="left"/>
      </w:pPr>
      <w:r>
        <w:rPr>
          <w:rFonts w:ascii="Times New Roman" w:hAnsi="Times New Roman" w:cs="Times New Roman"/>
          <w:sz w:val="22"/>
          <w:szCs w:val="22"/>
        </w:rPr>
        <w:t>International Law Commission, Conclusions of the Work of the Study Group on the Fragmentation of International Law: Difficulties Arising from the Diversification and Expansion of International Law, Yearbook of the ILC, 2006, vol. II, Part Two (A/61/10, para. 251); analytical study A/CN.4/L.682 (M. Koskenniemi).</w:t>
      </w:r>
    </w:p>
    <w:p>
      <w:pPr>
        <w:spacing w:line="312" w:lineRule="auto" w:after="80"/>
        <w:jc w:val="left"/>
      </w:pPr>
      <w:r>
        <w:rPr>
          <w:rFonts w:ascii="Times New Roman" w:hAnsi="Times New Roman" w:cs="Times New Roman"/>
          <w:sz w:val="22"/>
          <w:szCs w:val="22"/>
        </w:rPr>
        <w:t>Kim, R. E. &amp; Bosselmann, K., 'International Environmental Law in the Anthropocene: Towards a Purposive System of Multilateral Environmental Agreements', Transnational Environmental Law, 2(2), 2013, pp. 285–309.</w:t>
      </w:r>
    </w:p>
    <w:p>
      <w:pPr>
        <w:spacing w:line="312" w:lineRule="auto" w:after="80"/>
        <w:jc w:val="left"/>
      </w:pPr>
      <w:r>
        <w:rPr>
          <w:rFonts w:ascii="Times New Roman" w:hAnsi="Times New Roman" w:cs="Times New Roman"/>
          <w:sz w:val="22"/>
          <w:szCs w:val="22"/>
        </w:rPr>
        <w:t>Tigre, M. A., The Evolution of International Environmental Law Amidst Political Gridlock: Environmental Rights as a Common Ground, SJD Dissertation, Elisabeth Haub School of Law at Pace University, 2022.</w:t>
      </w:r>
    </w:p>
    <w:p>
      <w:pPr>
        <w:spacing w:line="312" w:lineRule="auto" w:after="80"/>
        <w:jc w:val="left"/>
      </w:pPr>
      <w:r>
        <w:rPr>
          <w:rFonts w:ascii="Times New Roman" w:hAnsi="Times New Roman" w:cs="Times New Roman"/>
          <w:sz w:val="22"/>
          <w:szCs w:val="22"/>
        </w:rPr>
        <w:t>Tiller, D., Are the Aims of the Proposed Global Pact for the Environment Desirable and Will the Pact Add Any Value to International Environmental Law?, LLB(Hons) Research Paper, Victoria University of Wellington, 2018.</w:t>
      </w:r>
    </w:p>
    <w:p>
      <w:pPr>
        <w:spacing w:line="312" w:lineRule="auto" w:after="80"/>
        <w:jc w:val="left"/>
      </w:pPr>
      <w:r>
        <w:rPr>
          <w:rFonts w:ascii="Times New Roman" w:hAnsi="Times New Roman" w:cs="Times New Roman"/>
          <w:sz w:val="22"/>
          <w:szCs w:val="22"/>
        </w:rPr>
        <w:t>United Nations, Vienna Convention on the Law of Treaties, 1969, Art. 31(3)(c).</w:t>
      </w:r>
    </w:p>
    <w:p>
      <w:pPr>
        <w:spacing w:line="312" w:lineRule="auto" w:after="80"/>
        <w:jc w:val="left"/>
      </w:pPr>
      <w:r>
        <w:rPr>
          <w:rFonts w:ascii="Times New Roman" w:hAnsi="Times New Roman" w:cs="Times New Roman"/>
          <w:sz w:val="22"/>
          <w:szCs w:val="22"/>
        </w:rPr>
        <w:t>UN General Assembly, Gaps in International Environmental Law and Environment-related Instruments: Towards a Global Pact for the Environment, Report of the Secretary-General, A/73/419, 2018.</w:t>
      </w:r>
    </w:p>
    <w:p>
      <w:pPr>
        <w:spacing w:line="312" w:lineRule="auto" w:after="80"/>
        <w:jc w:val="left"/>
      </w:pPr>
      <w:r>
        <w:rPr>
          <w:rFonts w:ascii="Times New Roman" w:hAnsi="Times New Roman" w:cs="Times New Roman"/>
          <w:sz w:val="22"/>
          <w:szCs w:val="22"/>
        </w:rPr>
        <w:t>UN General Assembly, The Human Right to a Clean, Healthy and Sustainable Environment, Resolution 76/300, 28 July 2022.</w:t>
      </w:r>
    </w:p>
    <w:p>
      <w:r>
        <w:br w:type="page"/>
      </w:r>
    </w:p>
    <w:p>
      <w:pPr>
        <w:spacing w:after="160"/>
        <w:jc w:val="center"/>
      </w:pPr>
      <w:r>
        <w:rPr>
          <w:rFonts w:ascii="Times New Roman" w:hAnsi="Times New Roman" w:cs="Times New Roman"/>
          <w:sz w:val="24"/>
          <w:szCs w:val="24"/>
          <w:b/>
          <w:bCs/>
        </w:rPr>
        <w:t>Abstract</w:t>
      </w:r>
    </w:p>
    <w:p>
      <w:pPr>
        <w:spacing w:after="160"/>
        <w:jc w:val="center"/>
      </w:pPr>
      <w:r>
        <w:rPr>
          <w:rFonts w:ascii="Times New Roman" w:hAnsi="Times New Roman" w:cs="Times New Roman"/>
          <w:sz w:val="24"/>
          <w:szCs w:val="24"/>
          <w:b/>
          <w:bCs/>
        </w:rPr>
        <w:t>The Formation of the Global Pact for the Environment and Its Effects on Multilateral Environmental Agreements</w:t>
      </w:r>
    </w:p>
    <w:p>
      <w:pPr>
        <w:spacing w:line="312" w:lineRule="auto"/>
        <w:jc w:val="both"/>
      </w:pPr>
      <w:r>
        <w:rPr>
          <w:rFonts w:ascii="Times New Roman" w:hAnsi="Times New Roman" w:cs="Times New Roman"/>
          <w:sz w:val="22"/>
          <w:szCs w:val="22"/>
        </w:rPr>
        <w:t>This dissertation examines the formation of the Global Pact for the Environment (GPE) — the 2017 draft instrument intended to codify the general principles of international environmental law into a single, binding "umbrella" text — and its effects on multilateral environmental agreements (MEAs). The central argument is that the Pact's principal influence arose not from adoption and implementation, which never occurred, but paradoxically from the process of its formation and subsequent failure at Nairobi in 2019. Using the International Law Commission's 2006 Conclusions on the Fragmentation of International Law as its theoretical framework, the study analyses the Pact's potential and actual impact on MEAs across seven lenses (coherence, effectiveness, governance, implementation, compliance, enforcement, and the rule of law and normative hierarchy). It finds that the Pact's aim — a normative transition of principles from soft law toward a hard umbrella instrument, strengthening "systemic integration" under Article 31(3)(c) of the Vienna Convention — was sound, but that pursuing it through a single, consensus-based comprehensive treaty was incompatible with the reactive, sectoral, fragmented, incremental and consensual nature of international environmental law. Drawing on comparative analysis of the plastic-pollution and BBNJ negotiations and on a balanced treatment of proponents and critics, the dissertation concludes that the Pact's hidden achievements (notably the recognition of the right to a healthy environment in UNGA Resolution 76/300 and the strengthening of environmental discourse) outlived its failure. It proposes a six-pillar alternative roadmap — judicial development, institutional strengthening of UNEP, an UPR-inspired environmental periodic review, treaty clustering and synergies, strategic use of soft law, and uniform interpretation of principles — as a path compatible with the existing legal order.</w:t>
      </w:r>
    </w:p>
    <w:p>
      <w:pPr>
        <w:spacing w:before="160"/>
        <w:jc w:val="left"/>
      </w:pPr>
      <w:r>
        <w:rPr>
          <w:rFonts w:ascii="Times New Roman" w:hAnsi="Times New Roman" w:cs="Times New Roman"/>
          <w:sz w:val="22"/>
          <w:szCs w:val="22"/>
          <w:b/>
          <w:bCs/>
        </w:rPr>
        <w:t xml:space="preserve">Keywords: </w:t>
      </w:r>
      <w:r>
        <w:rPr>
          <w:rFonts w:ascii="Times New Roman" w:hAnsi="Times New Roman" w:cs="Times New Roman"/>
          <w:sz w:val="22"/>
          <w:szCs w:val="22"/>
        </w:rPr>
        <w:t>Global Pact for the Environment; Multilateral Environmental Agreements; Fragmentation of International Law; Systemic Integration; Right to a Healthy Environment; International Environmental Law; Umbrella Instrument.</w:t>
      </w:r>
    </w:p>
    <w:sectPr w:rsidR="00FC693F" w:rsidRPr="0006063C" w:rsidSect="00034616">
      <w:pgSz w:w="11906" w:h="16838"/>
      <w:pgMar w:top="1984" w:right="1701" w:bottom="1701" w:left="1701"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bidi w:val="1"/>
        <w:jc w:val="both"/>
      </w:pPr>
      <w:r>
        <w:rPr>
          <w:rStyle w:val="FootnoteReference"/>
          <w:rtl w:val="1"/>
        </w:rPr>
        <w:footnoteRef/>
      </w:r>
      <w:r>
        <w:rPr>
          <w:rFonts w:ascii="Times New Roman" w:hAnsi="Times New Roman" w:cs="B Nazanin"/>
          <w:sz w:val="22"/>
          <w:szCs w:val="22"/>
          <w:rtl w:val="1"/>
        </w:rPr>
        <w:t xml:space="preserve"> برای تحلیل خصلت واکنشی و بخشی حقوق بین‌الملل محیط زیست: Dupuy, P.-M. &amp; Viñuales, J. E., International Environmental Law, 2nd ed., Cambridge University Press, 2018.</w:t>
      </w:r>
    </w:p>
  </w:footnote>
  <w:footnote w:id="2">
    <w:p>
      <w:pPr>
        <w:pStyle w:val="FootnoteText"/>
        <w:bidi w:val="1"/>
        <w:jc w:val="both"/>
      </w:pPr>
      <w:r>
        <w:rPr>
          <w:rStyle w:val="FootnoteReference"/>
          <w:rtl w:val="1"/>
        </w:rPr>
        <w:footnoteRef/>
      </w:r>
      <w:r>
        <w:rPr>
          <w:rFonts w:ascii="Times New Roman" w:hAnsi="Times New Roman" w:cs="B Nazanin"/>
          <w:sz w:val="22"/>
          <w:szCs w:val="22"/>
          <w:rtl w:val="1"/>
        </w:rPr>
        <w:t xml:space="preserve"> UN Secretary-General, Gaps in international environmental law and environment-related instruments: towards a global pact for the environment, UN Doc. A/73/419, 30 Nov 2018.</w:t>
      </w:r>
    </w:p>
  </w:footnote>
  <w:footnote w:id="3">
    <w:p>
      <w:pPr>
        <w:pStyle w:val="FootnoteText"/>
        <w:bidi w:val="1"/>
        <w:jc w:val="both"/>
      </w:pPr>
      <w:r>
        <w:rPr>
          <w:rStyle w:val="FootnoteReference"/>
          <w:rtl w:val="1"/>
        </w:rPr>
        <w:footnoteRef/>
      </w:r>
      <w:r>
        <w:rPr>
          <w:rFonts w:ascii="Times New Roman" w:hAnsi="Times New Roman" w:cs="B Nazanin"/>
          <w:sz w:val="22"/>
          <w:szCs w:val="22"/>
          <w:rtl w:val="1"/>
        </w:rPr>
        <w:t xml:space="preserve"> Aguila, Y. &amp; Viñuales, J. E. (eds.), A Global Pact for the Environment: Legal Foundations, C-EENRG, 2019; Kotzé, L. J. &amp; French, D., 'A Critique of the Global Pact for the Environment', 2018.</w:t>
      </w:r>
    </w:p>
  </w:footnote>
  <w:footnote w:id="4">
    <w:p>
      <w:pPr>
        <w:pStyle w:val="FootnoteText"/>
        <w:bidi w:val="1"/>
        <w:jc w:val="both"/>
      </w:pPr>
      <w:r>
        <w:rPr>
          <w:rStyle w:val="FootnoteReference"/>
          <w:rtl w:val="1"/>
        </w:rPr>
        <w:footnoteRef/>
      </w:r>
      <w:r>
        <w:rPr>
          <w:rFonts w:ascii="Times New Roman" w:hAnsi="Times New Roman" w:cs="B Nazanin"/>
          <w:sz w:val="22"/>
          <w:szCs w:val="22"/>
          <w:rtl w:val="1"/>
        </w:rPr>
        <w:t xml:space="preserve"> A/RES/2398, 3 December 1968, problems of the human environment</w:t>
      </w:r>
    </w:p>
  </w:footnote>
  <w:footnote w:id="5">
    <w:p>
      <w:pPr>
        <w:pStyle w:val="FootnoteText"/>
        <w:bidi w:val="1"/>
        <w:jc w:val="both"/>
      </w:pPr>
      <w:r>
        <w:rPr>
          <w:rStyle w:val="FootnoteReference"/>
          <w:rtl w:val="1"/>
        </w:rPr>
        <w:footnoteRef/>
      </w:r>
      <w:r>
        <w:rPr>
          <w:rFonts w:ascii="Times New Roman" w:hAnsi="Times New Roman" w:cs="B Nazanin"/>
          <w:sz w:val="22"/>
          <w:szCs w:val="22"/>
          <w:rtl w:val="1"/>
        </w:rPr>
        <w:t xml:space="preserve"> The Stockholm Declaration on the Human Environment</w:t>
      </w:r>
    </w:p>
  </w:footnote>
  <w:footnote w:id="6">
    <w:p>
      <w:pPr>
        <w:pStyle w:val="FootnoteText"/>
        <w:bidi w:val="1"/>
        <w:jc w:val="both"/>
      </w:pPr>
      <w:r>
        <w:rPr>
          <w:rStyle w:val="FootnoteReference"/>
          <w:rtl w:val="1"/>
        </w:rPr>
        <w:footnoteRef/>
      </w:r>
      <w:r>
        <w:rPr>
          <w:rFonts w:ascii="Times New Roman" w:hAnsi="Times New Roman" w:cs="B Nazanin"/>
          <w:sz w:val="22"/>
          <w:szCs w:val="22"/>
          <w:rtl w:val="1"/>
        </w:rPr>
        <w:t xml:space="preserve"> World Charter for Nature</w:t>
      </w:r>
    </w:p>
  </w:footnote>
  <w:footnote w:id="7">
    <w:p>
      <w:pPr>
        <w:pStyle w:val="FootnoteText"/>
        <w:bidi w:val="1"/>
        <w:jc w:val="both"/>
      </w:pPr>
      <w:r>
        <w:rPr>
          <w:rStyle w:val="FootnoteReference"/>
          <w:rtl w:val="1"/>
        </w:rPr>
        <w:footnoteRef/>
      </w:r>
      <w:r>
        <w:rPr>
          <w:rFonts w:ascii="Times New Roman" w:hAnsi="Times New Roman" w:cs="B Nazanin"/>
          <w:sz w:val="22"/>
          <w:szCs w:val="22"/>
          <w:rtl w:val="1"/>
        </w:rPr>
        <w:t xml:space="preserve"> President Mobutu of Zaire</w:t>
      </w:r>
    </w:p>
  </w:footnote>
  <w:footnote w:id="8">
    <w:p>
      <w:pPr>
        <w:pStyle w:val="FootnoteText"/>
        <w:bidi w:val="1"/>
        <w:jc w:val="both"/>
      </w:pPr>
      <w:r>
        <w:rPr>
          <w:rStyle w:val="FootnoteReference"/>
          <w:rtl w:val="1"/>
        </w:rPr>
        <w:footnoteRef/>
      </w:r>
      <w:r>
        <w:rPr>
          <w:rFonts w:ascii="Times New Roman" w:hAnsi="Times New Roman" w:cs="B Nazanin"/>
          <w:sz w:val="22"/>
          <w:szCs w:val="22"/>
          <w:rtl w:val="1"/>
        </w:rPr>
        <w:t xml:space="preserve"> The International Union for Conservation of Nature (IUCN)</w:t>
      </w:r>
    </w:p>
  </w:footnote>
  <w:footnote w:id="9">
    <w:p>
      <w:pPr>
        <w:pStyle w:val="FootnoteText"/>
        <w:bidi w:val="1"/>
        <w:jc w:val="both"/>
      </w:pPr>
      <w:r>
        <w:rPr>
          <w:rStyle w:val="FootnoteReference"/>
          <w:rtl w:val="1"/>
        </w:rPr>
        <w:footnoteRef/>
      </w:r>
      <w:r>
        <w:rPr>
          <w:rFonts w:ascii="Times New Roman" w:hAnsi="Times New Roman" w:cs="B Nazanin"/>
          <w:sz w:val="22"/>
          <w:szCs w:val="22"/>
          <w:rtl w:val="1"/>
        </w:rPr>
        <w:t xml:space="preserve"> A/RES/37/7, World Charter for Nature, 28 October 1982,</w:t>
      </w:r>
    </w:p>
  </w:footnote>
  <w:footnote w:id="10">
    <w:p>
      <w:pPr>
        <w:pStyle w:val="FootnoteText"/>
        <w:bidi w:val="1"/>
        <w:jc w:val="both"/>
      </w:pPr>
      <w:r>
        <w:rPr>
          <w:rStyle w:val="FootnoteReference"/>
          <w:rtl w:val="1"/>
        </w:rPr>
        <w:footnoteRef/>
      </w:r>
      <w:r>
        <w:rPr>
          <w:rFonts w:ascii="Times New Roman" w:hAnsi="Times New Roman" w:cs="B Nazanin"/>
          <w:sz w:val="22"/>
          <w:szCs w:val="22"/>
          <w:rtl w:val="1"/>
        </w:rPr>
        <w:t xml:space="preserve"> A code of moral conduct</w:t>
      </w:r>
    </w:p>
  </w:footnote>
  <w:footnote w:id="11">
    <w:p>
      <w:pPr>
        <w:pStyle w:val="FootnoteText"/>
        <w:bidi w:val="1"/>
        <w:jc w:val="both"/>
      </w:pPr>
      <w:r>
        <w:rPr>
          <w:rStyle w:val="FootnoteReference"/>
          <w:rtl w:val="1"/>
        </w:rPr>
        <w:footnoteRef/>
      </w:r>
      <w:r>
        <w:rPr>
          <w:rFonts w:ascii="Times New Roman" w:hAnsi="Times New Roman" w:cs="B Nazanin"/>
          <w:sz w:val="22"/>
          <w:szCs w:val="22"/>
          <w:rtl w:val="1"/>
        </w:rPr>
        <w:t xml:space="preserve"> science-based policies</w:t>
      </w:r>
    </w:p>
  </w:footnote>
  <w:footnote w:id="12">
    <w:p>
      <w:pPr>
        <w:pStyle w:val="FootnoteText"/>
        <w:bidi w:val="1"/>
        <w:jc w:val="both"/>
      </w:pPr>
      <w:r>
        <w:rPr>
          <w:rStyle w:val="FootnoteReference"/>
          <w:rtl w:val="1"/>
        </w:rPr>
        <w:footnoteRef/>
      </w:r>
      <w:r>
        <w:rPr>
          <w:rFonts w:ascii="Times New Roman" w:hAnsi="Times New Roman" w:cs="B Nazanin"/>
          <w:sz w:val="22"/>
          <w:szCs w:val="22"/>
          <w:rtl w:val="1"/>
        </w:rPr>
        <w:t xml:space="preserve"> action-oriented rules and standards</w:t>
      </w:r>
    </w:p>
  </w:footnote>
  <w:footnote w:id="13">
    <w:p>
      <w:pPr>
        <w:pStyle w:val="FootnoteText"/>
        <w:bidi w:val="1"/>
        <w:jc w:val="both"/>
      </w:pPr>
      <w:r>
        <w:rPr>
          <w:rStyle w:val="FootnoteReference"/>
          <w:rtl w:val="1"/>
        </w:rPr>
        <w:footnoteRef/>
      </w:r>
      <w:r>
        <w:rPr>
          <w:rFonts w:ascii="Times New Roman" w:hAnsi="Times New Roman" w:cs="B Nazanin"/>
          <w:sz w:val="22"/>
          <w:szCs w:val="22"/>
          <w:rtl w:val="1"/>
        </w:rPr>
        <w:t xml:space="preserve"> این نهاد در سال 1983 توسط سازمان ملل متحد به منظور شناسایی و ارزیابی چالش های محیط زیستی و ارائه پیشنهادات برای سیاست گذاری و اقدامات بین المللی با در نظر گرفتن تمامی ابعاد اقتصادی، اجتماعی و محیط زیستی  ایجاد گردید.</w:t>
      </w:r>
    </w:p>
  </w:footnote>
  <w:footnote w:id="14">
    <w:p>
      <w:pPr>
        <w:pStyle w:val="FootnoteText"/>
        <w:bidi w:val="1"/>
        <w:jc w:val="both"/>
      </w:pPr>
      <w:r>
        <w:rPr>
          <w:rStyle w:val="FootnoteReference"/>
          <w:rtl w:val="1"/>
        </w:rPr>
        <w:footnoteRef/>
      </w:r>
      <w:r>
        <w:rPr>
          <w:rFonts w:ascii="Times New Roman" w:hAnsi="Times New Roman" w:cs="B Nazanin"/>
          <w:sz w:val="22"/>
          <w:szCs w:val="22"/>
          <w:rtl w:val="1"/>
        </w:rPr>
        <w:t xml:space="preserve"> Gro Harlem Brundtland</w:t>
      </w:r>
    </w:p>
  </w:footnote>
  <w:footnote w:id="15">
    <w:p>
      <w:pPr>
        <w:pStyle w:val="FootnoteText"/>
        <w:bidi w:val="1"/>
        <w:jc w:val="both"/>
      </w:pPr>
      <w:r>
        <w:rPr>
          <w:rStyle w:val="FootnoteReference"/>
          <w:rtl w:val="1"/>
        </w:rPr>
        <w:footnoteRef/>
      </w:r>
      <w:r>
        <w:rPr>
          <w:rFonts w:ascii="Times New Roman" w:hAnsi="Times New Roman" w:cs="B Nazanin"/>
          <w:sz w:val="22"/>
          <w:szCs w:val="22"/>
          <w:rtl w:val="1"/>
        </w:rPr>
        <w:t xml:space="preserve"> United Nations Conference on Environment and Development, also known as the Rio Earth Summit</w:t>
      </w:r>
    </w:p>
  </w:footnote>
  <w:footnote w:id="16">
    <w:p>
      <w:pPr>
        <w:pStyle w:val="FootnoteText"/>
        <w:bidi w:val="1"/>
        <w:jc w:val="both"/>
      </w:pPr>
      <w:r>
        <w:rPr>
          <w:rStyle w:val="FootnoteReference"/>
          <w:rtl w:val="1"/>
        </w:rPr>
        <w:footnoteRef/>
      </w:r>
      <w:r>
        <w:rPr>
          <w:rFonts w:ascii="Times New Roman" w:hAnsi="Times New Roman" w:cs="B Nazanin"/>
          <w:sz w:val="22"/>
          <w:szCs w:val="22"/>
          <w:rtl w:val="1"/>
        </w:rPr>
        <w:t xml:space="preserve"> erathcharter</w:t>
      </w:r>
    </w:p>
  </w:footnote>
  <w:footnote w:id="17">
    <w:p>
      <w:pPr>
        <w:pStyle w:val="FootnoteText"/>
        <w:bidi w:val="1"/>
        <w:jc w:val="both"/>
      </w:pPr>
      <w:r>
        <w:rPr>
          <w:rStyle w:val="FootnoteReference"/>
          <w:rtl w:val="1"/>
        </w:rPr>
        <w:footnoteRef/>
      </w:r>
      <w:r>
        <w:rPr>
          <w:rFonts w:ascii="Times New Roman" w:hAnsi="Times New Roman" w:cs="B Nazanin"/>
          <w:sz w:val="22"/>
          <w:szCs w:val="22"/>
          <w:rtl w:val="1"/>
        </w:rPr>
        <w:t xml:space="preserve"> Millennium Development Goals (MDGs)</w:t>
      </w:r>
    </w:p>
  </w:footnote>
  <w:footnote w:id="18">
    <w:p>
      <w:pPr>
        <w:pStyle w:val="FootnoteText"/>
        <w:bidi w:val="1"/>
        <w:jc w:val="both"/>
      </w:pPr>
      <w:r>
        <w:rPr>
          <w:rStyle w:val="FootnoteReference"/>
          <w:rtl w:val="1"/>
        </w:rPr>
        <w:footnoteRef/>
      </w:r>
      <w:r>
        <w:rPr>
          <w:rFonts w:ascii="Times New Roman" w:hAnsi="Times New Roman" w:cs="B Nazanin"/>
          <w:sz w:val="22"/>
          <w:szCs w:val="22"/>
          <w:rtl w:val="1"/>
        </w:rPr>
        <w:t xml:space="preserve"> A/RES/55/2,18 September 2000, United Nations Millennium Declaration</w:t>
      </w:r>
    </w:p>
  </w:footnote>
  <w:footnote w:id="19">
    <w:p>
      <w:pPr>
        <w:pStyle w:val="FootnoteText"/>
        <w:bidi w:val="1"/>
        <w:jc w:val="both"/>
      </w:pPr>
      <w:r>
        <w:rPr>
          <w:rStyle w:val="FootnoteReference"/>
          <w:rtl w:val="1"/>
        </w:rPr>
        <w:footnoteRef/>
      </w:r>
      <w:r>
        <w:rPr>
          <w:rFonts w:ascii="Times New Roman" w:hAnsi="Times New Roman" w:cs="B Nazanin"/>
          <w:sz w:val="22"/>
          <w:szCs w:val="22"/>
          <w:rtl w:val="1"/>
        </w:rPr>
        <w:t xml:space="preserve"> A/RES/55/199, 5 February 2001, Ten-year review of progress achieved in the implementation of the outcome of the United Nations Conference on Environment and Development;</w:t>
      </w:r>
    </w:p>
  </w:footnote>
  <w:footnote w:id="20">
    <w:p>
      <w:pPr>
        <w:pStyle w:val="FootnoteText"/>
        <w:bidi w:val="1"/>
        <w:jc w:val="both"/>
      </w:pPr>
      <w:r>
        <w:rPr>
          <w:rStyle w:val="FootnoteReference"/>
          <w:rtl w:val="1"/>
        </w:rPr>
        <w:footnoteRef/>
      </w:r>
      <w:r>
        <w:rPr>
          <w:rFonts w:ascii="Times New Roman" w:hAnsi="Times New Roman" w:cs="B Nazanin"/>
          <w:sz w:val="22"/>
          <w:szCs w:val="22"/>
          <w:rtl w:val="1"/>
        </w:rPr>
        <w:t xml:space="preserve"> The World Summit on Sustainable Development (also known as Rio+10)</w:t>
      </w:r>
    </w:p>
  </w:footnote>
  <w:footnote w:id="21">
    <w:p>
      <w:pPr>
        <w:pStyle w:val="FootnoteText"/>
        <w:bidi w:val="1"/>
        <w:jc w:val="both"/>
      </w:pPr>
      <w:r>
        <w:rPr>
          <w:rStyle w:val="FootnoteReference"/>
          <w:rtl w:val="1"/>
        </w:rPr>
        <w:footnoteRef/>
      </w:r>
      <w:r>
        <w:rPr>
          <w:rFonts w:ascii="Times New Roman" w:hAnsi="Times New Roman" w:cs="B Nazanin"/>
          <w:sz w:val="22"/>
          <w:szCs w:val="22"/>
          <w:rtl w:val="1"/>
        </w:rPr>
        <w:t xml:space="preserve"> A/RES/57/253, 21 February 2003, World Summit on Sustainable Development</w:t>
      </w:r>
    </w:p>
  </w:footnote>
  <w:footnote w:id="22">
    <w:p>
      <w:pPr>
        <w:pStyle w:val="FootnoteText"/>
        <w:bidi w:val="1"/>
        <w:jc w:val="both"/>
      </w:pPr>
      <w:r>
        <w:rPr>
          <w:rStyle w:val="FootnoteReference"/>
          <w:rtl w:val="1"/>
        </w:rPr>
        <w:footnoteRef/>
      </w:r>
      <w:r>
        <w:rPr>
          <w:rFonts w:ascii="Times New Roman" w:hAnsi="Times New Roman" w:cs="B Nazanin"/>
          <w:sz w:val="22"/>
          <w:szCs w:val="22"/>
          <w:rtl w:val="1"/>
        </w:rPr>
        <w:t xml:space="preserve"> A/RES/64/236, 31 March 2010, Implementation of Agenda 21, the Programme for the Further Implementation of Agenda 21 and the outcomes of the World Summit on Sustainable Development;</w:t>
      </w:r>
    </w:p>
  </w:footnote>
  <w:footnote w:id="23">
    <w:p>
      <w:pPr>
        <w:pStyle w:val="FootnoteText"/>
        <w:bidi w:val="1"/>
        <w:jc w:val="both"/>
      </w:pPr>
      <w:r>
        <w:rPr>
          <w:rStyle w:val="FootnoteReference"/>
          <w:rtl w:val="1"/>
        </w:rPr>
        <w:footnoteRef/>
      </w:r>
      <w:r>
        <w:rPr>
          <w:rFonts w:ascii="Times New Roman" w:hAnsi="Times New Roman" w:cs="B Nazanin"/>
          <w:sz w:val="22"/>
          <w:szCs w:val="22"/>
          <w:rtl w:val="1"/>
        </w:rPr>
        <w:t xml:space="preserve"> A/RES/66/288, 11 September 2012, The future we want;</w:t>
      </w:r>
    </w:p>
  </w:footnote>
  <w:footnote w:id="24">
    <w:p>
      <w:pPr>
        <w:pStyle w:val="FootnoteText"/>
        <w:bidi w:val="1"/>
        <w:jc w:val="both"/>
      </w:pPr>
      <w:r>
        <w:rPr>
          <w:rStyle w:val="FootnoteReference"/>
          <w:rtl w:val="1"/>
        </w:rPr>
        <w:footnoteRef/>
      </w:r>
      <w:r>
        <w:rPr>
          <w:rFonts w:ascii="Times New Roman" w:hAnsi="Times New Roman" w:cs="B Nazanin"/>
          <w:sz w:val="22"/>
          <w:szCs w:val="22"/>
          <w:rtl w:val="1"/>
        </w:rPr>
        <w:t xml:space="preserve"> A/70/1,21 October 2015,Transforming Our World: The 2030 Agenda for Sustainable Development</w:t>
      </w:r>
    </w:p>
  </w:footnote>
  <w:footnote w:id="25">
    <w:p>
      <w:pPr>
        <w:pStyle w:val="FootnoteText"/>
        <w:bidi w:val="1"/>
        <w:jc w:val="both"/>
      </w:pPr>
      <w:r>
        <w:rPr>
          <w:rStyle w:val="FootnoteReference"/>
          <w:rtl w:val="1"/>
        </w:rPr>
        <w:footnoteRef/>
      </w:r>
      <w:r>
        <w:rPr>
          <w:rFonts w:ascii="Times New Roman" w:hAnsi="Times New Roman" w:cs="B Nazanin"/>
          <w:sz w:val="22"/>
          <w:szCs w:val="22"/>
          <w:rtl w:val="1"/>
        </w:rPr>
        <w:t xml:space="preserve"> High-level Political Forum on Sustainable Development</w:t>
      </w:r>
    </w:p>
  </w:footnote>
  <w:footnote w:id="26">
    <w:p>
      <w:pPr>
        <w:pStyle w:val="FootnoteText"/>
        <w:bidi w:val="1"/>
        <w:jc w:val="both"/>
      </w:pPr>
      <w:r>
        <w:rPr>
          <w:rStyle w:val="FootnoteReference"/>
          <w:rtl w:val="1"/>
        </w:rPr>
        <w:footnoteRef/>
      </w:r>
      <w:r>
        <w:rPr>
          <w:rFonts w:ascii="Times New Roman" w:hAnsi="Times New Roman" w:cs="B Nazanin"/>
          <w:sz w:val="22"/>
          <w:szCs w:val="22"/>
          <w:rtl w:val="1"/>
        </w:rPr>
        <w:t xml:space="preserve"> Convention on Wetlands of International Importance especially as Waterfowl Habitat (known as Ramsar convention)</w:t>
      </w:r>
    </w:p>
  </w:footnote>
  <w:footnote w:id="27">
    <w:p>
      <w:pPr>
        <w:pStyle w:val="FootnoteText"/>
        <w:bidi w:val="1"/>
        <w:jc w:val="both"/>
      </w:pPr>
      <w:r>
        <w:rPr>
          <w:rStyle w:val="FootnoteReference"/>
          <w:rtl w:val="1"/>
        </w:rPr>
        <w:footnoteRef/>
      </w:r>
      <w:r>
        <w:rPr>
          <w:rFonts w:ascii="Times New Roman" w:hAnsi="Times New Roman" w:cs="B Nazanin"/>
          <w:sz w:val="22"/>
          <w:szCs w:val="22"/>
          <w:rtl w:val="1"/>
        </w:rPr>
        <w:t xml:space="preserve"> Convention on International Trade in Endangered Species of Wild Fauna and Flora (known as CITES)</w:t>
      </w:r>
    </w:p>
  </w:footnote>
  <w:footnote w:id="28">
    <w:p>
      <w:pPr>
        <w:pStyle w:val="FootnoteText"/>
        <w:bidi w:val="1"/>
        <w:jc w:val="both"/>
      </w:pPr>
      <w:r>
        <w:rPr>
          <w:rStyle w:val="FootnoteReference"/>
          <w:rtl w:val="1"/>
        </w:rPr>
        <w:footnoteRef/>
      </w:r>
      <w:r>
        <w:rPr>
          <w:rFonts w:ascii="Times New Roman" w:hAnsi="Times New Roman" w:cs="B Nazanin"/>
          <w:sz w:val="22"/>
          <w:szCs w:val="22"/>
          <w:rtl w:val="1"/>
        </w:rPr>
        <w:t xml:space="preserve"> Conference of Parties</w:t>
      </w:r>
    </w:p>
  </w:footnote>
  <w:footnote w:id="29">
    <w:p>
      <w:pPr>
        <w:pStyle w:val="FootnoteText"/>
        <w:bidi w:val="1"/>
        <w:jc w:val="both"/>
      </w:pPr>
      <w:r>
        <w:rPr>
          <w:rStyle w:val="FootnoteReference"/>
          <w:rtl w:val="1"/>
        </w:rPr>
        <w:footnoteRef/>
      </w:r>
      <w:r>
        <w:rPr>
          <w:rFonts w:ascii="Times New Roman" w:hAnsi="Times New Roman" w:cs="B Nazanin"/>
          <w:sz w:val="22"/>
          <w:szCs w:val="22"/>
          <w:rtl w:val="1"/>
        </w:rPr>
        <w:t xml:space="preserve"> sectoral issues</w:t>
      </w:r>
    </w:p>
  </w:footnote>
  <w:footnote w:id="30">
    <w:p>
      <w:pPr>
        <w:pStyle w:val="FootnoteText"/>
        <w:bidi w:val="1"/>
        <w:jc w:val="both"/>
      </w:pPr>
      <w:r>
        <w:rPr>
          <w:rStyle w:val="FootnoteReference"/>
          <w:rtl w:val="1"/>
        </w:rPr>
        <w:footnoteRef/>
      </w:r>
      <w:r>
        <w:rPr>
          <w:rFonts w:ascii="Times New Roman" w:hAnsi="Times New Roman" w:cs="B Nazanin"/>
          <w:sz w:val="22"/>
          <w:szCs w:val="22"/>
          <w:rtl w:val="1"/>
        </w:rPr>
        <w:t xml:space="preserve"> United Nations Environment Programme</w:t>
      </w:r>
    </w:p>
  </w:footnote>
  <w:footnote w:id="31">
    <w:p>
      <w:pPr>
        <w:pStyle w:val="FootnoteText"/>
        <w:bidi w:val="1"/>
        <w:jc w:val="both"/>
      </w:pPr>
      <w:r>
        <w:rPr>
          <w:rStyle w:val="FootnoteReference"/>
          <w:rtl w:val="1"/>
        </w:rPr>
        <w:footnoteRef/>
      </w:r>
      <w:r>
        <w:rPr>
          <w:rFonts w:ascii="Times New Roman" w:hAnsi="Times New Roman" w:cs="B Nazanin"/>
          <w:sz w:val="22"/>
          <w:szCs w:val="22"/>
          <w:rtl w:val="1"/>
        </w:rPr>
        <w:t xml:space="preserve"> George Kennan’s</w:t>
      </w:r>
    </w:p>
  </w:footnote>
  <w:footnote w:id="32">
    <w:p>
      <w:pPr>
        <w:pStyle w:val="FootnoteText"/>
        <w:bidi w:val="1"/>
        <w:jc w:val="both"/>
      </w:pPr>
      <w:r>
        <w:rPr>
          <w:rStyle w:val="FootnoteReference"/>
          <w:rtl w:val="1"/>
        </w:rPr>
        <w:footnoteRef/>
      </w:r>
      <w:r>
        <w:rPr>
          <w:rFonts w:ascii="Times New Roman" w:hAnsi="Times New Roman" w:cs="B Nazanin"/>
          <w:sz w:val="22"/>
          <w:szCs w:val="22"/>
          <w:rtl w:val="1"/>
        </w:rPr>
        <w:t xml:space="preserve"> International Environmental Agency</w:t>
      </w:r>
    </w:p>
  </w:footnote>
  <w:footnote w:id="33">
    <w:p>
      <w:pPr>
        <w:pStyle w:val="FootnoteText"/>
        <w:bidi w:val="1"/>
        <w:jc w:val="both"/>
      </w:pPr>
      <w:r>
        <w:rPr>
          <w:rStyle w:val="FootnoteReference"/>
          <w:rtl w:val="1"/>
        </w:rPr>
        <w:footnoteRef/>
      </w:r>
      <w:r>
        <w:rPr>
          <w:rFonts w:ascii="Times New Roman" w:hAnsi="Times New Roman" w:cs="B Nazanin"/>
          <w:sz w:val="22"/>
          <w:szCs w:val="22"/>
          <w:rtl w:val="1"/>
        </w:rPr>
        <w:t xml:space="preserve"> Global Environmental Organization  or  World Environment Organization</w:t>
      </w:r>
    </w:p>
  </w:footnote>
  <w:footnote w:id="34">
    <w:p>
      <w:pPr>
        <w:pStyle w:val="FootnoteText"/>
        <w:bidi w:val="1"/>
        <w:jc w:val="both"/>
      </w:pPr>
      <w:r>
        <w:rPr>
          <w:rStyle w:val="FootnoteReference"/>
          <w:rtl w:val="1"/>
        </w:rPr>
        <w:footnoteRef/>
      </w:r>
      <w:r>
        <w:rPr>
          <w:rFonts w:ascii="Times New Roman" w:hAnsi="Times New Roman" w:cs="B Nazanin"/>
          <w:sz w:val="22"/>
          <w:szCs w:val="22"/>
          <w:rtl w:val="1"/>
        </w:rPr>
        <w:t xml:space="preserve"> United Nations Environment Organization. (UNEO)</w:t>
      </w:r>
    </w:p>
  </w:footnote>
  <w:footnote w:id="35">
    <w:p>
      <w:pPr>
        <w:pStyle w:val="FootnoteText"/>
        <w:bidi w:val="1"/>
        <w:jc w:val="both"/>
      </w:pPr>
      <w:r>
        <w:rPr>
          <w:rStyle w:val="FootnoteReference"/>
          <w:rtl w:val="1"/>
        </w:rPr>
        <w:footnoteRef/>
      </w:r>
      <w:r>
        <w:rPr>
          <w:rFonts w:ascii="Times New Roman" w:hAnsi="Times New Roman" w:cs="B Nazanin"/>
          <w:sz w:val="22"/>
          <w:szCs w:val="22"/>
          <w:rtl w:val="1"/>
        </w:rPr>
        <w:t xml:space="preserve"> organizationa reform</w:t>
      </w:r>
    </w:p>
  </w:footnote>
  <w:footnote w:id="36">
    <w:p>
      <w:pPr>
        <w:pStyle w:val="FootnoteText"/>
        <w:bidi w:val="1"/>
        <w:jc w:val="both"/>
      </w:pPr>
      <w:r>
        <w:rPr>
          <w:rStyle w:val="FootnoteReference"/>
          <w:rtl w:val="1"/>
        </w:rPr>
        <w:footnoteRef/>
      </w:r>
      <w:r>
        <w:rPr>
          <w:rFonts w:ascii="Times New Roman" w:hAnsi="Times New Roman" w:cs="B Nazanin"/>
          <w:sz w:val="22"/>
          <w:szCs w:val="22"/>
          <w:rtl w:val="1"/>
        </w:rPr>
        <w:t xml:space="preserve"> Institutional reform</w:t>
      </w:r>
    </w:p>
  </w:footnote>
  <w:footnote w:id="37">
    <w:p>
      <w:pPr>
        <w:pStyle w:val="FootnoteText"/>
        <w:bidi w:val="1"/>
        <w:jc w:val="both"/>
      </w:pPr>
      <w:r>
        <w:rPr>
          <w:rStyle w:val="FootnoteReference"/>
          <w:rtl w:val="1"/>
        </w:rPr>
        <w:footnoteRef/>
      </w:r>
      <w:r>
        <w:rPr>
          <w:rFonts w:ascii="Times New Roman" w:hAnsi="Times New Roman" w:cs="B Nazanin"/>
          <w:sz w:val="22"/>
          <w:szCs w:val="22"/>
          <w:rtl w:val="1"/>
        </w:rPr>
        <w:t xml:space="preserve"> Draft of the International Covenant on Environment and Development</w:t>
      </w:r>
    </w:p>
  </w:footnote>
  <w:footnote w:id="38">
    <w:p>
      <w:pPr>
        <w:pStyle w:val="FootnoteText"/>
        <w:bidi w:val="1"/>
        <w:jc w:val="both"/>
      </w:pPr>
      <w:r>
        <w:rPr>
          <w:rStyle w:val="FootnoteReference"/>
          <w:rtl w:val="1"/>
        </w:rPr>
        <w:footnoteRef/>
      </w:r>
      <w:r>
        <w:rPr>
          <w:rFonts w:ascii="Times New Roman" w:hAnsi="Times New Roman" w:cs="B Nazanin"/>
          <w:sz w:val="22"/>
          <w:szCs w:val="22"/>
          <w:rtl w:val="1"/>
        </w:rPr>
        <w:t xml:space="preserve"> International court of environment</w:t>
      </w:r>
    </w:p>
  </w:footnote>
  <w:footnote w:id="39">
    <w:p>
      <w:pPr>
        <w:pStyle w:val="FootnoteText"/>
        <w:bidi w:val="1"/>
        <w:jc w:val="both"/>
      </w:pPr>
      <w:r>
        <w:rPr>
          <w:rStyle w:val="FootnoteReference"/>
          <w:rtl w:val="1"/>
        </w:rPr>
        <w:footnoteRef/>
      </w:r>
      <w:r>
        <w:rPr>
          <w:rFonts w:ascii="Times New Roman" w:hAnsi="Times New Roman" w:cs="B Nazanin"/>
          <w:sz w:val="22"/>
          <w:szCs w:val="22"/>
          <w:rtl w:val="1"/>
        </w:rPr>
        <w:t xml:space="preserve"> Yann Aguila</w:t>
      </w:r>
    </w:p>
  </w:footnote>
  <w:footnote w:id="40">
    <w:p>
      <w:pPr>
        <w:pStyle w:val="FootnoteText"/>
        <w:bidi w:val="1"/>
        <w:jc w:val="both"/>
      </w:pPr>
      <w:r>
        <w:rPr>
          <w:rStyle w:val="FootnoteReference"/>
          <w:rtl w:val="1"/>
        </w:rPr>
        <w:footnoteRef/>
      </w:r>
      <w:r>
        <w:rPr>
          <w:rFonts w:ascii="Times New Roman" w:hAnsi="Times New Roman" w:cs="B Nazanin"/>
          <w:sz w:val="22"/>
          <w:szCs w:val="22"/>
          <w:rtl w:val="1"/>
        </w:rPr>
        <w:t xml:space="preserve"> Former French Minister of Foreign Affairs, Laurent Fabius</w:t>
      </w:r>
    </w:p>
  </w:footnote>
  <w:footnote w:id="41">
    <w:p>
      <w:pPr>
        <w:pStyle w:val="FootnoteText"/>
        <w:bidi w:val="1"/>
        <w:jc w:val="both"/>
      </w:pPr>
      <w:r>
        <w:rPr>
          <w:rStyle w:val="FootnoteReference"/>
          <w:rtl w:val="1"/>
        </w:rPr>
        <w:footnoteRef/>
      </w:r>
      <w:r>
        <w:rPr>
          <w:rFonts w:ascii="Times New Roman" w:hAnsi="Times New Roman" w:cs="B Nazanin"/>
          <w:sz w:val="22"/>
          <w:szCs w:val="22"/>
          <w:rtl w:val="1"/>
        </w:rPr>
        <w:t xml:space="preserve"> The Group of Experts for the Pact (GEP)</w:t>
      </w:r>
    </w:p>
  </w:footnote>
  <w:footnote w:id="42">
    <w:p>
      <w:pPr>
        <w:pStyle w:val="FootnoteText"/>
        <w:bidi w:val="1"/>
        <w:jc w:val="both"/>
      </w:pPr>
      <w:r>
        <w:rPr>
          <w:rStyle w:val="FootnoteReference"/>
          <w:rtl w:val="1"/>
        </w:rPr>
        <w:footnoteRef/>
      </w:r>
      <w:r>
        <w:rPr>
          <w:rFonts w:ascii="Times New Roman" w:hAnsi="Times New Roman" w:cs="B Nazanin"/>
          <w:sz w:val="22"/>
          <w:szCs w:val="22"/>
          <w:rtl w:val="1"/>
        </w:rPr>
        <w:t xml:space="preserve"> Summit on a Global Pact for the Environment.</w:t>
      </w:r>
    </w:p>
  </w:footnote>
  <w:footnote w:id="43">
    <w:p>
      <w:pPr>
        <w:pStyle w:val="FootnoteText"/>
        <w:bidi w:val="1"/>
        <w:jc w:val="both"/>
      </w:pPr>
      <w:r>
        <w:rPr>
          <w:rStyle w:val="FootnoteReference"/>
          <w:rtl w:val="1"/>
        </w:rPr>
        <w:footnoteRef/>
      </w:r>
      <w:r>
        <w:rPr>
          <w:rFonts w:ascii="Times New Roman" w:hAnsi="Times New Roman" w:cs="B Nazanin"/>
          <w:sz w:val="22"/>
          <w:szCs w:val="22"/>
          <w:rtl w:val="1"/>
        </w:rPr>
        <w:t xml:space="preserve"> the next step</w:t>
      </w:r>
    </w:p>
  </w:footnote>
  <w:footnote w:id="44">
    <w:p>
      <w:pPr>
        <w:pStyle w:val="FootnoteText"/>
        <w:bidi w:val="1"/>
        <w:jc w:val="both"/>
      </w:pPr>
      <w:r>
        <w:rPr>
          <w:rStyle w:val="FootnoteReference"/>
          <w:rtl w:val="1"/>
        </w:rPr>
        <w:footnoteRef/>
      </w:r>
      <w:r>
        <w:rPr>
          <w:rFonts w:ascii="Times New Roman" w:hAnsi="Times New Roman" w:cs="B Nazanin"/>
          <w:sz w:val="22"/>
          <w:szCs w:val="22"/>
          <w:rtl w:val="1"/>
        </w:rPr>
        <w:t xml:space="preserve"> framework</w:t>
      </w:r>
    </w:p>
  </w:footnote>
  <w:footnote w:id="45">
    <w:p>
      <w:pPr>
        <w:pStyle w:val="FootnoteText"/>
        <w:bidi w:val="1"/>
        <w:jc w:val="both"/>
      </w:pPr>
      <w:r>
        <w:rPr>
          <w:rStyle w:val="FootnoteReference"/>
          <w:rtl w:val="1"/>
        </w:rPr>
        <w:footnoteRef/>
      </w:r>
      <w:r>
        <w:rPr>
          <w:rFonts w:ascii="Times New Roman" w:hAnsi="Times New Roman" w:cs="B Nazanin"/>
          <w:sz w:val="22"/>
          <w:szCs w:val="22"/>
          <w:rtl w:val="1"/>
        </w:rPr>
        <w:t xml:space="preserve"> a watered-down resolution</w:t>
      </w:r>
    </w:p>
  </w:footnote>
  <w:footnote w:id="46">
    <w:p>
      <w:pPr>
        <w:pStyle w:val="FootnoteText"/>
        <w:bidi w:val="1"/>
        <w:jc w:val="both"/>
      </w:pPr>
      <w:r>
        <w:rPr>
          <w:rStyle w:val="FootnoteReference"/>
          <w:rtl w:val="1"/>
        </w:rPr>
        <w:footnoteRef/>
      </w:r>
      <w:r>
        <w:rPr>
          <w:rFonts w:ascii="Times New Roman" w:hAnsi="Times New Roman" w:cs="B Nazanin"/>
          <w:sz w:val="22"/>
          <w:szCs w:val="22"/>
          <w:rtl w:val="1"/>
        </w:rPr>
        <w:t xml:space="preserve"> قطعنامه از سوی فرانسه و همبانی هایش به شرح زیر تسلیم شد: البانی، اندورا، انگولا، بنگلادش، بلژیک، بنین، بوتان، بوسنی و هرزگوین، برزیل، بلغارستان، بورکینافاسو، کانادا، جمهوری افریقای مرکزی، چاد، شیلی، کلمبیا، کنگو، کاستاریکا، کرواسی، قبرس، چک، دانمارک، گینه استوایی، استونی، فنلاند، گابن، گرجستان، آلمان، غنا، یونان، گواتمالا، گینه، گویان، هند، ایرلند، ایتالیا، اردن، لاتویا، لبنان، لیبی، لیتوانیا، لوکزامبورگ، ماداگاسکار، مالت، موریش، مکزیک، موناکو، مونته نگرو، موراکو، هلند، نیجر، نروژ، پاراگوئه، پرو، پرتغال، قطر، رومانی، سنگال، سیشل، اسلواکی، اسوانی، اسپانیا، سریلانکا، سورینام، مقدونیه، تونس، ترکمنستان، توالو، امارات متحده عربی و انگستان.</w:t>
      </w:r>
    </w:p>
  </w:footnote>
  <w:footnote w:id="47">
    <w:p>
      <w:pPr>
        <w:pStyle w:val="FootnoteText"/>
        <w:bidi w:val="1"/>
        <w:jc w:val="both"/>
      </w:pPr>
      <w:r>
        <w:rPr>
          <w:rStyle w:val="FootnoteReference"/>
          <w:rtl w:val="1"/>
        </w:rPr>
        <w:footnoteRef/>
      </w:r>
      <w:r>
        <w:rPr>
          <w:rFonts w:ascii="Times New Roman" w:hAnsi="Times New Roman" w:cs="B Nazanin"/>
          <w:sz w:val="22"/>
          <w:szCs w:val="22"/>
          <w:rtl w:val="1"/>
        </w:rPr>
        <w:t xml:space="preserve"> A/Res/72/277,14 May 2018, Towards Global Pact for the Environment</w:t>
      </w:r>
    </w:p>
  </w:footnote>
  <w:footnote w:id="48">
    <w:p>
      <w:pPr>
        <w:pStyle w:val="FootnoteText"/>
        <w:bidi w:val="1"/>
        <w:jc w:val="both"/>
      </w:pPr>
      <w:r>
        <w:rPr>
          <w:rStyle w:val="FootnoteReference"/>
          <w:rtl w:val="1"/>
        </w:rPr>
        <w:footnoteRef/>
      </w:r>
      <w:r>
        <w:rPr>
          <w:rFonts w:ascii="Times New Roman" w:hAnsi="Times New Roman" w:cs="B Nazanin"/>
          <w:sz w:val="22"/>
          <w:szCs w:val="22"/>
          <w:rtl w:val="1"/>
        </w:rPr>
        <w:t xml:space="preserve"> a linear and open-ended methodological approach</w:t>
      </w:r>
    </w:p>
  </w:footnote>
  <w:footnote w:id="49">
    <w:p>
      <w:pPr>
        <w:pStyle w:val="FootnoteText"/>
        <w:bidi w:val="1"/>
        <w:jc w:val="both"/>
      </w:pPr>
      <w:r>
        <w:rPr>
          <w:rStyle w:val="FootnoteReference"/>
          <w:rtl w:val="1"/>
        </w:rPr>
        <w:footnoteRef/>
      </w:r>
      <w:r>
        <w:rPr>
          <w:rFonts w:ascii="Times New Roman" w:hAnsi="Times New Roman" w:cs="B Nazanin"/>
          <w:sz w:val="22"/>
          <w:szCs w:val="22"/>
          <w:rtl w:val="1"/>
        </w:rPr>
        <w:t xml:space="preserve"> an ad hoc open ended working group (OEWG)</w:t>
      </w:r>
    </w:p>
  </w:footnote>
  <w:footnote w:id="50">
    <w:p>
      <w:pPr>
        <w:pStyle w:val="FootnoteText"/>
        <w:bidi w:val="1"/>
        <w:jc w:val="both"/>
      </w:pPr>
      <w:r>
        <w:rPr>
          <w:rStyle w:val="FootnoteReference"/>
          <w:rtl w:val="1"/>
        </w:rPr>
        <w:footnoteRef/>
      </w:r>
      <w:r>
        <w:rPr>
          <w:rFonts w:ascii="Times New Roman" w:hAnsi="Times New Roman" w:cs="B Nazanin"/>
          <w:sz w:val="22"/>
          <w:szCs w:val="22"/>
          <w:rtl w:val="1"/>
        </w:rPr>
        <w:t xml:space="preserve"> A/73/419, 30 November 2018, Report of the Secretary-General on Gaps in International Environmental Law and Environment-Related Instrumens: Towards a Global Pact for the Environment</w:t>
      </w:r>
    </w:p>
  </w:footnote>
  <w:footnote w:id="51">
    <w:p>
      <w:pPr>
        <w:pStyle w:val="FootnoteText"/>
        <w:bidi w:val="1"/>
        <w:jc w:val="both"/>
      </w:pPr>
      <w:r>
        <w:rPr>
          <w:rStyle w:val="FootnoteReference"/>
          <w:rtl w:val="1"/>
        </w:rPr>
        <w:footnoteRef/>
      </w:r>
      <w:r>
        <w:rPr>
          <w:rFonts w:ascii="Times New Roman" w:hAnsi="Times New Roman" w:cs="B Nazanin"/>
          <w:sz w:val="22"/>
          <w:szCs w:val="22"/>
          <w:rtl w:val="1"/>
        </w:rPr>
        <w:t xml:space="preserve"> Fragmentation</w:t>
      </w:r>
    </w:p>
  </w:footnote>
  <w:footnote w:id="52">
    <w:p>
      <w:pPr>
        <w:pStyle w:val="FootnoteText"/>
        <w:bidi w:val="1"/>
        <w:jc w:val="both"/>
      </w:pPr>
      <w:r>
        <w:rPr>
          <w:rStyle w:val="FootnoteReference"/>
          <w:rtl w:val="1"/>
        </w:rPr>
        <w:footnoteRef/>
      </w:r>
      <w:r>
        <w:rPr>
          <w:rFonts w:ascii="Times New Roman" w:hAnsi="Times New Roman" w:cs="B Nazanin"/>
          <w:sz w:val="22"/>
          <w:szCs w:val="22"/>
          <w:rtl w:val="1"/>
        </w:rPr>
        <w:t xml:space="preserve"> organizational session</w:t>
      </w:r>
    </w:p>
  </w:footnote>
  <w:footnote w:id="53">
    <w:p>
      <w:pPr>
        <w:pStyle w:val="FootnoteText"/>
        <w:bidi w:val="1"/>
        <w:jc w:val="both"/>
      </w:pPr>
      <w:r>
        <w:rPr>
          <w:rStyle w:val="FootnoteReference"/>
          <w:rtl w:val="1"/>
        </w:rPr>
        <w:footnoteRef/>
      </w:r>
      <w:r>
        <w:rPr>
          <w:rFonts w:ascii="Times New Roman" w:hAnsi="Times New Roman" w:cs="B Nazanin"/>
          <w:sz w:val="22"/>
          <w:szCs w:val="22"/>
          <w:rtl w:val="1"/>
        </w:rPr>
        <w:t xml:space="preserve"> substantive sessions</w:t>
      </w:r>
    </w:p>
  </w:footnote>
  <w:footnote w:id="54">
    <w:p>
      <w:pPr>
        <w:pStyle w:val="FootnoteText"/>
        <w:bidi w:val="1"/>
        <w:jc w:val="both"/>
      </w:pPr>
      <w:r>
        <w:rPr>
          <w:rStyle w:val="FootnoteReference"/>
          <w:rtl w:val="1"/>
        </w:rPr>
        <w:footnoteRef/>
      </w:r>
      <w:r>
        <w:rPr>
          <w:rFonts w:ascii="Times New Roman" w:hAnsi="Times New Roman" w:cs="B Nazanin"/>
          <w:sz w:val="22"/>
          <w:szCs w:val="22"/>
          <w:rtl w:val="1"/>
        </w:rPr>
        <w:t xml:space="preserve"> objectives, substantive recommendations, and consideration of further work</w:t>
      </w:r>
    </w:p>
  </w:footnote>
  <w:footnote w:id="55">
    <w:p>
      <w:pPr>
        <w:pStyle w:val="FootnoteText"/>
        <w:bidi w:val="1"/>
        <w:jc w:val="both"/>
      </w:pPr>
      <w:r>
        <w:rPr>
          <w:rStyle w:val="FootnoteReference"/>
          <w:rtl w:val="1"/>
        </w:rPr>
        <w:footnoteRef/>
      </w:r>
      <w:r>
        <w:rPr>
          <w:rFonts w:ascii="Times New Roman" w:hAnsi="Times New Roman" w:cs="B Nazanin"/>
          <w:sz w:val="22"/>
          <w:szCs w:val="22"/>
          <w:rtl w:val="1"/>
        </w:rPr>
        <w:t xml:space="preserve"> A/AC.289/6/Rev.1, 13 June 2019, Report of the ad hoc open-ended working group established pursuant to General Assembly resolution 72 /277;</w:t>
      </w:r>
    </w:p>
  </w:footnote>
  <w:footnote w:id="56">
    <w:p>
      <w:pPr>
        <w:pStyle w:val="FootnoteText"/>
        <w:bidi w:val="1"/>
        <w:jc w:val="both"/>
      </w:pPr>
      <w:r>
        <w:rPr>
          <w:rStyle w:val="FootnoteReference"/>
          <w:rtl w:val="1"/>
        </w:rPr>
        <w:footnoteRef/>
      </w:r>
      <w:r>
        <w:rPr>
          <w:rFonts w:ascii="Times New Roman" w:hAnsi="Times New Roman" w:cs="B Nazanin"/>
          <w:sz w:val="22"/>
          <w:szCs w:val="22"/>
          <w:rtl w:val="1"/>
        </w:rPr>
        <w:t xml:space="preserve"> Means of implementation</w:t>
      </w:r>
    </w:p>
  </w:footnote>
  <w:footnote w:id="57">
    <w:p>
      <w:pPr>
        <w:pStyle w:val="FootnoteText"/>
        <w:bidi w:val="1"/>
        <w:jc w:val="both"/>
      </w:pPr>
      <w:r>
        <w:rPr>
          <w:rStyle w:val="FootnoteReference"/>
          <w:rtl w:val="1"/>
        </w:rPr>
        <w:footnoteRef/>
      </w:r>
      <w:r>
        <w:rPr>
          <w:rFonts w:ascii="Times New Roman" w:hAnsi="Times New Roman" w:cs="B Nazanin"/>
          <w:sz w:val="22"/>
          <w:szCs w:val="22"/>
          <w:rtl w:val="1"/>
        </w:rPr>
        <w:t xml:space="preserve"> crosscutting issues</w:t>
      </w:r>
    </w:p>
  </w:footnote>
  <w:footnote w:id="58">
    <w:p>
      <w:pPr>
        <w:pStyle w:val="FootnoteText"/>
        <w:bidi w:val="1"/>
        <w:jc w:val="both"/>
      </w:pPr>
      <w:r>
        <w:rPr>
          <w:rStyle w:val="FootnoteReference"/>
          <w:rtl w:val="1"/>
        </w:rPr>
        <w:footnoteRef/>
      </w:r>
      <w:r>
        <w:rPr>
          <w:rFonts w:ascii="Times New Roman" w:hAnsi="Times New Roman" w:cs="B Nazanin"/>
          <w:sz w:val="22"/>
          <w:szCs w:val="22"/>
          <w:rtl w:val="1"/>
        </w:rPr>
        <w:t xml:space="preserve"> a political declaration for a UN high-level meeting</w:t>
      </w:r>
    </w:p>
  </w:footnote>
  <w:footnote w:id="59">
    <w:p>
      <w:pPr>
        <w:pStyle w:val="FootnoteText"/>
        <w:bidi w:val="1"/>
        <w:jc w:val="both"/>
      </w:pPr>
      <w:r>
        <w:rPr>
          <w:rStyle w:val="FootnoteReference"/>
          <w:rtl w:val="1"/>
        </w:rPr>
        <w:footnoteRef/>
      </w:r>
      <w:r>
        <w:rPr>
          <w:rFonts w:ascii="Times New Roman" w:hAnsi="Times New Roman" w:cs="B Nazanin"/>
          <w:sz w:val="22"/>
          <w:szCs w:val="22"/>
          <w:rtl w:val="1"/>
        </w:rPr>
        <w:t xml:space="preserve"> Explanation of Position (EOP)</w:t>
      </w:r>
    </w:p>
  </w:footnote>
  <w:footnote w:id="60">
    <w:p>
      <w:pPr>
        <w:pStyle w:val="FootnoteText"/>
        <w:bidi w:val="1"/>
        <w:jc w:val="both"/>
      </w:pPr>
      <w:r>
        <w:rPr>
          <w:rStyle w:val="FootnoteReference"/>
          <w:rtl w:val="1"/>
        </w:rPr>
        <w:footnoteRef/>
      </w:r>
      <w:r>
        <w:rPr>
          <w:rFonts w:ascii="Times New Roman" w:hAnsi="Times New Roman" w:cs="B Nazanin"/>
          <w:sz w:val="22"/>
          <w:szCs w:val="22"/>
          <w:rtl w:val="1"/>
        </w:rPr>
        <w:t xml:space="preserve"> the Global Environmental Outlook 6</w:t>
      </w:r>
    </w:p>
  </w:footnote>
  <w:footnote w:id="61">
    <w:p>
      <w:pPr>
        <w:pStyle w:val="FootnoteText"/>
        <w:bidi w:val="1"/>
        <w:jc w:val="both"/>
      </w:pPr>
      <w:r>
        <w:rPr>
          <w:rStyle w:val="FootnoteReference"/>
          <w:rtl w:val="1"/>
        </w:rPr>
        <w:footnoteRef/>
      </w:r>
      <w:r>
        <w:rPr>
          <w:rFonts w:ascii="Times New Roman" w:hAnsi="Times New Roman" w:cs="B Nazanin"/>
          <w:sz w:val="22"/>
          <w:szCs w:val="22"/>
          <w:rtl w:val="1"/>
        </w:rPr>
        <w:t xml:space="preserve"> A/RES/73/333, 5 September 2019, Follow-up to the report of the ad hoc open-ended working group established pursuant to General Assembly resolution 72/277;</w:t>
      </w:r>
    </w:p>
  </w:footnote>
  <w:footnote w:id="62">
    <w:p>
      <w:pPr>
        <w:pStyle w:val="FootnoteText"/>
        <w:bidi w:val="1"/>
        <w:jc w:val="both"/>
      </w:pPr>
      <w:r>
        <w:rPr>
          <w:rStyle w:val="FootnoteReference"/>
          <w:rtl w:val="1"/>
        </w:rPr>
        <w:footnoteRef/>
      </w:r>
      <w:r>
        <w:rPr>
          <w:rFonts w:ascii="Times New Roman" w:hAnsi="Times New Roman" w:cs="B Nazanin"/>
          <w:sz w:val="22"/>
          <w:szCs w:val="22"/>
          <w:rtl w:val="1"/>
        </w:rPr>
        <w:t xml:space="preserve"> A/RES/79/1, 22 September 2024, the Pact for the Future</w:t>
      </w:r>
    </w:p>
  </w:footnote>
  <w:footnote w:id="63">
    <w:p>
      <w:pPr>
        <w:pStyle w:val="FootnoteText"/>
        <w:bidi w:val="1"/>
        <w:jc w:val="both"/>
      </w:pPr>
      <w:r>
        <w:rPr>
          <w:rStyle w:val="FootnoteReference"/>
          <w:rtl w:val="1"/>
        </w:rPr>
        <w:footnoteRef/>
      </w:r>
      <w:r>
        <w:rPr>
          <w:rFonts w:ascii="Times New Roman" w:hAnsi="Times New Roman" w:cs="B Nazanin"/>
          <w:sz w:val="22"/>
          <w:szCs w:val="22"/>
          <w:rtl w:val="1"/>
        </w:rPr>
        <w:t xml:space="preserve"> Constitutionalism</w:t>
      </w:r>
    </w:p>
  </w:footnote>
  <w:footnote w:id="64">
    <w:p>
      <w:pPr>
        <w:pStyle w:val="FootnoteText"/>
        <w:bidi w:val="1"/>
        <w:jc w:val="both"/>
      </w:pPr>
      <w:r>
        <w:rPr>
          <w:rStyle w:val="FootnoteReference"/>
          <w:rtl w:val="1"/>
        </w:rPr>
        <w:footnoteRef/>
      </w:r>
      <w:r>
        <w:rPr>
          <w:rFonts w:ascii="Times New Roman" w:hAnsi="Times New Roman" w:cs="B Nazanin"/>
          <w:sz w:val="22"/>
          <w:szCs w:val="22"/>
          <w:rtl w:val="1"/>
        </w:rPr>
        <w:t xml:space="preserve"> ecocentric</w:t>
      </w:r>
    </w:p>
  </w:footnote>
  <w:footnote w:id="65">
    <w:p>
      <w:pPr>
        <w:pStyle w:val="FootnoteText"/>
        <w:bidi w:val="1"/>
        <w:jc w:val="both"/>
      </w:pPr>
      <w:r>
        <w:rPr>
          <w:rStyle w:val="FootnoteReference"/>
          <w:rtl w:val="1"/>
        </w:rPr>
        <w:footnoteRef/>
      </w:r>
      <w:r>
        <w:rPr>
          <w:rFonts w:ascii="Times New Roman" w:hAnsi="Times New Roman" w:cs="B Nazanin"/>
          <w:sz w:val="22"/>
          <w:szCs w:val="22"/>
          <w:rtl w:val="1"/>
        </w:rPr>
        <w:t xml:space="preserve"> منظور از بوم محوری، ترکیبی از «اکو» به معنای محیط زیست و سیستم های اکولوژیکی و «سنتریک» به معنای محور می باشد که در این مفهوم ارزش ذاتی را به تمام موجودات زنده و محیط های طبیعی نسبت می دهد و به جای اولویت دادن به منافع بشر، تاکید بر اهمیت و ارزش خود طبیعت می گذارد. از این رو، ارزش ذاتی طبیعت، پیوندهای اکولوژیکی ، ملاحظات اخلاقی، رویه های پایدار و انتقاد از انسان محوری از ویژگی های کلیدی بوم محوری است. در این دیدگاه، از یک چشم انداز انسان محور به دیدگاهی که در آن انسان ها بخشی از یک جامعه اکولوژیکی بزرگ تر هستند، می رسد و اذعان می کند که سلامت زمین به طور مستقیم با رفاه تمام ساکنان آن در ارتباط مستقیم است.</w:t>
      </w:r>
    </w:p>
  </w:footnote>
  <w:footnote w:id="66">
    <w:p>
      <w:pPr>
        <w:pStyle w:val="FootnoteText"/>
        <w:bidi w:val="1"/>
        <w:jc w:val="both"/>
      </w:pPr>
      <w:r>
        <w:rPr>
          <w:rStyle w:val="FootnoteReference"/>
          <w:rtl w:val="1"/>
        </w:rPr>
        <w:footnoteRef/>
      </w:r>
      <w:r>
        <w:rPr>
          <w:rFonts w:ascii="Times New Roman" w:hAnsi="Times New Roman" w:cs="B Nazanin"/>
          <w:sz w:val="22"/>
          <w:szCs w:val="22"/>
          <w:rtl w:val="1"/>
        </w:rPr>
        <w:t xml:space="preserve"> Sectoral</w:t>
      </w:r>
    </w:p>
  </w:footnote>
  <w:footnote w:id="67">
    <w:p>
      <w:pPr>
        <w:pStyle w:val="FootnoteText"/>
        <w:bidi w:val="1"/>
        <w:jc w:val="both"/>
      </w:pPr>
      <w:r>
        <w:rPr>
          <w:rStyle w:val="FootnoteReference"/>
          <w:rtl w:val="1"/>
        </w:rPr>
        <w:footnoteRef/>
      </w:r>
      <w:r>
        <w:rPr>
          <w:rFonts w:ascii="Times New Roman" w:hAnsi="Times New Roman" w:cs="B Nazanin"/>
          <w:sz w:val="22"/>
          <w:szCs w:val="22"/>
          <w:rtl w:val="1"/>
        </w:rPr>
        <w:t xml:space="preserve"> the core obligations and control measures</w:t>
      </w:r>
    </w:p>
  </w:footnote>
  <w:footnote w:id="68">
    <w:p>
      <w:pPr>
        <w:pStyle w:val="FootnoteText"/>
        <w:bidi w:val="1"/>
        <w:jc w:val="both"/>
      </w:pPr>
      <w:r>
        <w:rPr>
          <w:rStyle w:val="FootnoteReference"/>
          <w:rtl w:val="1"/>
        </w:rPr>
        <w:footnoteRef/>
      </w:r>
      <w:r>
        <w:rPr>
          <w:rFonts w:ascii="Times New Roman" w:hAnsi="Times New Roman" w:cs="B Nazanin"/>
          <w:sz w:val="22"/>
          <w:szCs w:val="22"/>
          <w:rtl w:val="1"/>
        </w:rPr>
        <w:t xml:space="preserve"> multilateral and specific convention</w:t>
      </w:r>
    </w:p>
  </w:footnote>
  <w:footnote w:id="69">
    <w:p>
      <w:pPr>
        <w:pStyle w:val="FootnoteText"/>
        <w:bidi w:val="1"/>
        <w:jc w:val="both"/>
      </w:pPr>
      <w:r>
        <w:rPr>
          <w:rStyle w:val="FootnoteReference"/>
          <w:rtl w:val="1"/>
        </w:rPr>
        <w:footnoteRef/>
      </w:r>
      <w:r>
        <w:rPr>
          <w:rFonts w:ascii="Times New Roman" w:hAnsi="Times New Roman" w:cs="B Nazanin"/>
          <w:sz w:val="22"/>
          <w:szCs w:val="22"/>
          <w:rtl w:val="1"/>
        </w:rPr>
        <w:t xml:space="preserve"> the Stockholm Convention on Persistent Organic Pollutants</w:t>
      </w:r>
    </w:p>
  </w:footnote>
  <w:footnote w:id="70">
    <w:p>
      <w:pPr>
        <w:pStyle w:val="FootnoteText"/>
        <w:bidi w:val="1"/>
        <w:jc w:val="both"/>
      </w:pPr>
      <w:r>
        <w:rPr>
          <w:rStyle w:val="FootnoteReference"/>
          <w:rtl w:val="1"/>
        </w:rPr>
        <w:footnoteRef/>
      </w:r>
      <w:r>
        <w:rPr>
          <w:rFonts w:ascii="Times New Roman" w:hAnsi="Times New Roman" w:cs="B Nazanin"/>
          <w:sz w:val="22"/>
          <w:szCs w:val="22"/>
          <w:rtl w:val="1"/>
        </w:rPr>
        <w:t xml:space="preserve"> the Minamata Convention on Mercury</w:t>
      </w:r>
    </w:p>
  </w:footnote>
  <w:footnote w:id="71">
    <w:p>
      <w:pPr>
        <w:pStyle w:val="FootnoteText"/>
        <w:bidi w:val="1"/>
        <w:jc w:val="both"/>
      </w:pPr>
      <w:r>
        <w:rPr>
          <w:rStyle w:val="FootnoteReference"/>
          <w:rtl w:val="1"/>
        </w:rPr>
        <w:footnoteRef/>
      </w:r>
      <w:r>
        <w:rPr>
          <w:rFonts w:ascii="Times New Roman" w:hAnsi="Times New Roman" w:cs="B Nazanin"/>
          <w:sz w:val="22"/>
          <w:szCs w:val="22"/>
          <w:rtl w:val="1"/>
        </w:rPr>
        <w:t xml:space="preserve"> framework convention</w:t>
      </w:r>
    </w:p>
  </w:footnote>
  <w:footnote w:id="72">
    <w:p>
      <w:pPr>
        <w:pStyle w:val="FootnoteText"/>
        <w:bidi w:val="1"/>
        <w:jc w:val="both"/>
      </w:pPr>
      <w:r>
        <w:rPr>
          <w:rStyle w:val="FootnoteReference"/>
          <w:rtl w:val="1"/>
        </w:rPr>
        <w:footnoteRef/>
      </w:r>
      <w:r>
        <w:rPr>
          <w:rFonts w:ascii="Times New Roman" w:hAnsi="Times New Roman" w:cs="B Nazanin"/>
          <w:sz w:val="22"/>
          <w:szCs w:val="22"/>
          <w:rtl w:val="1"/>
        </w:rPr>
        <w:t xml:space="preserve"> The United Nations Framework Convention on Climate Change (UNFCCC),</w:t>
      </w:r>
    </w:p>
  </w:footnote>
  <w:footnote w:id="73">
    <w:p>
      <w:pPr>
        <w:pStyle w:val="FootnoteText"/>
        <w:bidi w:val="1"/>
        <w:jc w:val="both"/>
      </w:pPr>
      <w:r>
        <w:rPr>
          <w:rStyle w:val="FootnoteReference"/>
          <w:rtl w:val="1"/>
        </w:rPr>
        <w:footnoteRef/>
      </w:r>
      <w:r>
        <w:rPr>
          <w:rFonts w:ascii="Times New Roman" w:hAnsi="Times New Roman" w:cs="B Nazanin"/>
          <w:sz w:val="22"/>
          <w:szCs w:val="22"/>
          <w:rtl w:val="1"/>
        </w:rPr>
        <w:t xml:space="preserve"> The Vienna Convention for the Protection of the Ozone Layer and The Montreal Protocol on Substances that Deplete the Ozone Layer</w:t>
      </w:r>
    </w:p>
  </w:footnote>
  <w:footnote w:id="74">
    <w:p>
      <w:pPr>
        <w:pStyle w:val="FootnoteText"/>
        <w:bidi w:val="1"/>
        <w:jc w:val="both"/>
      </w:pPr>
      <w:r>
        <w:rPr>
          <w:rStyle w:val="FootnoteReference"/>
          <w:rtl w:val="1"/>
        </w:rPr>
        <w:footnoteRef/>
      </w:r>
      <w:r>
        <w:rPr>
          <w:rFonts w:ascii="Times New Roman" w:hAnsi="Times New Roman" w:cs="B Nazanin"/>
          <w:sz w:val="22"/>
          <w:szCs w:val="22"/>
          <w:rtl w:val="1"/>
        </w:rPr>
        <w:t xml:space="preserve"> framework for international cooperation</w:t>
      </w:r>
    </w:p>
  </w:footnote>
  <w:footnote w:id="75">
    <w:p>
      <w:pPr>
        <w:pStyle w:val="FootnoteText"/>
        <w:bidi w:val="1"/>
        <w:jc w:val="both"/>
      </w:pPr>
      <w:r>
        <w:rPr>
          <w:rStyle w:val="FootnoteReference"/>
          <w:rtl w:val="1"/>
        </w:rPr>
        <w:footnoteRef/>
      </w:r>
      <w:r>
        <w:rPr>
          <w:rFonts w:ascii="Times New Roman" w:hAnsi="Times New Roman" w:cs="B Nazanin"/>
          <w:sz w:val="22"/>
          <w:szCs w:val="22"/>
          <w:rtl w:val="1"/>
        </w:rPr>
        <w:t xml:space="preserve"> The Sendai Framework for Disaster Risk Reduction 2015-2030</w:t>
      </w:r>
    </w:p>
  </w:footnote>
  <w:footnote w:id="76">
    <w:p>
      <w:pPr>
        <w:pStyle w:val="FootnoteText"/>
        <w:bidi w:val="1"/>
        <w:jc w:val="both"/>
      </w:pPr>
      <w:r>
        <w:rPr>
          <w:rStyle w:val="FootnoteReference"/>
          <w:rtl w:val="1"/>
        </w:rPr>
        <w:footnoteRef/>
      </w:r>
      <w:r>
        <w:rPr>
          <w:rFonts w:ascii="Times New Roman" w:hAnsi="Times New Roman" w:cs="B Nazanin"/>
          <w:sz w:val="22"/>
          <w:szCs w:val="22"/>
          <w:rtl w:val="1"/>
        </w:rPr>
        <w:t xml:space="preserve"> Hard law</w:t>
      </w:r>
    </w:p>
  </w:footnote>
  <w:footnote w:id="77">
    <w:p>
      <w:pPr>
        <w:pStyle w:val="FootnoteText"/>
        <w:bidi w:val="1"/>
        <w:jc w:val="both"/>
      </w:pPr>
      <w:r>
        <w:rPr>
          <w:rStyle w:val="FootnoteReference"/>
          <w:rtl w:val="1"/>
        </w:rPr>
        <w:footnoteRef/>
      </w:r>
      <w:r>
        <w:rPr>
          <w:rFonts w:ascii="Times New Roman" w:hAnsi="Times New Roman" w:cs="B Nazanin"/>
          <w:sz w:val="22"/>
          <w:szCs w:val="22"/>
          <w:rtl w:val="1"/>
        </w:rPr>
        <w:t xml:space="preserve"> Soft law</w:t>
      </w:r>
    </w:p>
  </w:footnote>
  <w:footnote w:id="78">
    <w:p>
      <w:pPr>
        <w:pStyle w:val="FootnoteText"/>
        <w:bidi w:val="1"/>
        <w:jc w:val="both"/>
      </w:pPr>
      <w:r>
        <w:rPr>
          <w:rStyle w:val="FootnoteReference"/>
          <w:rtl w:val="1"/>
        </w:rPr>
        <w:footnoteRef/>
      </w:r>
      <w:r>
        <w:rPr>
          <w:rFonts w:ascii="Times New Roman" w:hAnsi="Times New Roman" w:cs="B Nazanin"/>
          <w:sz w:val="22"/>
          <w:szCs w:val="22"/>
          <w:rtl w:val="1"/>
        </w:rPr>
        <w:t xml:space="preserve"> Futures Study</w:t>
      </w:r>
    </w:p>
  </w:footnote>
  <w:footnote w:id="79">
    <w:p>
      <w:pPr>
        <w:pStyle w:val="FootnoteText"/>
        <w:bidi w:val="1"/>
        <w:jc w:val="both"/>
      </w:pPr>
      <w:r>
        <w:rPr>
          <w:rStyle w:val="FootnoteReference"/>
          <w:rtl w:val="1"/>
        </w:rPr>
        <w:footnoteRef/>
      </w:r>
      <w:r>
        <w:rPr>
          <w:rFonts w:ascii="Times New Roman" w:hAnsi="Times New Roman" w:cs="B Nazanin"/>
          <w:sz w:val="22"/>
          <w:szCs w:val="22"/>
          <w:rtl w:val="1"/>
        </w:rPr>
        <w:t xml:space="preserve"> Possible</w:t>
      </w:r>
    </w:p>
  </w:footnote>
  <w:footnote w:id="80">
    <w:p>
      <w:pPr>
        <w:pStyle w:val="FootnoteText"/>
        <w:bidi w:val="1"/>
        <w:jc w:val="both"/>
      </w:pPr>
      <w:r>
        <w:rPr>
          <w:rStyle w:val="FootnoteReference"/>
          <w:rtl w:val="1"/>
        </w:rPr>
        <w:footnoteRef/>
      </w:r>
      <w:r>
        <w:rPr>
          <w:rFonts w:ascii="Times New Roman" w:hAnsi="Times New Roman" w:cs="B Nazanin"/>
          <w:sz w:val="22"/>
          <w:szCs w:val="22"/>
          <w:rtl w:val="1"/>
        </w:rPr>
        <w:t xml:space="preserve"> Plausible</w:t>
      </w:r>
    </w:p>
  </w:footnote>
  <w:footnote w:id="81">
    <w:p>
      <w:pPr>
        <w:pStyle w:val="FootnoteText"/>
        <w:bidi w:val="1"/>
        <w:jc w:val="both"/>
      </w:pPr>
      <w:r>
        <w:rPr>
          <w:rStyle w:val="FootnoteReference"/>
          <w:rtl w:val="1"/>
        </w:rPr>
        <w:footnoteRef/>
      </w:r>
      <w:r>
        <w:rPr>
          <w:rFonts w:ascii="Times New Roman" w:hAnsi="Times New Roman" w:cs="B Nazanin"/>
          <w:sz w:val="22"/>
          <w:szCs w:val="22"/>
          <w:rtl w:val="1"/>
        </w:rPr>
        <w:t xml:space="preserve"> Probable</w:t>
      </w:r>
    </w:p>
  </w:footnote>
  <w:footnote w:id="82">
    <w:p>
      <w:pPr>
        <w:pStyle w:val="FootnoteText"/>
        <w:bidi w:val="1"/>
        <w:jc w:val="both"/>
      </w:pPr>
      <w:r>
        <w:rPr>
          <w:rStyle w:val="FootnoteReference"/>
          <w:rtl w:val="1"/>
        </w:rPr>
        <w:footnoteRef/>
      </w:r>
      <w:r>
        <w:rPr>
          <w:rFonts w:ascii="Times New Roman" w:hAnsi="Times New Roman" w:cs="B Nazanin"/>
          <w:sz w:val="22"/>
          <w:szCs w:val="22"/>
          <w:rtl w:val="1"/>
        </w:rPr>
        <w:t xml:space="preserve"> Preferable</w:t>
      </w:r>
    </w:p>
  </w:footnote>
  <w:footnote w:id="83">
    <w:p>
      <w:pPr>
        <w:pStyle w:val="FootnoteText"/>
        <w:bidi w:val="1"/>
        <w:jc w:val="both"/>
      </w:pPr>
      <w:r>
        <w:rPr>
          <w:rStyle w:val="FootnoteReference"/>
          <w:rtl w:val="1"/>
        </w:rPr>
        <w:footnoteRef/>
      </w:r>
      <w:r>
        <w:rPr>
          <w:rFonts w:ascii="Times New Roman" w:hAnsi="Times New Roman" w:cs="B Nazanin"/>
          <w:sz w:val="22"/>
          <w:szCs w:val="22"/>
          <w:rtl w:val="1"/>
        </w:rPr>
        <w:t xml:space="preserve"> Cognitive</w:t>
      </w:r>
    </w:p>
  </w:footnote>
  <w:footnote w:id="84">
    <w:p>
      <w:pPr>
        <w:pStyle w:val="FootnoteText"/>
        <w:bidi w:val="1"/>
        <w:jc w:val="both"/>
      </w:pPr>
      <w:r>
        <w:rPr>
          <w:rStyle w:val="FootnoteReference"/>
          <w:rtl w:val="1"/>
        </w:rPr>
        <w:footnoteRef/>
      </w:r>
      <w:r>
        <w:rPr>
          <w:rFonts w:ascii="Times New Roman" w:hAnsi="Times New Roman" w:cs="B Nazanin"/>
          <w:sz w:val="22"/>
          <w:szCs w:val="22"/>
          <w:rtl w:val="1"/>
        </w:rPr>
        <w:t xml:space="preserve"> Subjective</w:t>
      </w:r>
    </w:p>
  </w:footnote>
  <w:footnote w:id="85">
    <w:p>
      <w:pPr>
        <w:pStyle w:val="FootnoteText"/>
        <w:bidi w:val="1"/>
        <w:jc w:val="both"/>
      </w:pPr>
      <w:r>
        <w:rPr>
          <w:rStyle w:val="FootnoteReference"/>
          <w:rtl w:val="1"/>
        </w:rPr>
        <w:footnoteRef/>
      </w:r>
      <w:r>
        <w:rPr>
          <w:rFonts w:ascii="Times New Roman" w:hAnsi="Times New Roman" w:cs="B Nazanin"/>
          <w:sz w:val="22"/>
          <w:szCs w:val="22"/>
          <w:rtl w:val="1"/>
        </w:rPr>
        <w:t xml:space="preserve"> Objective</w:t>
      </w:r>
    </w:p>
  </w:footnote>
  <w:footnote w:id="86">
    <w:p>
      <w:pPr>
        <w:pStyle w:val="FootnoteText"/>
        <w:bidi w:val="1"/>
        <w:jc w:val="both"/>
      </w:pPr>
      <w:r>
        <w:rPr>
          <w:rStyle w:val="FootnoteReference"/>
          <w:rtl w:val="1"/>
        </w:rPr>
        <w:footnoteRef/>
      </w:r>
      <w:r>
        <w:rPr>
          <w:rFonts w:ascii="Times New Roman" w:hAnsi="Times New Roman" w:cs="B Nazanin"/>
          <w:sz w:val="22"/>
          <w:szCs w:val="22"/>
          <w:rtl w:val="1"/>
        </w:rPr>
        <w:t xml:space="preserve"> Extent present</w:t>
      </w:r>
    </w:p>
  </w:footnote>
  <w:footnote w:id="87">
    <w:p>
      <w:pPr>
        <w:pStyle w:val="FootnoteText"/>
        <w:bidi w:val="1"/>
        <w:jc w:val="both"/>
      </w:pPr>
      <w:r>
        <w:rPr>
          <w:rStyle w:val="FootnoteReference"/>
          <w:rtl w:val="1"/>
        </w:rPr>
        <w:footnoteRef/>
      </w:r>
      <w:r>
        <w:rPr>
          <w:rFonts w:ascii="Times New Roman" w:hAnsi="Times New Roman" w:cs="B Nazanin"/>
          <w:sz w:val="22"/>
          <w:szCs w:val="22"/>
          <w:rtl w:val="1"/>
        </w:rPr>
        <w:t xml:space="preserve"> Canstitutionalization</w:t>
      </w:r>
    </w:p>
  </w:footnote>
  <w:footnote w:id="88">
    <w:p>
      <w:pPr>
        <w:pStyle w:val="FootnoteText"/>
        <w:bidi w:val="1"/>
        <w:jc w:val="both"/>
      </w:pPr>
      <w:r>
        <w:rPr>
          <w:rStyle w:val="FootnoteReference"/>
          <w:rtl w:val="1"/>
        </w:rPr>
        <w:footnoteRef/>
      </w:r>
      <w:r>
        <w:rPr>
          <w:rFonts w:ascii="Times New Roman" w:hAnsi="Times New Roman" w:cs="B Nazanin"/>
          <w:sz w:val="22"/>
          <w:szCs w:val="22"/>
          <w:rtl w:val="1"/>
        </w:rPr>
        <w:t xml:space="preserve"> Environmental impact assessment</w:t>
      </w:r>
    </w:p>
  </w:footnote>
  <w:footnote w:id="89">
    <w:p>
      <w:pPr>
        <w:pStyle w:val="FootnoteText"/>
        <w:bidi w:val="1"/>
        <w:jc w:val="both"/>
      </w:pPr>
      <w:r>
        <w:rPr>
          <w:rStyle w:val="FootnoteReference"/>
          <w:rtl w:val="1"/>
        </w:rPr>
        <w:footnoteRef/>
      </w:r>
      <w:r>
        <w:rPr>
          <w:rFonts w:ascii="Times New Roman" w:hAnsi="Times New Roman" w:cs="B Nazanin"/>
          <w:sz w:val="22"/>
          <w:szCs w:val="22"/>
          <w:rtl w:val="1"/>
        </w:rPr>
        <w:t xml:space="preserve"> mega-conferences</w:t>
      </w:r>
    </w:p>
  </w:footnote>
  <w:footnote w:id="90">
    <w:p>
      <w:pPr>
        <w:pStyle w:val="FootnoteText"/>
        <w:bidi w:val="1"/>
        <w:jc w:val="both"/>
      </w:pPr>
      <w:r>
        <w:rPr>
          <w:rStyle w:val="FootnoteReference"/>
          <w:rtl w:val="1"/>
        </w:rPr>
        <w:footnoteRef/>
      </w:r>
      <w:r>
        <w:rPr>
          <w:rFonts w:ascii="Times New Roman" w:hAnsi="Times New Roman" w:cs="B Nazanin"/>
          <w:sz w:val="22"/>
          <w:szCs w:val="22"/>
          <w:rtl w:val="1"/>
        </w:rPr>
        <w:t xml:space="preserve"> Tigre, M. A., The Evolution of International Environmental Law Amidst Political Gridlock: Environmental Rights as a Common Ground, SJD dissertation, Elisabeth Haub School of Law at Pace University, 2022, pp. 15–30.</w:t>
      </w:r>
    </w:p>
  </w:footnote>
  <w:footnote w:id="91">
    <w:p>
      <w:pPr>
        <w:pStyle w:val="FootnoteText"/>
        <w:bidi w:val="1"/>
        <w:jc w:val="both"/>
      </w:pPr>
      <w:r>
        <w:rPr>
          <w:rStyle w:val="FootnoteReference"/>
          <w:rtl w:val="1"/>
        </w:rPr>
        <w:footnoteRef/>
      </w:r>
      <w:r>
        <w:rPr>
          <w:rFonts w:ascii="Times New Roman" w:hAnsi="Times New Roman" w:cs="B Nazanin"/>
          <w:sz w:val="22"/>
          <w:szCs w:val="22"/>
          <w:rtl w:val="1"/>
        </w:rPr>
        <w:t xml:space="preserve"> برای گذارِ اصول از حقوق نرم به سخت به‌مثابه هدفِ طراحانِ پیمان: Aguila, Y. &amp; Viñuales, J. E. (eds.), A Global Pact for the Environment: Legal Foundations, C-EENRG, University of Cambridge, 2019.</w:t>
      </w:r>
    </w:p>
  </w:footnote>
  <w:footnote w:id="92">
    <w:p>
      <w:pPr>
        <w:pStyle w:val="FootnoteText"/>
        <w:bidi w:val="1"/>
        <w:jc w:val="both"/>
      </w:pPr>
      <w:r>
        <w:rPr>
          <w:rStyle w:val="FootnoteReference"/>
          <w:rtl w:val="1"/>
        </w:rPr>
        <w:footnoteRef/>
      </w:r>
      <w:r>
        <w:rPr>
          <w:rFonts w:ascii="Times New Roman" w:hAnsi="Times New Roman" w:cs="B Nazanin"/>
          <w:sz w:val="22"/>
          <w:szCs w:val="22"/>
          <w:rtl w:val="1"/>
        </w:rPr>
        <w:t xml:space="preserve"> Kim, R. E. &amp; Bosselmann, K., 'International Environmental Law in the Anthropocene: Towards a Purposive System of Multilateral Environmental Agreements', Transnational Environmental Law, 2(2), 2013, pp. 285–309; Damoah, B. et al., 'Stalemate in the Anthropocene', Preprints, 2026 (پیش‌چاپِ داوری‌نشده).</w:t>
      </w:r>
    </w:p>
  </w:footnote>
  <w:footnote w:id="93">
    <w:p>
      <w:pPr>
        <w:pStyle w:val="FootnoteText"/>
        <w:bidi w:val="1"/>
        <w:jc w:val="both"/>
      </w:pPr>
      <w:r>
        <w:rPr>
          <w:rStyle w:val="FootnoteReference"/>
          <w:rtl w:val="1"/>
        </w:rPr>
        <w:footnoteRef/>
      </w:r>
      <w:r>
        <w:rPr>
          <w:rFonts w:ascii="Times New Roman" w:hAnsi="Times New Roman" w:cs="B Nazanin"/>
          <w:sz w:val="22"/>
          <w:szCs w:val="22"/>
          <w:rtl w:val="1"/>
        </w:rPr>
        <w:t xml:space="preserve"> ILC, Conclusions of the work of the Study Group on the Fragmentation of International Law, 2006 (A/61/10, para. 251), conclusions (11)–(16) دربارهٔ «نظام‌های خودبسنده».</w:t>
      </w:r>
    </w:p>
  </w:footnote>
  <w:footnote w:id="94">
    <w:p>
      <w:pPr>
        <w:pStyle w:val="FootnoteText"/>
        <w:bidi w:val="1"/>
        <w:jc w:val="both"/>
      </w:pPr>
      <w:r>
        <w:rPr>
          <w:rStyle w:val="FootnoteReference"/>
          <w:rtl w:val="1"/>
        </w:rPr>
        <w:footnoteRef/>
      </w:r>
      <w:r>
        <w:rPr>
          <w:rFonts w:ascii="Times New Roman" w:hAnsi="Times New Roman" w:cs="B Nazanin"/>
          <w:sz w:val="22"/>
          <w:szCs w:val="22"/>
          <w:rtl w:val="1"/>
        </w:rPr>
        <w:t xml:space="preserve"> Chabason, L. &amp; Hege, E., 'Failure of the Global Pact for the Environment: a missed opportunity or a bullet dodged?', IDDRI, 28 May 2019.</w:t>
      </w:r>
    </w:p>
  </w:footnote>
  <w:footnote w:id="95">
    <w:p>
      <w:pPr>
        <w:pStyle w:val="FootnoteText"/>
        <w:bidi w:val="1"/>
        <w:jc w:val="both"/>
      </w:pPr>
      <w:r>
        <w:rPr>
          <w:rStyle w:val="FootnoteReference"/>
          <w:rtl w:val="1"/>
        </w:rPr>
        <w:footnoteRef/>
      </w:r>
      <w:r>
        <w:rPr>
          <w:rFonts w:ascii="Times New Roman" w:hAnsi="Times New Roman" w:cs="B Nazanin"/>
          <w:sz w:val="22"/>
          <w:szCs w:val="22"/>
          <w:rtl w:val="1"/>
        </w:rPr>
        <w:t xml:space="preserve"> ILC, Conclusions of the work of the Study Group on the Fragmentation of International Law: Difficulties arising from the Diversification and Expansion of International Law, adopted at the 58th session, 2006, reproduced in Yearbook of the ILC, 2006, vol. II, Part Two; and the analytical study A/CN.4/L.682 (Koskenniemi).</w:t>
      </w:r>
    </w:p>
  </w:footnote>
  <w:footnote w:id="96">
    <w:p>
      <w:pPr>
        <w:pStyle w:val="FootnoteText"/>
        <w:bidi w:val="1"/>
        <w:jc w:val="both"/>
      </w:pPr>
      <w:r>
        <w:rPr>
          <w:rStyle w:val="FootnoteReference"/>
          <w:rtl w:val="1"/>
        </w:rPr>
        <w:footnoteRef/>
      </w:r>
      <w:r>
        <w:rPr>
          <w:rFonts w:ascii="Times New Roman" w:hAnsi="Times New Roman" w:cs="B Nazanin"/>
          <w:sz w:val="22"/>
          <w:szCs w:val="22"/>
          <w:rtl w:val="1"/>
        </w:rPr>
        <w:t xml:space="preserve"> همان، نتیجه‌گیری‌های (۴) اصلِ هماهنگی، (۵)–(۱۰) قاعدهٔ خاصِ مقدم، و (۱۷)–(۱۸) یکپارچگیِ نظام‌مند ذیل مادهٔ ۳۱(۳)(ج) کنوانسیون وین.</w:t>
      </w:r>
    </w:p>
  </w:footnote>
  <w:footnote w:id="97">
    <w:p>
      <w:pPr>
        <w:pStyle w:val="FootnoteText"/>
        <w:bidi w:val="1"/>
        <w:jc w:val="both"/>
      </w:pPr>
      <w:r>
        <w:rPr>
          <w:rStyle w:val="FootnoteReference"/>
          <w:rtl w:val="1"/>
        </w:rPr>
        <w:footnoteRef/>
      </w:r>
      <w:r>
        <w:rPr>
          <w:rFonts w:ascii="Times New Roman" w:hAnsi="Times New Roman" w:cs="B Nazanin"/>
          <w:sz w:val="22"/>
          <w:szCs w:val="22"/>
          <w:rtl w:val="1"/>
        </w:rPr>
        <w:t xml:space="preserve"> A/RES/72/277</w:t>
      </w:r>
    </w:p>
  </w:footnote>
  <w:footnote w:id="98">
    <w:p>
      <w:pPr>
        <w:pStyle w:val="FootnoteText"/>
        <w:bidi w:val="1"/>
        <w:jc w:val="both"/>
      </w:pPr>
      <w:r>
        <w:rPr>
          <w:rStyle w:val="FootnoteReference"/>
          <w:rtl w:val="1"/>
        </w:rPr>
        <w:footnoteRef/>
      </w:r>
      <w:r>
        <w:rPr>
          <w:rFonts w:ascii="Times New Roman" w:hAnsi="Times New Roman" w:cs="B Nazanin"/>
          <w:sz w:val="22"/>
          <w:szCs w:val="22"/>
          <w:rtl w:val="1"/>
        </w:rPr>
        <w:t xml:space="preserve"> UN Doc A/RES/72/277 ,  para 1 :Requests the Secretary-General to submit to the General Assembly at its seventy-third session in 2018 a technical and evidence-based report that identifies and assesses possible gaps in international environmental law and environment-related instruments with a view to strengthening their implementation;</w:t>
      </w:r>
    </w:p>
  </w:footnote>
  <w:footnote w:id="99">
    <w:p>
      <w:pPr>
        <w:pStyle w:val="FootnoteText"/>
        <w:bidi w:val="1"/>
        <w:jc w:val="both"/>
      </w:pPr>
      <w:r>
        <w:rPr>
          <w:rStyle w:val="FootnoteReference"/>
          <w:rtl w:val="1"/>
        </w:rPr>
        <w:footnoteRef/>
      </w:r>
      <w:r>
        <w:rPr>
          <w:rFonts w:ascii="Times New Roman" w:hAnsi="Times New Roman" w:cs="B Nazanin"/>
          <w:sz w:val="22"/>
          <w:szCs w:val="22"/>
          <w:rtl w:val="1"/>
        </w:rPr>
        <w:t xml:space="preserve"> an ad hoc open ended working group (OEWG)</w:t>
      </w:r>
    </w:p>
  </w:footnote>
  <w:footnote w:id="100">
    <w:p>
      <w:pPr>
        <w:pStyle w:val="FootnoteText"/>
        <w:bidi w:val="1"/>
        <w:jc w:val="both"/>
      </w:pPr>
      <w:r>
        <w:rPr>
          <w:rStyle w:val="FootnoteReference"/>
          <w:rtl w:val="1"/>
        </w:rPr>
        <w:footnoteRef/>
      </w:r>
      <w:r>
        <w:rPr>
          <w:rFonts w:ascii="Times New Roman" w:hAnsi="Times New Roman" w:cs="B Nazanin"/>
          <w:sz w:val="22"/>
          <w:szCs w:val="22"/>
          <w:rtl w:val="1"/>
        </w:rPr>
        <w:t xml:space="preserve"> A/73/419, 30 November 2018, Report of the Secretary-General on Gaps in International Environmental Law and Environment-Related Instrumens: Towards a Global Pact for the Environment</w:t>
      </w:r>
    </w:p>
  </w:footnote>
  <w:footnote w:id="101">
    <w:p>
      <w:pPr>
        <w:pStyle w:val="FootnoteText"/>
        <w:bidi w:val="1"/>
        <w:jc w:val="both"/>
      </w:pPr>
      <w:r>
        <w:rPr>
          <w:rStyle w:val="FootnoteReference"/>
          <w:rtl w:val="1"/>
        </w:rPr>
        <w:footnoteRef/>
      </w:r>
      <w:r>
        <w:rPr>
          <w:rFonts w:ascii="Times New Roman" w:hAnsi="Times New Roman" w:cs="B Nazanin"/>
          <w:sz w:val="22"/>
          <w:szCs w:val="22"/>
          <w:rtl w:val="1"/>
        </w:rPr>
        <w:t xml:space="preserve"> sectoral</w:t>
      </w:r>
    </w:p>
  </w:footnote>
  <w:footnote w:id="102">
    <w:p>
      <w:pPr>
        <w:pStyle w:val="FootnoteText"/>
        <w:bidi w:val="1"/>
        <w:jc w:val="both"/>
      </w:pPr>
      <w:r>
        <w:rPr>
          <w:rStyle w:val="FootnoteReference"/>
          <w:rtl w:val="1"/>
        </w:rPr>
        <w:footnoteRef/>
      </w:r>
      <w:r>
        <w:rPr>
          <w:rFonts w:ascii="Times New Roman" w:hAnsi="Times New Roman" w:cs="B Nazanin"/>
          <w:sz w:val="22"/>
          <w:szCs w:val="22"/>
          <w:rtl w:val="1"/>
        </w:rPr>
        <w:t xml:space="preserve"> A/73/419, Para 1</w:t>
      </w:r>
    </w:p>
  </w:footnote>
  <w:footnote w:id="103">
    <w:p>
      <w:pPr>
        <w:pStyle w:val="FootnoteText"/>
        <w:bidi w:val="1"/>
        <w:jc w:val="both"/>
      </w:pPr>
      <w:r>
        <w:rPr>
          <w:rStyle w:val="FootnoteReference"/>
          <w:rtl w:val="1"/>
        </w:rPr>
        <w:footnoteRef/>
      </w:r>
      <w:r>
        <w:rPr>
          <w:rFonts w:ascii="Times New Roman" w:hAnsi="Times New Roman" w:cs="B Nazanin"/>
          <w:sz w:val="22"/>
          <w:szCs w:val="22"/>
          <w:rtl w:val="1"/>
        </w:rPr>
        <w:t xml:space="preserve"> Multilateral Environment Agreements (MEAs)</w:t>
      </w:r>
    </w:p>
  </w:footnote>
  <w:footnote w:id="104">
    <w:p>
      <w:pPr>
        <w:pStyle w:val="FootnoteText"/>
        <w:bidi w:val="1"/>
        <w:jc w:val="both"/>
      </w:pPr>
      <w:r>
        <w:rPr>
          <w:rStyle w:val="FootnoteReference"/>
          <w:rtl w:val="1"/>
        </w:rPr>
        <w:footnoteRef/>
      </w:r>
      <w:r>
        <w:rPr>
          <w:rFonts w:ascii="Times New Roman" w:hAnsi="Times New Roman" w:cs="B Nazanin"/>
          <w:sz w:val="22"/>
          <w:szCs w:val="22"/>
          <w:rtl w:val="1"/>
        </w:rPr>
        <w:t xml:space="preserve"> Ramsar Convention on Wetlands of International Importance Especially as Waterfowl Habitat</w:t>
      </w:r>
    </w:p>
  </w:footnote>
  <w:footnote w:id="105">
    <w:p>
      <w:pPr>
        <w:pStyle w:val="FootnoteText"/>
        <w:bidi w:val="1"/>
        <w:jc w:val="both"/>
      </w:pPr>
      <w:r>
        <w:rPr>
          <w:rStyle w:val="FootnoteReference"/>
          <w:rtl w:val="1"/>
        </w:rPr>
        <w:footnoteRef/>
      </w:r>
      <w:r>
        <w:rPr>
          <w:rFonts w:ascii="Times New Roman" w:hAnsi="Times New Roman" w:cs="B Nazanin"/>
          <w:sz w:val="22"/>
          <w:szCs w:val="22"/>
          <w:rtl w:val="1"/>
        </w:rPr>
        <w:t xml:space="preserve"> Convention on International Trade in Endangered Species of Wild Fauna and Flora (CITES)</w:t>
      </w:r>
    </w:p>
  </w:footnote>
  <w:footnote w:id="106">
    <w:p>
      <w:pPr>
        <w:pStyle w:val="FootnoteText"/>
        <w:bidi w:val="1"/>
        <w:jc w:val="both"/>
      </w:pPr>
      <w:r>
        <w:rPr>
          <w:rStyle w:val="FootnoteReference"/>
          <w:rtl w:val="1"/>
        </w:rPr>
        <w:footnoteRef/>
      </w:r>
      <w:r>
        <w:rPr>
          <w:rFonts w:ascii="Times New Roman" w:hAnsi="Times New Roman" w:cs="B Nazanin"/>
          <w:sz w:val="22"/>
          <w:szCs w:val="22"/>
          <w:rtl w:val="1"/>
        </w:rPr>
        <w:t xml:space="preserve"> International Union for Conservation of Nature (IUCN)</w:t>
      </w:r>
    </w:p>
  </w:footnote>
  <w:footnote w:id="107">
    <w:p>
      <w:pPr>
        <w:pStyle w:val="FootnoteText"/>
        <w:bidi w:val="1"/>
        <w:jc w:val="both"/>
      </w:pPr>
      <w:r>
        <w:rPr>
          <w:rStyle w:val="FootnoteReference"/>
          <w:rtl w:val="1"/>
        </w:rPr>
        <w:footnoteRef/>
      </w:r>
      <w:r>
        <w:rPr>
          <w:rFonts w:ascii="Times New Roman" w:hAnsi="Times New Roman" w:cs="B Nazanin"/>
          <w:sz w:val="22"/>
          <w:szCs w:val="22"/>
          <w:rtl w:val="1"/>
        </w:rPr>
        <w:t xml:space="preserve"> Annecoos Wiersema, The New International Law-Makers? Conferences of the Parties to Multilateral Environmental Agreements Multilateral Environmental Agreement, Michigan Journal of International Law, volume 31, issue 1, 2009, 231-287, 247.</w:t>
      </w:r>
    </w:p>
  </w:footnote>
  <w:footnote w:id="108">
    <w:p>
      <w:pPr>
        <w:pStyle w:val="FootnoteText"/>
        <w:bidi w:val="1"/>
        <w:jc w:val="both"/>
      </w:pPr>
      <w:r>
        <w:rPr>
          <w:rStyle w:val="FootnoteReference"/>
          <w:rtl w:val="1"/>
        </w:rPr>
        <w:footnoteRef/>
      </w:r>
      <w:r>
        <w:rPr>
          <w:rFonts w:ascii="Times New Roman" w:hAnsi="Times New Roman" w:cs="B Nazanin"/>
          <w:sz w:val="22"/>
          <w:szCs w:val="22"/>
          <w:rtl w:val="1"/>
        </w:rPr>
        <w:t xml:space="preserve"> A/73/419, para 2</w:t>
      </w:r>
    </w:p>
  </w:footnote>
  <w:footnote w:id="109">
    <w:p>
      <w:pPr>
        <w:pStyle w:val="FootnoteText"/>
        <w:bidi w:val="1"/>
        <w:jc w:val="both"/>
      </w:pPr>
      <w:r>
        <w:rPr>
          <w:rStyle w:val="FootnoteReference"/>
          <w:rtl w:val="1"/>
        </w:rPr>
        <w:footnoteRef/>
      </w:r>
      <w:r>
        <w:rPr>
          <w:rFonts w:ascii="Times New Roman" w:hAnsi="Times New Roman" w:cs="B Nazanin"/>
          <w:sz w:val="22"/>
          <w:szCs w:val="22"/>
          <w:rtl w:val="1"/>
        </w:rPr>
        <w:t xml:space="preserve"> sectoral regulatory regimes</w:t>
      </w:r>
    </w:p>
  </w:footnote>
  <w:footnote w:id="110">
    <w:p>
      <w:pPr>
        <w:pStyle w:val="FootnoteText"/>
        <w:bidi w:val="1"/>
        <w:jc w:val="both"/>
      </w:pPr>
      <w:r>
        <w:rPr>
          <w:rStyle w:val="FootnoteReference"/>
          <w:rtl w:val="1"/>
        </w:rPr>
        <w:footnoteRef/>
      </w:r>
      <w:r>
        <w:rPr>
          <w:rFonts w:ascii="Times New Roman" w:hAnsi="Times New Roman" w:cs="B Nazanin"/>
          <w:sz w:val="22"/>
          <w:szCs w:val="22"/>
          <w:rtl w:val="1"/>
        </w:rPr>
        <w:t xml:space="preserve"> A/73/419 , para 2</w:t>
      </w:r>
    </w:p>
  </w:footnote>
  <w:footnote w:id="111">
    <w:p>
      <w:pPr>
        <w:pStyle w:val="FootnoteText"/>
        <w:bidi w:val="1"/>
        <w:jc w:val="both"/>
      </w:pPr>
      <w:r>
        <w:rPr>
          <w:rStyle w:val="FootnoteReference"/>
          <w:rtl w:val="1"/>
        </w:rPr>
        <w:footnoteRef/>
      </w:r>
      <w:r>
        <w:rPr>
          <w:rFonts w:ascii="Times New Roman" w:hAnsi="Times New Roman" w:cs="B Nazanin"/>
          <w:sz w:val="22"/>
          <w:szCs w:val="22"/>
          <w:rtl w:val="1"/>
        </w:rPr>
        <w:t xml:space="preserve"> Fragmentation</w:t>
      </w:r>
    </w:p>
  </w:footnote>
  <w:footnote w:id="112">
    <w:p>
      <w:pPr>
        <w:pStyle w:val="FootnoteText"/>
        <w:bidi w:val="1"/>
        <w:jc w:val="both"/>
      </w:pPr>
      <w:r>
        <w:rPr>
          <w:rStyle w:val="FootnoteReference"/>
          <w:rtl w:val="1"/>
        </w:rPr>
        <w:footnoteRef/>
      </w:r>
      <w:r>
        <w:rPr>
          <w:rFonts w:ascii="Times New Roman" w:hAnsi="Times New Roman" w:cs="B Nazanin"/>
          <w:sz w:val="22"/>
          <w:szCs w:val="22"/>
          <w:rtl w:val="1"/>
        </w:rPr>
        <w:t xml:space="preserve"> Birnie, P., Boyle, A., &amp; Redgwell, C. (2009). International Law and the Environment. Oxford University Press  صفحه</w:t>
      </w:r>
    </w:p>
  </w:footnote>
  <w:footnote w:id="113">
    <w:p>
      <w:pPr>
        <w:pStyle w:val="FootnoteText"/>
        <w:bidi w:val="1"/>
        <w:jc w:val="both"/>
      </w:pPr>
      <w:r>
        <w:rPr>
          <w:rStyle w:val="FootnoteReference"/>
          <w:rtl w:val="1"/>
        </w:rPr>
        <w:footnoteRef/>
      </w:r>
      <w:r>
        <w:rPr>
          <w:rFonts w:ascii="Times New Roman" w:hAnsi="Times New Roman" w:cs="B Nazanin"/>
          <w:sz w:val="22"/>
          <w:szCs w:val="22"/>
          <w:rtl w:val="1"/>
        </w:rPr>
        <w:t xml:space="preserve"> منظور از کنوانسیون چارچوبی، سند چندجانبه الزامآور با ماهیت سازنده، در مقام ایجاد سیستم کلی در خصوص حکمرانی بینالمللی، بیانگر اصول اساسی همکاریهای بینالمللی در آینده از جمله اهداف، اصول کلیدی همکاری و ساختار حاکمیت همان چارچوب همکاری می باشد. مثال: کنوانسیون چارچوبی سازمان ملل در خصوص تغییر آب و هوایی    framework convention</w:t>
      </w:r>
    </w:p>
  </w:footnote>
  <w:footnote w:id="114">
    <w:p>
      <w:pPr>
        <w:pStyle w:val="FootnoteText"/>
        <w:bidi w:val="1"/>
        <w:jc w:val="both"/>
      </w:pPr>
      <w:r>
        <w:rPr>
          <w:rStyle w:val="FootnoteReference"/>
          <w:rtl w:val="1"/>
        </w:rPr>
        <w:footnoteRef/>
      </w:r>
      <w:r>
        <w:rPr>
          <w:rFonts w:ascii="Times New Roman" w:hAnsi="Times New Roman" w:cs="B Nazanin"/>
          <w:sz w:val="22"/>
          <w:szCs w:val="22"/>
          <w:rtl w:val="1"/>
        </w:rPr>
        <w:t xml:space="preserve"> منظور ازکنوانسیون چندجانبه و خاص ، کنوانسیونی الزامآور با شمول طیف وسیعی از موضوعات مرتبط، تنظیم قواعد خاص و ایجاد تعهد مشخص و الزامی، دارای سازوکار گزارش دهی و تبادل اطلاعات، مکانیزم نظارتی، سازوکار حل و فصل اختلاف است. تعهدات اصلی و برخی اقدامات کنترلی در بدنه کنوانسیون ظاهر می‌شوند و ممکن است با اقدامات کنترلی اضافی، مانند اطلاعات فنی و جزئیات اساسی موجود در یک یا چند ضمیمه، تکمیل یا تشریح شوند که بخشی جدایی‌ناپذیر از سند محسوب میشوند. مثال: کنوانسیون میناماتا در مورد جیوه          specific convention</w:t>
      </w:r>
    </w:p>
  </w:footnote>
  <w:footnote w:id="115">
    <w:p>
      <w:pPr>
        <w:pStyle w:val="FootnoteText"/>
        <w:bidi w:val="1"/>
        <w:jc w:val="both"/>
      </w:pPr>
      <w:r>
        <w:rPr>
          <w:rStyle w:val="FootnoteReference"/>
          <w:rtl w:val="1"/>
        </w:rPr>
        <w:footnoteRef/>
      </w:r>
      <w:r>
        <w:rPr>
          <w:rFonts w:ascii="Times New Roman" w:hAnsi="Times New Roman" w:cs="B Nazanin"/>
          <w:sz w:val="22"/>
          <w:szCs w:val="22"/>
          <w:rtl w:val="1"/>
        </w:rPr>
        <w:t xml:space="preserve"> A/73/419 , para 41</w:t>
      </w:r>
    </w:p>
  </w:footnote>
  <w:footnote w:id="116">
    <w:p>
      <w:pPr>
        <w:pStyle w:val="FootnoteText"/>
        <w:bidi w:val="1"/>
        <w:jc w:val="both"/>
      </w:pPr>
      <w:r>
        <w:rPr>
          <w:rStyle w:val="FootnoteReference"/>
          <w:rtl w:val="1"/>
        </w:rPr>
        <w:footnoteRef/>
      </w:r>
      <w:r>
        <w:rPr>
          <w:rFonts w:ascii="Times New Roman" w:hAnsi="Times New Roman" w:cs="B Nazanin"/>
          <w:sz w:val="22"/>
          <w:szCs w:val="22"/>
          <w:rtl w:val="1"/>
        </w:rPr>
        <w:t xml:space="preserve"> A/73/419 , para 29</w:t>
      </w:r>
    </w:p>
  </w:footnote>
  <w:footnote w:id="117">
    <w:p>
      <w:pPr>
        <w:pStyle w:val="FootnoteText"/>
        <w:bidi w:val="1"/>
        <w:jc w:val="both"/>
      </w:pPr>
      <w:r>
        <w:rPr>
          <w:rStyle w:val="FootnoteReference"/>
          <w:rtl w:val="1"/>
        </w:rPr>
        <w:footnoteRef/>
      </w:r>
      <w:r>
        <w:rPr>
          <w:rFonts w:ascii="Times New Roman" w:hAnsi="Times New Roman" w:cs="B Nazanin"/>
          <w:sz w:val="22"/>
          <w:szCs w:val="22"/>
          <w:rtl w:val="1"/>
        </w:rPr>
        <w:t xml:space="preserve"> کتاب مبانی حقوق بین الملل محیط زیست، ص 98</w:t>
      </w:r>
    </w:p>
  </w:footnote>
  <w:footnote w:id="118">
    <w:p>
      <w:pPr>
        <w:pStyle w:val="FootnoteText"/>
        <w:bidi w:val="1"/>
        <w:jc w:val="both"/>
      </w:pPr>
      <w:r>
        <w:rPr>
          <w:rStyle w:val="FootnoteReference"/>
          <w:rtl w:val="1"/>
        </w:rPr>
        <w:footnoteRef/>
      </w:r>
      <w:r>
        <w:rPr>
          <w:rFonts w:ascii="Times New Roman" w:hAnsi="Times New Roman" w:cs="B Nazanin"/>
          <w:sz w:val="22"/>
          <w:szCs w:val="22"/>
          <w:rtl w:val="1"/>
        </w:rPr>
        <w:t xml:space="preserve"> State Practice</w:t>
      </w:r>
    </w:p>
  </w:footnote>
  <w:footnote w:id="119">
    <w:p>
      <w:pPr>
        <w:pStyle w:val="FootnoteText"/>
        <w:bidi w:val="1"/>
        <w:jc w:val="both"/>
      </w:pPr>
      <w:r>
        <w:rPr>
          <w:rStyle w:val="FootnoteReference"/>
          <w:rtl w:val="1"/>
        </w:rPr>
        <w:footnoteRef/>
      </w:r>
      <w:r>
        <w:rPr>
          <w:rFonts w:ascii="Times New Roman" w:hAnsi="Times New Roman" w:cs="B Nazanin"/>
          <w:sz w:val="22"/>
          <w:szCs w:val="22"/>
          <w:rtl w:val="1"/>
        </w:rPr>
        <w:t xml:space="preserve"> Opinio Juris</w:t>
      </w:r>
    </w:p>
  </w:footnote>
  <w:footnote w:id="120">
    <w:p>
      <w:pPr>
        <w:pStyle w:val="FootnoteText"/>
        <w:bidi w:val="1"/>
        <w:jc w:val="both"/>
      </w:pPr>
      <w:r>
        <w:rPr>
          <w:rStyle w:val="FootnoteReference"/>
          <w:rtl w:val="1"/>
        </w:rPr>
        <w:footnoteRef/>
      </w:r>
      <w:r>
        <w:rPr>
          <w:rFonts w:ascii="Times New Roman" w:hAnsi="Times New Roman" w:cs="B Nazanin"/>
          <w:sz w:val="22"/>
          <w:szCs w:val="22"/>
          <w:rtl w:val="1"/>
        </w:rPr>
        <w:t xml:space="preserve"> Bodansky, D. (2011). The Art and Craft of International Environmental Law. Harvard University Press.صفحه</w:t>
      </w:r>
    </w:p>
  </w:footnote>
  <w:footnote w:id="121">
    <w:p>
      <w:pPr>
        <w:pStyle w:val="FootnoteText"/>
        <w:bidi w:val="1"/>
        <w:jc w:val="both"/>
      </w:pPr>
      <w:r>
        <w:rPr>
          <w:rStyle w:val="FootnoteReference"/>
          <w:rtl w:val="1"/>
        </w:rPr>
        <w:footnoteRef/>
      </w:r>
      <w:r>
        <w:rPr>
          <w:rFonts w:ascii="Times New Roman" w:hAnsi="Times New Roman" w:cs="B Nazanin"/>
          <w:sz w:val="22"/>
          <w:szCs w:val="22"/>
          <w:rtl w:val="1"/>
        </w:rPr>
        <w:t xml:space="preserve"> Sands, P., Peel, J., Fabra, A., &amp; MacKenzie, R. (2018). Principles of International Environmental Law. Cambridge University Press.صفحه</w:t>
      </w:r>
    </w:p>
  </w:footnote>
  <w:footnote w:id="122">
    <w:p>
      <w:pPr>
        <w:pStyle w:val="FootnoteText"/>
        <w:bidi w:val="1"/>
        <w:jc w:val="both"/>
      </w:pPr>
      <w:r>
        <w:rPr>
          <w:rStyle w:val="FootnoteReference"/>
          <w:rtl w:val="1"/>
        </w:rPr>
        <w:footnoteRef/>
      </w:r>
      <w:r>
        <w:rPr>
          <w:rFonts w:ascii="Times New Roman" w:hAnsi="Times New Roman" w:cs="B Nazanin"/>
          <w:sz w:val="22"/>
          <w:szCs w:val="22"/>
          <w:rtl w:val="1"/>
        </w:rPr>
        <w:t xml:space="preserve"> موسوی، سید فضل اله و سید حسین موسوی فر، اختلاف زیست محیطی آرژانتین و اروگوئه (2010)؛ تبیین برخی مباحث و اصول، فصلنامه مطالعات حقوق عمومی، دوره 45، ماره 4، زمستان 1394: 608- 589 ، ص 601</w:t>
      </w:r>
    </w:p>
  </w:footnote>
  <w:footnote w:id="123">
    <w:p>
      <w:pPr>
        <w:pStyle w:val="FootnoteText"/>
        <w:bidi w:val="1"/>
        <w:jc w:val="both"/>
      </w:pPr>
      <w:r>
        <w:rPr>
          <w:rStyle w:val="FootnoteReference"/>
          <w:rtl w:val="1"/>
        </w:rPr>
        <w:footnoteRef/>
      </w:r>
      <w:r>
        <w:rPr>
          <w:rFonts w:ascii="Times New Roman" w:hAnsi="Times New Roman" w:cs="B Nazanin"/>
          <w:sz w:val="22"/>
          <w:szCs w:val="22"/>
          <w:rtl w:val="1"/>
        </w:rPr>
        <w:t xml:space="preserve"> الهویی نظری، حمید، جایگاه اصول کلی حقوقی در آرای دیوان بین المللی دادگستری، فصلنامه حقوق، مجله حقوق و علوم سیاسی، دوره 43، شماره 4، 1392، صص 55 -37 ، ص. 52</w:t>
      </w:r>
    </w:p>
  </w:footnote>
  <w:footnote w:id="124">
    <w:p>
      <w:pPr>
        <w:pStyle w:val="FootnoteText"/>
        <w:bidi w:val="1"/>
        <w:jc w:val="both"/>
      </w:pPr>
      <w:r>
        <w:rPr>
          <w:rStyle w:val="FootnoteReference"/>
          <w:rtl w:val="1"/>
        </w:rPr>
        <w:footnoteRef/>
      </w:r>
      <w:r>
        <w:rPr>
          <w:rFonts w:ascii="Times New Roman" w:hAnsi="Times New Roman" w:cs="B Nazanin"/>
          <w:sz w:val="22"/>
          <w:szCs w:val="22"/>
          <w:rtl w:val="1"/>
        </w:rPr>
        <w:t xml:space="preserve"> کتاب مبانی حقوق بین الملل محیط زیست، ص 60</w:t>
      </w:r>
    </w:p>
  </w:footnote>
  <w:footnote w:id="125">
    <w:p>
      <w:pPr>
        <w:pStyle w:val="FootnoteText"/>
        <w:bidi w:val="1"/>
        <w:jc w:val="both"/>
      </w:pPr>
      <w:r>
        <w:rPr>
          <w:rStyle w:val="FootnoteReference"/>
          <w:rtl w:val="1"/>
        </w:rPr>
        <w:footnoteRef/>
      </w:r>
      <w:r>
        <w:rPr>
          <w:rFonts w:ascii="Times New Roman" w:hAnsi="Times New Roman" w:cs="B Nazanin"/>
          <w:sz w:val="22"/>
          <w:szCs w:val="22"/>
          <w:rtl w:val="1"/>
        </w:rPr>
        <w:t xml:space="preserve"> کتاب مبانی حقوق بین الملل محیط زیست، ص 97</w:t>
      </w:r>
    </w:p>
  </w:footnote>
  <w:footnote w:id="126">
    <w:p>
      <w:pPr>
        <w:pStyle w:val="FootnoteText"/>
        <w:bidi w:val="1"/>
        <w:jc w:val="both"/>
      </w:pPr>
      <w:r>
        <w:rPr>
          <w:rStyle w:val="FootnoteReference"/>
          <w:rtl w:val="1"/>
        </w:rPr>
        <w:footnoteRef/>
      </w:r>
      <w:r>
        <w:rPr>
          <w:rFonts w:ascii="Times New Roman" w:hAnsi="Times New Roman" w:cs="B Nazanin"/>
          <w:sz w:val="22"/>
          <w:szCs w:val="22"/>
          <w:rtl w:val="1"/>
        </w:rPr>
        <w:t xml:space="preserve"> کتاب مبانی حقوق بین الملل محیط زیستف صص 95 و 96</w:t>
      </w:r>
    </w:p>
  </w:footnote>
  <w:footnote w:id="127">
    <w:p>
      <w:pPr>
        <w:pStyle w:val="FootnoteText"/>
        <w:bidi w:val="1"/>
        <w:jc w:val="both"/>
      </w:pPr>
      <w:r>
        <w:rPr>
          <w:rStyle w:val="FootnoteReference"/>
          <w:rtl w:val="1"/>
        </w:rPr>
        <w:footnoteRef/>
      </w:r>
      <w:r>
        <w:rPr>
          <w:rFonts w:ascii="Times New Roman" w:hAnsi="Times New Roman" w:cs="B Nazanin"/>
          <w:sz w:val="22"/>
          <w:szCs w:val="22"/>
          <w:rtl w:val="1"/>
        </w:rPr>
        <w:t xml:space="preserve"> کتاب مبانی حقوق بین الملل محیط زیست ، ص 97</w:t>
      </w:r>
    </w:p>
  </w:footnote>
  <w:footnote w:id="128">
    <w:p>
      <w:pPr>
        <w:pStyle w:val="FootnoteText"/>
        <w:bidi w:val="1"/>
        <w:jc w:val="both"/>
      </w:pPr>
      <w:r>
        <w:rPr>
          <w:rStyle w:val="FootnoteReference"/>
          <w:rtl w:val="1"/>
        </w:rPr>
        <w:footnoteRef/>
      </w:r>
      <w:r>
        <w:rPr>
          <w:rFonts w:ascii="Times New Roman" w:hAnsi="Times New Roman" w:cs="B Nazanin"/>
          <w:sz w:val="22"/>
          <w:szCs w:val="22"/>
          <w:rtl w:val="1"/>
        </w:rPr>
        <w:t xml:space="preserve"> البته در زمینه اصول کلی حقوقی تقسیم کلیتر دیگری نیز از منظر خاستگاه اصول مطرح بوده است. به این ترتیب که کمیسیون حقوق بینالملل در نخستین گزارش گزارشگر بر موضوع اصول کلی حقوقی اظهار نموده است « اصول کلی شامل دو دسته اند: اصولی که از نظامهای حقوقی برگرفته شدهاند و اصولی که در داخل نظام حقوقی بینالمللی شکل میگیرند.» جهت مطالعه بیشتر در این خصوص رک به: عابدینی، عبدالله، رویکرد ایران به طرح اصول کلی حقوق در کمیسیون حقوق بینالملل، فصلنامه علمی پژوهش حقوق عمومی، دوره 26، شماره 83، تابستان 1403، 32 -1 ، ص 11</w:t>
      </w:r>
    </w:p>
  </w:footnote>
  <w:footnote w:id="129">
    <w:p>
      <w:pPr>
        <w:pStyle w:val="FootnoteText"/>
        <w:bidi w:val="1"/>
        <w:jc w:val="both"/>
      </w:pPr>
      <w:r>
        <w:rPr>
          <w:rStyle w:val="FootnoteReference"/>
          <w:rtl w:val="1"/>
        </w:rPr>
        <w:footnoteRef/>
      </w:r>
      <w:r>
        <w:rPr>
          <w:rFonts w:ascii="Times New Roman" w:hAnsi="Times New Roman" w:cs="B Nazanin"/>
          <w:sz w:val="22"/>
          <w:szCs w:val="22"/>
          <w:rtl w:val="1"/>
        </w:rPr>
        <w:t xml:space="preserve"> کتاب دکتر شریفی طرازکوهی حقوق بین الملل  صص 280 تا 282</w:t>
      </w:r>
    </w:p>
  </w:footnote>
  <w:footnote w:id="130">
    <w:p>
      <w:pPr>
        <w:pStyle w:val="FootnoteText"/>
        <w:bidi w:val="1"/>
        <w:jc w:val="both"/>
      </w:pPr>
      <w:r>
        <w:rPr>
          <w:rStyle w:val="FootnoteReference"/>
          <w:rtl w:val="1"/>
        </w:rPr>
        <w:footnoteRef/>
      </w:r>
      <w:r>
        <w:rPr>
          <w:rFonts w:ascii="Times New Roman" w:hAnsi="Times New Roman" w:cs="B Nazanin"/>
          <w:sz w:val="22"/>
          <w:szCs w:val="22"/>
          <w:rtl w:val="1"/>
        </w:rPr>
        <w:t xml:space="preserve"> Substantial principles</w:t>
      </w:r>
    </w:p>
  </w:footnote>
  <w:footnote w:id="131">
    <w:p>
      <w:pPr>
        <w:pStyle w:val="FootnoteText"/>
        <w:bidi w:val="1"/>
        <w:jc w:val="both"/>
      </w:pPr>
      <w:r>
        <w:rPr>
          <w:rStyle w:val="FootnoteReference"/>
          <w:rtl w:val="1"/>
        </w:rPr>
        <w:footnoteRef/>
      </w:r>
      <w:r>
        <w:rPr>
          <w:rFonts w:ascii="Times New Roman" w:hAnsi="Times New Roman" w:cs="B Nazanin"/>
          <w:sz w:val="22"/>
          <w:szCs w:val="22"/>
          <w:rtl w:val="1"/>
        </w:rPr>
        <w:t xml:space="preserve"> Guiding Principles</w:t>
      </w:r>
    </w:p>
  </w:footnote>
  <w:footnote w:id="132">
    <w:p>
      <w:pPr>
        <w:pStyle w:val="FootnoteText"/>
        <w:bidi w:val="1"/>
        <w:jc w:val="both"/>
      </w:pPr>
      <w:r>
        <w:rPr>
          <w:rStyle w:val="FootnoteReference"/>
          <w:rtl w:val="1"/>
        </w:rPr>
        <w:footnoteRef/>
      </w:r>
      <w:r>
        <w:rPr>
          <w:rFonts w:ascii="Times New Roman" w:hAnsi="Times New Roman" w:cs="B Nazanin"/>
          <w:sz w:val="22"/>
          <w:szCs w:val="22"/>
          <w:rtl w:val="1"/>
        </w:rPr>
        <w:t xml:space="preserve"> Supplementary Principles</w:t>
      </w:r>
    </w:p>
  </w:footnote>
  <w:footnote w:id="133">
    <w:p>
      <w:pPr>
        <w:pStyle w:val="FootnoteText"/>
        <w:bidi w:val="1"/>
        <w:jc w:val="both"/>
      </w:pPr>
      <w:r>
        <w:rPr>
          <w:rStyle w:val="FootnoteReference"/>
          <w:rtl w:val="1"/>
        </w:rPr>
        <w:footnoteRef/>
      </w:r>
      <w:r>
        <w:rPr>
          <w:rFonts w:ascii="Times New Roman" w:hAnsi="Times New Roman" w:cs="B Nazanin"/>
          <w:sz w:val="22"/>
          <w:szCs w:val="22"/>
          <w:rtl w:val="1"/>
        </w:rPr>
        <w:t xml:space="preserve"> Interpretative Principles</w:t>
      </w:r>
    </w:p>
  </w:footnote>
  <w:footnote w:id="134">
    <w:p>
      <w:pPr>
        <w:pStyle w:val="FootnoteText"/>
        <w:bidi w:val="1"/>
        <w:jc w:val="both"/>
      </w:pPr>
      <w:r>
        <w:rPr>
          <w:rStyle w:val="FootnoteReference"/>
          <w:rtl w:val="1"/>
        </w:rPr>
        <w:footnoteRef/>
      </w:r>
      <w:r>
        <w:rPr>
          <w:rFonts w:ascii="Times New Roman" w:hAnsi="Times New Roman" w:cs="B Nazanin"/>
          <w:sz w:val="22"/>
          <w:szCs w:val="22"/>
          <w:rtl w:val="1"/>
        </w:rPr>
        <w:t xml:space="preserve"> محمودی کردی، زهرا، ماهیت اصول کلی حقوقی و کارکردهای آن در حقوق بین الملل، مجله حقوقی بین المللی، شماره 58، بهار-تابستان 1397، 364 -329،   ص 345</w:t>
      </w:r>
    </w:p>
  </w:footnote>
  <w:footnote w:id="135">
    <w:p>
      <w:pPr>
        <w:pStyle w:val="FootnoteText"/>
        <w:bidi w:val="1"/>
        <w:jc w:val="both"/>
      </w:pPr>
      <w:r>
        <w:rPr>
          <w:rStyle w:val="FootnoteReference"/>
          <w:rtl w:val="1"/>
        </w:rPr>
        <w:footnoteRef/>
      </w:r>
      <w:r>
        <w:rPr>
          <w:rFonts w:ascii="Times New Roman" w:hAnsi="Times New Roman" w:cs="B Nazanin"/>
          <w:sz w:val="22"/>
          <w:szCs w:val="22"/>
          <w:rtl w:val="1"/>
        </w:rPr>
        <w:t xml:space="preserve"> مقاله خانم زهرا کردی   صص 349 -348</w:t>
      </w:r>
    </w:p>
  </w:footnote>
  <w:footnote w:id="136">
    <w:p>
      <w:pPr>
        <w:pStyle w:val="FootnoteText"/>
        <w:bidi w:val="1"/>
        <w:jc w:val="both"/>
      </w:pPr>
      <w:r>
        <w:rPr>
          <w:rStyle w:val="FootnoteReference"/>
          <w:rtl w:val="1"/>
        </w:rPr>
        <w:footnoteRef/>
      </w:r>
      <w:r>
        <w:rPr>
          <w:rFonts w:ascii="Times New Roman" w:hAnsi="Times New Roman" w:cs="B Nazanin"/>
          <w:sz w:val="22"/>
          <w:szCs w:val="22"/>
          <w:rtl w:val="1"/>
        </w:rPr>
        <w:t xml:space="preserve"> مقاله خانم زهرا کردی ص 352</w:t>
      </w:r>
    </w:p>
  </w:footnote>
  <w:footnote w:id="137">
    <w:p>
      <w:pPr>
        <w:pStyle w:val="FootnoteText"/>
        <w:bidi w:val="1"/>
        <w:jc w:val="both"/>
      </w:pPr>
      <w:r>
        <w:rPr>
          <w:rStyle w:val="FootnoteReference"/>
          <w:rtl w:val="1"/>
        </w:rPr>
        <w:footnoteRef/>
      </w:r>
      <w:r>
        <w:rPr>
          <w:rFonts w:ascii="Times New Roman" w:hAnsi="Times New Roman" w:cs="B Nazanin"/>
          <w:sz w:val="22"/>
          <w:szCs w:val="22"/>
          <w:rtl w:val="1"/>
        </w:rPr>
        <w:t xml:space="preserve"> کتاب مبانی حقوق بین الملل محیط زیست ، ص 96</w:t>
      </w:r>
    </w:p>
  </w:footnote>
  <w:footnote w:id="138">
    <w:p>
      <w:pPr>
        <w:pStyle w:val="FootnoteText"/>
        <w:bidi w:val="1"/>
        <w:jc w:val="both"/>
      </w:pPr>
      <w:r>
        <w:rPr>
          <w:rStyle w:val="FootnoteReference"/>
          <w:rtl w:val="1"/>
        </w:rPr>
        <w:footnoteRef/>
      </w:r>
      <w:r>
        <w:rPr>
          <w:rFonts w:ascii="Times New Roman" w:hAnsi="Times New Roman" w:cs="B Nazanin"/>
          <w:sz w:val="22"/>
          <w:szCs w:val="22"/>
          <w:rtl w:val="1"/>
        </w:rPr>
        <w:t xml:space="preserve"> Tagwadin, Danil Akbar, Intentational Environmental Law: Development, Principles and Mechanism, Aceh’s Legal Studies, 2014, 1- 16, p.9.</w:t>
      </w:r>
    </w:p>
  </w:footnote>
  <w:footnote w:id="139">
    <w:p>
      <w:pPr>
        <w:pStyle w:val="FootnoteText"/>
        <w:bidi w:val="1"/>
        <w:jc w:val="both"/>
      </w:pPr>
      <w:r>
        <w:rPr>
          <w:rStyle w:val="FootnoteReference"/>
          <w:rtl w:val="1"/>
        </w:rPr>
        <w:footnoteRef/>
      </w:r>
      <w:r>
        <w:rPr>
          <w:rFonts w:ascii="Times New Roman" w:hAnsi="Times New Roman" w:cs="B Nazanin"/>
          <w:sz w:val="22"/>
          <w:szCs w:val="22"/>
          <w:rtl w:val="1"/>
        </w:rPr>
        <w:t xml:space="preserve"> کتاب شریفی ص 280</w:t>
      </w:r>
    </w:p>
  </w:footnote>
  <w:footnote w:id="140">
    <w:p>
      <w:pPr>
        <w:pStyle w:val="FootnoteText"/>
        <w:bidi w:val="1"/>
        <w:jc w:val="both"/>
      </w:pPr>
      <w:r>
        <w:rPr>
          <w:rStyle w:val="FootnoteReference"/>
          <w:rtl w:val="1"/>
        </w:rPr>
        <w:footnoteRef/>
      </w:r>
      <w:r>
        <w:rPr>
          <w:rFonts w:ascii="Times New Roman" w:hAnsi="Times New Roman" w:cs="B Nazanin"/>
          <w:sz w:val="22"/>
          <w:szCs w:val="22"/>
          <w:rtl w:val="1"/>
        </w:rPr>
        <w:t xml:space="preserve"> کتاب شریفی ص 280</w:t>
      </w:r>
    </w:p>
  </w:footnote>
  <w:footnote w:id="141">
    <w:p>
      <w:pPr>
        <w:pStyle w:val="FootnoteText"/>
        <w:bidi w:val="1"/>
        <w:jc w:val="both"/>
      </w:pPr>
      <w:r>
        <w:rPr>
          <w:rStyle w:val="FootnoteReference"/>
          <w:rtl w:val="1"/>
        </w:rPr>
        <w:footnoteRef/>
      </w:r>
      <w:r>
        <w:rPr>
          <w:rFonts w:ascii="Times New Roman" w:hAnsi="Times New Roman" w:cs="B Nazanin"/>
          <w:sz w:val="22"/>
          <w:szCs w:val="22"/>
          <w:rtl w:val="1"/>
        </w:rPr>
        <w:t xml:space="preserve"> کتاب شریفی ص. 294</w:t>
      </w:r>
    </w:p>
  </w:footnote>
  <w:footnote w:id="142">
    <w:p>
      <w:pPr>
        <w:pStyle w:val="FootnoteText"/>
        <w:bidi w:val="1"/>
        <w:jc w:val="both"/>
      </w:pPr>
      <w:r>
        <w:rPr>
          <w:rStyle w:val="FootnoteReference"/>
          <w:rtl w:val="1"/>
        </w:rPr>
        <w:footnoteRef/>
      </w:r>
      <w:r>
        <w:rPr>
          <w:rFonts w:ascii="Times New Roman" w:hAnsi="Times New Roman" w:cs="B Nazanin"/>
          <w:sz w:val="22"/>
          <w:szCs w:val="22"/>
          <w:rtl w:val="1"/>
        </w:rPr>
        <w:t xml:space="preserve"> United Nations Conference on the Human Environment , also known as the Stockholm Conference</w:t>
      </w:r>
    </w:p>
  </w:footnote>
  <w:footnote w:id="143">
    <w:p>
      <w:pPr>
        <w:pStyle w:val="FootnoteText"/>
        <w:bidi w:val="1"/>
        <w:jc w:val="both"/>
      </w:pPr>
      <w:r>
        <w:rPr>
          <w:rStyle w:val="FootnoteReference"/>
          <w:rtl w:val="1"/>
        </w:rPr>
        <w:footnoteRef/>
      </w:r>
      <w:r>
        <w:rPr>
          <w:rFonts w:ascii="Times New Roman" w:hAnsi="Times New Roman" w:cs="B Nazanin"/>
          <w:sz w:val="22"/>
          <w:szCs w:val="22"/>
          <w:rtl w:val="1"/>
        </w:rPr>
        <w:t xml:space="preserve"> UNEP handbook,2024,..................p.23</w:t>
      </w:r>
    </w:p>
  </w:footnote>
  <w:footnote w:id="144">
    <w:p>
      <w:pPr>
        <w:pStyle w:val="FootnoteText"/>
        <w:bidi w:val="1"/>
        <w:jc w:val="both"/>
      </w:pPr>
      <w:r>
        <w:rPr>
          <w:rStyle w:val="FootnoteReference"/>
          <w:rtl w:val="1"/>
        </w:rPr>
        <w:footnoteRef/>
      </w:r>
      <w:r>
        <w:rPr>
          <w:rFonts w:ascii="Times New Roman" w:hAnsi="Times New Roman" w:cs="B Nazanin"/>
          <w:sz w:val="22"/>
          <w:szCs w:val="22"/>
          <w:rtl w:val="1"/>
        </w:rPr>
        <w:t xml:space="preserve"> United Nations Conference on Environment and Development, also known as the Rio Earth Summit</w:t>
      </w:r>
    </w:p>
  </w:footnote>
  <w:footnote w:id="145">
    <w:p>
      <w:pPr>
        <w:pStyle w:val="FootnoteText"/>
        <w:bidi w:val="1"/>
        <w:jc w:val="both"/>
      </w:pPr>
      <w:r>
        <w:rPr>
          <w:rStyle w:val="FootnoteReference"/>
          <w:rtl w:val="1"/>
        </w:rPr>
        <w:footnoteRef/>
      </w:r>
      <w:r>
        <w:rPr>
          <w:rFonts w:ascii="Times New Roman" w:hAnsi="Times New Roman" w:cs="B Nazanin"/>
          <w:sz w:val="22"/>
          <w:szCs w:val="22"/>
          <w:rtl w:val="1"/>
        </w:rPr>
        <w:t xml:space="preserve"> Bosselmann, Klaus, IN SEARCH OF GLOBAL LAW: THE SIGNIFICANCE OF THE EARTH CHARTER, Worldviews Environment Cultulre Religion 8(1), 2004, pp 62-75, p.71</w:t>
      </w:r>
    </w:p>
  </w:footnote>
  <w:footnote w:id="146">
    <w:p>
      <w:pPr>
        <w:pStyle w:val="FootnoteText"/>
        <w:bidi w:val="1"/>
        <w:jc w:val="both"/>
      </w:pPr>
      <w:r>
        <w:rPr>
          <w:rStyle w:val="FootnoteReference"/>
          <w:rtl w:val="1"/>
        </w:rPr>
        <w:footnoteRef/>
      </w:r>
      <w:r>
        <w:rPr>
          <w:rFonts w:ascii="Times New Roman" w:hAnsi="Times New Roman" w:cs="B Nazanin"/>
          <w:sz w:val="22"/>
          <w:szCs w:val="22"/>
          <w:rtl w:val="1"/>
        </w:rPr>
        <w:t xml:space="preserve"> building block</w:t>
      </w:r>
    </w:p>
  </w:footnote>
  <w:footnote w:id="147">
    <w:p>
      <w:pPr>
        <w:pStyle w:val="FootnoteText"/>
        <w:bidi w:val="1"/>
        <w:jc w:val="both"/>
      </w:pPr>
      <w:r>
        <w:rPr>
          <w:rStyle w:val="FootnoteReference"/>
          <w:rtl w:val="1"/>
        </w:rPr>
        <w:footnoteRef/>
      </w:r>
      <w:r>
        <w:rPr>
          <w:rFonts w:ascii="Times New Roman" w:hAnsi="Times New Roman" w:cs="B Nazanin"/>
          <w:sz w:val="22"/>
          <w:szCs w:val="22"/>
          <w:rtl w:val="1"/>
        </w:rPr>
        <w:t xml:space="preserve"> به عنوان مثال، توسل به اصل احتیاط در استفاده از فناوریهای نوین بهعنوان راهنمایی برای تصمیمگیری و تنظیم مقررات لازم</w:t>
      </w:r>
    </w:p>
  </w:footnote>
  <w:footnote w:id="148">
    <w:p>
      <w:pPr>
        <w:pStyle w:val="FootnoteText"/>
        <w:bidi w:val="1"/>
        <w:jc w:val="both"/>
      </w:pPr>
      <w:r>
        <w:rPr>
          <w:rStyle w:val="FootnoteReference"/>
          <w:rtl w:val="1"/>
        </w:rPr>
        <w:footnoteRef/>
      </w:r>
      <w:r>
        <w:rPr>
          <w:rFonts w:ascii="Times New Roman" w:hAnsi="Times New Roman" w:cs="B Nazanin"/>
          <w:sz w:val="22"/>
          <w:szCs w:val="22"/>
          <w:rtl w:val="1"/>
        </w:rPr>
        <w:t xml:space="preserve"> شناخت اصول جاری و رو به رشد حقوق بینالملل محیطزیست میتواند راهنمای تفسیر هنجارها و مقررات حقوقی در این زمینه باشد. بهعنوان مثال، توسل به اصل مسئولیت مشترک اما متفاوت به عنوان ابزاری برای فهم بهتر اهداف و مقاصد موافقتنامههای چندجانبهمحیطزیستی</w:t>
      </w:r>
    </w:p>
  </w:footnote>
  <w:footnote w:id="149">
    <w:p>
      <w:pPr>
        <w:pStyle w:val="FootnoteText"/>
        <w:bidi w:val="1"/>
        <w:jc w:val="both"/>
      </w:pPr>
      <w:r>
        <w:rPr>
          <w:rStyle w:val="FootnoteReference"/>
          <w:rtl w:val="1"/>
        </w:rPr>
        <w:footnoteRef/>
      </w:r>
      <w:r>
        <w:rPr>
          <w:rFonts w:ascii="Times New Roman" w:hAnsi="Times New Roman" w:cs="B Nazanin"/>
          <w:sz w:val="22"/>
          <w:szCs w:val="22"/>
          <w:rtl w:val="1"/>
        </w:rPr>
        <w:t xml:space="preserve"> بهعنوان مثال، توجه به نقش اصل توسعه پایدار در شکلگیری معاهدات و سیاستهای محیطزیستی در سطوح جهانی و منطقهای و برقراری تعادل در میان توسعه اقتصادی، اجتماعی و محیطزیستی</w:t>
      </w:r>
    </w:p>
  </w:footnote>
  <w:footnote w:id="150">
    <w:p>
      <w:pPr>
        <w:pStyle w:val="FootnoteText"/>
        <w:bidi w:val="1"/>
        <w:jc w:val="both"/>
      </w:pPr>
      <w:r>
        <w:rPr>
          <w:rStyle w:val="FootnoteReference"/>
          <w:rtl w:val="1"/>
        </w:rPr>
        <w:footnoteRef/>
      </w:r>
      <w:r>
        <w:rPr>
          <w:rFonts w:ascii="Times New Roman" w:hAnsi="Times New Roman" w:cs="B Nazanin"/>
          <w:sz w:val="22"/>
          <w:szCs w:val="22"/>
          <w:rtl w:val="1"/>
        </w:rPr>
        <w:t xml:space="preserve"> Abbas poorhashemi, p.102</w:t>
      </w:r>
    </w:p>
  </w:footnote>
  <w:footnote w:id="151">
    <w:p>
      <w:pPr>
        <w:pStyle w:val="FootnoteText"/>
        <w:bidi w:val="1"/>
        <w:jc w:val="both"/>
      </w:pPr>
      <w:r>
        <w:rPr>
          <w:rStyle w:val="FootnoteReference"/>
          <w:rtl w:val="1"/>
        </w:rPr>
        <w:footnoteRef/>
      </w:r>
      <w:r>
        <w:rPr>
          <w:rFonts w:ascii="Times New Roman" w:hAnsi="Times New Roman" w:cs="B Nazanin"/>
          <w:sz w:val="22"/>
          <w:szCs w:val="22"/>
          <w:rtl w:val="1"/>
        </w:rPr>
        <w:t xml:space="preserve"> کتاب مبانی حقوق بین الملل محیط زیست، ص 62</w:t>
      </w:r>
    </w:p>
  </w:footnote>
  <w:footnote w:id="152">
    <w:p>
      <w:pPr>
        <w:pStyle w:val="FootnoteText"/>
        <w:bidi w:val="1"/>
        <w:jc w:val="both"/>
      </w:pPr>
      <w:r>
        <w:rPr>
          <w:rStyle w:val="FootnoteReference"/>
          <w:rtl w:val="1"/>
        </w:rPr>
        <w:footnoteRef/>
      </w:r>
      <w:r>
        <w:rPr>
          <w:rFonts w:ascii="Times New Roman" w:hAnsi="Times New Roman" w:cs="B Nazanin"/>
          <w:sz w:val="22"/>
          <w:szCs w:val="22"/>
          <w:rtl w:val="1"/>
        </w:rPr>
        <w:t xml:space="preserve"> possible gaps</w:t>
      </w:r>
    </w:p>
  </w:footnote>
  <w:footnote w:id="153">
    <w:p>
      <w:pPr>
        <w:pStyle w:val="FootnoteText"/>
        <w:bidi w:val="1"/>
        <w:jc w:val="both"/>
      </w:pPr>
      <w:r>
        <w:rPr>
          <w:rStyle w:val="FootnoteReference"/>
          <w:rtl w:val="1"/>
        </w:rPr>
        <w:footnoteRef/>
      </w:r>
      <w:r>
        <w:rPr>
          <w:rFonts w:ascii="Times New Roman" w:hAnsi="Times New Roman" w:cs="B Nazanin"/>
          <w:sz w:val="22"/>
          <w:szCs w:val="22"/>
          <w:rtl w:val="1"/>
        </w:rPr>
        <w:t xml:space="preserve"> کتاب خلاء ص 220</w:t>
      </w:r>
    </w:p>
  </w:footnote>
  <w:footnote w:id="154">
    <w:p>
      <w:pPr>
        <w:pStyle w:val="FootnoteText"/>
        <w:bidi w:val="1"/>
        <w:jc w:val="both"/>
      </w:pPr>
      <w:r>
        <w:rPr>
          <w:rStyle w:val="FootnoteReference"/>
          <w:rtl w:val="1"/>
        </w:rPr>
        <w:footnoteRef/>
      </w:r>
      <w:r>
        <w:rPr>
          <w:rFonts w:ascii="Times New Roman" w:hAnsi="Times New Roman" w:cs="B Nazanin"/>
          <w:sz w:val="22"/>
          <w:szCs w:val="22"/>
          <w:rtl w:val="1"/>
        </w:rPr>
        <w:t xml:space="preserve"> همان کتاب خلا ص 220</w:t>
      </w:r>
    </w:p>
  </w:footnote>
  <w:footnote w:id="155">
    <w:p>
      <w:pPr>
        <w:pStyle w:val="FootnoteText"/>
        <w:bidi w:val="1"/>
        <w:jc w:val="both"/>
      </w:pPr>
      <w:r>
        <w:rPr>
          <w:rStyle w:val="FootnoteReference"/>
          <w:rtl w:val="1"/>
        </w:rPr>
        <w:footnoteRef/>
      </w:r>
      <w:r>
        <w:rPr>
          <w:rFonts w:ascii="Times New Roman" w:hAnsi="Times New Roman" w:cs="B Nazanin"/>
          <w:sz w:val="22"/>
          <w:szCs w:val="22"/>
          <w:rtl w:val="1"/>
        </w:rPr>
        <w:t xml:space="preserve"> همان</w:t>
      </w:r>
    </w:p>
  </w:footnote>
  <w:footnote w:id="156">
    <w:p>
      <w:pPr>
        <w:pStyle w:val="FootnoteText"/>
        <w:bidi w:val="1"/>
        <w:jc w:val="both"/>
      </w:pPr>
      <w:r>
        <w:rPr>
          <w:rStyle w:val="FootnoteReference"/>
          <w:rtl w:val="1"/>
        </w:rPr>
        <w:footnoteRef/>
      </w:r>
      <w:r>
        <w:rPr>
          <w:rFonts w:ascii="Times New Roman" w:hAnsi="Times New Roman" w:cs="B Nazanin"/>
          <w:sz w:val="22"/>
          <w:szCs w:val="22"/>
          <w:rtl w:val="1"/>
        </w:rPr>
        <w:t xml:space="preserve"> “gap” is defined as a lacuna, void, defect or deficiency.</w:t>
      </w:r>
    </w:p>
  </w:footnote>
  <w:footnote w:id="157">
    <w:p>
      <w:pPr>
        <w:pStyle w:val="FootnoteText"/>
        <w:bidi w:val="1"/>
        <w:jc w:val="both"/>
      </w:pPr>
      <w:r>
        <w:rPr>
          <w:rStyle w:val="FootnoteReference"/>
          <w:rtl w:val="1"/>
        </w:rPr>
        <w:footnoteRef/>
      </w:r>
      <w:r>
        <w:rPr>
          <w:rFonts w:ascii="Times New Roman" w:hAnsi="Times New Roman" w:cs="B Nazanin"/>
          <w:sz w:val="22"/>
          <w:szCs w:val="22"/>
          <w:rtl w:val="1"/>
        </w:rPr>
        <w:t xml:space="preserve"> Intentional, conscious and deliberate gaps</w:t>
      </w:r>
    </w:p>
  </w:footnote>
  <w:footnote w:id="158">
    <w:p>
      <w:pPr>
        <w:pStyle w:val="FootnoteText"/>
        <w:bidi w:val="1"/>
        <w:jc w:val="both"/>
      </w:pPr>
      <w:r>
        <w:rPr>
          <w:rStyle w:val="FootnoteReference"/>
          <w:rtl w:val="1"/>
        </w:rPr>
        <w:footnoteRef/>
      </w:r>
      <w:r>
        <w:rPr>
          <w:rFonts w:ascii="Times New Roman" w:hAnsi="Times New Roman" w:cs="B Nazanin"/>
          <w:sz w:val="22"/>
          <w:szCs w:val="22"/>
          <w:rtl w:val="1"/>
        </w:rPr>
        <w:t xml:space="preserve"> political compromises</w:t>
      </w:r>
    </w:p>
  </w:footnote>
  <w:footnote w:id="159">
    <w:p>
      <w:pPr>
        <w:pStyle w:val="FootnoteText"/>
        <w:bidi w:val="1"/>
        <w:jc w:val="both"/>
      </w:pPr>
      <w:r>
        <w:rPr>
          <w:rStyle w:val="FootnoteReference"/>
          <w:rtl w:val="1"/>
        </w:rPr>
        <w:footnoteRef/>
      </w:r>
      <w:r>
        <w:rPr>
          <w:rFonts w:ascii="Times New Roman" w:hAnsi="Times New Roman" w:cs="B Nazanin"/>
          <w:sz w:val="22"/>
          <w:szCs w:val="22"/>
          <w:rtl w:val="1"/>
        </w:rPr>
        <w:t xml:space="preserve"> necessary gaps</w:t>
      </w:r>
    </w:p>
  </w:footnote>
  <w:footnote w:id="160">
    <w:p>
      <w:pPr>
        <w:pStyle w:val="FootnoteText"/>
        <w:bidi w:val="1"/>
        <w:jc w:val="both"/>
      </w:pPr>
      <w:r>
        <w:rPr>
          <w:rStyle w:val="FootnoteReference"/>
          <w:rtl w:val="1"/>
        </w:rPr>
        <w:footnoteRef/>
      </w:r>
      <w:r>
        <w:rPr>
          <w:rFonts w:ascii="Times New Roman" w:hAnsi="Times New Roman" w:cs="B Nazanin"/>
          <w:sz w:val="22"/>
          <w:szCs w:val="22"/>
          <w:rtl w:val="1"/>
        </w:rPr>
        <w:t xml:space="preserve"> کتاب خلا ص 223</w:t>
      </w:r>
    </w:p>
  </w:footnote>
  <w:footnote w:id="161">
    <w:p>
      <w:pPr>
        <w:pStyle w:val="FootnoteText"/>
        <w:bidi w:val="1"/>
        <w:jc w:val="both"/>
      </w:pPr>
      <w:r>
        <w:rPr>
          <w:rStyle w:val="FootnoteReference"/>
          <w:rtl w:val="1"/>
        </w:rPr>
        <w:footnoteRef/>
      </w:r>
      <w:r>
        <w:rPr>
          <w:rFonts w:ascii="Times New Roman" w:hAnsi="Times New Roman" w:cs="B Nazanin"/>
          <w:sz w:val="22"/>
          <w:szCs w:val="22"/>
          <w:rtl w:val="1"/>
        </w:rPr>
        <w:t xml:space="preserve"> متاب خلا ص 226</w:t>
      </w:r>
    </w:p>
  </w:footnote>
  <w:footnote w:id="162">
    <w:p>
      <w:pPr>
        <w:pStyle w:val="FootnoteText"/>
        <w:bidi w:val="1"/>
        <w:jc w:val="both"/>
      </w:pPr>
      <w:r>
        <w:rPr>
          <w:rStyle w:val="FootnoteReference"/>
          <w:rtl w:val="1"/>
        </w:rPr>
        <w:footnoteRef/>
      </w:r>
      <w:r>
        <w:rPr>
          <w:rFonts w:ascii="Times New Roman" w:hAnsi="Times New Roman" w:cs="B Nazanin"/>
          <w:sz w:val="22"/>
          <w:szCs w:val="22"/>
          <w:rtl w:val="1"/>
        </w:rPr>
        <w:t xml:space="preserve"> کتاب خلا ص 223</w:t>
      </w:r>
    </w:p>
  </w:footnote>
  <w:footnote w:id="163">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4</w:t>
      </w:r>
    </w:p>
  </w:footnote>
  <w:footnote w:id="164">
    <w:p>
      <w:pPr>
        <w:pStyle w:val="FootnoteText"/>
        <w:bidi w:val="1"/>
        <w:jc w:val="both"/>
      </w:pPr>
      <w:r>
        <w:rPr>
          <w:rStyle w:val="FootnoteReference"/>
          <w:rtl w:val="1"/>
        </w:rPr>
        <w:footnoteRef/>
      </w:r>
      <w:r>
        <w:rPr>
          <w:rFonts w:ascii="Times New Roman" w:hAnsi="Times New Roman" w:cs="B Nazanin"/>
          <w:sz w:val="22"/>
          <w:szCs w:val="22"/>
          <w:rtl w:val="1"/>
        </w:rPr>
        <w:t xml:space="preserve"> threshold issues</w:t>
      </w:r>
    </w:p>
  </w:footnote>
  <w:footnote w:id="165">
    <w:p>
      <w:pPr>
        <w:pStyle w:val="FootnoteText"/>
        <w:bidi w:val="1"/>
        <w:jc w:val="both"/>
      </w:pPr>
      <w:r>
        <w:rPr>
          <w:rStyle w:val="FootnoteReference"/>
          <w:rtl w:val="1"/>
        </w:rPr>
        <w:footnoteRef/>
      </w:r>
      <w:r>
        <w:rPr>
          <w:rFonts w:ascii="Times New Roman" w:hAnsi="Times New Roman" w:cs="B Nazanin"/>
          <w:sz w:val="22"/>
          <w:szCs w:val="22"/>
          <w:rtl w:val="1"/>
        </w:rPr>
        <w:t xml:space="preserve"> Susan Biniaz, The UNGA Resolution on a ‘Global Pact for the Environment’: A chance to put the horse before the cart, RECIEL, Vol. 28, Issue 1, 2019, pp.1-7. P.3</w:t>
      </w:r>
    </w:p>
  </w:footnote>
  <w:footnote w:id="166">
    <w:p>
      <w:pPr>
        <w:pStyle w:val="FootnoteText"/>
        <w:bidi w:val="1"/>
        <w:jc w:val="both"/>
      </w:pPr>
      <w:r>
        <w:rPr>
          <w:rStyle w:val="FootnoteReference"/>
          <w:rtl w:val="1"/>
        </w:rPr>
        <w:footnoteRef/>
      </w:r>
      <w:r>
        <w:rPr>
          <w:rFonts w:ascii="Times New Roman" w:hAnsi="Times New Roman" w:cs="B Nazanin"/>
          <w:sz w:val="22"/>
          <w:szCs w:val="22"/>
          <w:rtl w:val="1"/>
        </w:rPr>
        <w:t xml:space="preserve"> Normative gaps</w:t>
      </w:r>
    </w:p>
  </w:footnote>
  <w:footnote w:id="167">
    <w:p>
      <w:pPr>
        <w:pStyle w:val="FootnoteText"/>
        <w:bidi w:val="1"/>
        <w:jc w:val="both"/>
      </w:pPr>
      <w:r>
        <w:rPr>
          <w:rStyle w:val="FootnoteReference"/>
          <w:rtl w:val="1"/>
        </w:rPr>
        <w:footnoteRef/>
      </w:r>
      <w:r>
        <w:rPr>
          <w:rFonts w:ascii="Times New Roman" w:hAnsi="Times New Roman" w:cs="B Nazanin"/>
          <w:sz w:val="22"/>
          <w:szCs w:val="22"/>
          <w:rtl w:val="1"/>
        </w:rPr>
        <w:t xml:space="preserve"> means of implementation</w:t>
      </w:r>
    </w:p>
  </w:footnote>
  <w:footnote w:id="168">
    <w:p>
      <w:pPr>
        <w:pStyle w:val="FootnoteText"/>
        <w:bidi w:val="1"/>
        <w:jc w:val="both"/>
      </w:pPr>
      <w:r>
        <w:rPr>
          <w:rStyle w:val="FootnoteReference"/>
          <w:rtl w:val="1"/>
        </w:rPr>
        <w:footnoteRef/>
      </w:r>
      <w:r>
        <w:rPr>
          <w:rFonts w:ascii="Times New Roman" w:hAnsi="Times New Roman" w:cs="B Nazanin"/>
          <w:sz w:val="22"/>
          <w:szCs w:val="22"/>
          <w:rtl w:val="1"/>
        </w:rPr>
        <w:t xml:space="preserve"> کتاب خلا ص 222</w:t>
      </w:r>
    </w:p>
  </w:footnote>
  <w:footnote w:id="169">
    <w:p>
      <w:pPr>
        <w:pStyle w:val="FootnoteText"/>
        <w:bidi w:val="1"/>
        <w:jc w:val="both"/>
      </w:pPr>
      <w:r>
        <w:rPr>
          <w:rStyle w:val="FootnoteReference"/>
          <w:rtl w:val="1"/>
        </w:rPr>
        <w:footnoteRef/>
      </w:r>
      <w:r>
        <w:rPr>
          <w:rFonts w:ascii="Times New Roman" w:hAnsi="Times New Roman" w:cs="B Nazanin"/>
          <w:sz w:val="22"/>
          <w:szCs w:val="22"/>
          <w:rtl w:val="1"/>
        </w:rPr>
        <w:t xml:space="preserve"> regulatory gaps</w:t>
      </w:r>
    </w:p>
  </w:footnote>
  <w:footnote w:id="170">
    <w:p>
      <w:pPr>
        <w:pStyle w:val="FootnoteText"/>
        <w:bidi w:val="1"/>
        <w:jc w:val="both"/>
      </w:pPr>
      <w:r>
        <w:rPr>
          <w:rStyle w:val="FootnoteReference"/>
          <w:rtl w:val="1"/>
        </w:rPr>
        <w:footnoteRef/>
      </w:r>
      <w:r>
        <w:rPr>
          <w:rFonts w:ascii="Times New Roman" w:hAnsi="Times New Roman" w:cs="B Nazanin"/>
          <w:sz w:val="22"/>
          <w:szCs w:val="22"/>
          <w:rtl w:val="1"/>
        </w:rPr>
        <w:t xml:space="preserve"> Substantive/ normative gaps</w:t>
      </w:r>
    </w:p>
  </w:footnote>
  <w:footnote w:id="171">
    <w:p>
      <w:pPr>
        <w:pStyle w:val="FootnoteText"/>
        <w:bidi w:val="1"/>
        <w:jc w:val="both"/>
      </w:pPr>
      <w:r>
        <w:rPr>
          <w:rStyle w:val="FootnoteReference"/>
          <w:rtl w:val="1"/>
        </w:rPr>
        <w:footnoteRef/>
      </w:r>
      <w:r>
        <w:rPr>
          <w:rFonts w:ascii="Times New Roman" w:hAnsi="Times New Roman" w:cs="B Nazanin"/>
          <w:sz w:val="22"/>
          <w:szCs w:val="22"/>
          <w:rtl w:val="1"/>
        </w:rPr>
        <w:t xml:space="preserve"> procedural and institutional</w:t>
      </w:r>
    </w:p>
  </w:footnote>
  <w:footnote w:id="172">
    <w:p>
      <w:pPr>
        <w:pStyle w:val="FootnoteText"/>
        <w:bidi w:val="1"/>
        <w:jc w:val="both"/>
      </w:pPr>
      <w:r>
        <w:rPr>
          <w:rStyle w:val="FootnoteReference"/>
          <w:rtl w:val="1"/>
        </w:rPr>
        <w:footnoteRef/>
      </w:r>
      <w:r>
        <w:rPr>
          <w:rFonts w:ascii="Times New Roman" w:hAnsi="Times New Roman" w:cs="B Nazanin"/>
          <w:sz w:val="22"/>
          <w:szCs w:val="22"/>
          <w:rtl w:val="1"/>
        </w:rPr>
        <w:t xml:space="preserve"> governance gaps</w:t>
      </w:r>
    </w:p>
  </w:footnote>
  <w:footnote w:id="173">
    <w:p>
      <w:pPr>
        <w:pStyle w:val="FootnoteText"/>
        <w:bidi w:val="1"/>
        <w:jc w:val="both"/>
      </w:pPr>
      <w:r>
        <w:rPr>
          <w:rStyle w:val="FootnoteReference"/>
          <w:rtl w:val="1"/>
        </w:rPr>
        <w:footnoteRef/>
      </w:r>
      <w:r>
        <w:rPr>
          <w:rFonts w:ascii="Times New Roman" w:hAnsi="Times New Roman" w:cs="B Nazanin"/>
          <w:sz w:val="22"/>
          <w:szCs w:val="22"/>
          <w:rtl w:val="1"/>
        </w:rPr>
        <w:t xml:space="preserve"> implementation gaps in the international legal framework</w:t>
      </w:r>
    </w:p>
  </w:footnote>
  <w:footnote w:id="174">
    <w:p>
      <w:pPr>
        <w:pStyle w:val="FootnoteText"/>
        <w:bidi w:val="1"/>
        <w:jc w:val="both"/>
      </w:pPr>
      <w:r>
        <w:rPr>
          <w:rStyle w:val="FootnoteReference"/>
          <w:rtl w:val="1"/>
        </w:rPr>
        <w:footnoteRef/>
      </w:r>
      <w:r>
        <w:rPr>
          <w:rFonts w:ascii="Times New Roman" w:hAnsi="Times New Roman" w:cs="B Nazanin"/>
          <w:sz w:val="22"/>
          <w:szCs w:val="22"/>
          <w:rtl w:val="1"/>
        </w:rPr>
        <w:t xml:space="preserve"> پارگراف 7 گزارش دبیرکل</w:t>
      </w:r>
    </w:p>
  </w:footnote>
  <w:footnote w:id="175">
    <w:p>
      <w:pPr>
        <w:pStyle w:val="FootnoteText"/>
        <w:bidi w:val="1"/>
        <w:jc w:val="both"/>
      </w:pPr>
      <w:r>
        <w:rPr>
          <w:rStyle w:val="FootnoteReference"/>
          <w:rtl w:val="1"/>
        </w:rPr>
        <w:footnoteRef/>
      </w:r>
      <w:r>
        <w:rPr>
          <w:rFonts w:ascii="Times New Roman" w:hAnsi="Times New Roman" w:cs="B Nazanin"/>
          <w:sz w:val="22"/>
          <w:szCs w:val="22"/>
          <w:rtl w:val="1"/>
        </w:rPr>
        <w:t xml:space="preserve"> گزارش دبیرکل پارا 7</w:t>
      </w:r>
    </w:p>
  </w:footnote>
  <w:footnote w:id="176">
    <w:p>
      <w:pPr>
        <w:pStyle w:val="FootnoteText"/>
        <w:bidi w:val="1"/>
        <w:jc w:val="both"/>
      </w:pPr>
      <w:r>
        <w:rPr>
          <w:rStyle w:val="FootnoteReference"/>
          <w:rtl w:val="1"/>
        </w:rPr>
        <w:footnoteRef/>
      </w:r>
      <w:r>
        <w:rPr>
          <w:rFonts w:ascii="Times New Roman" w:hAnsi="Times New Roman" w:cs="B Nazanin"/>
          <w:sz w:val="22"/>
          <w:szCs w:val="22"/>
          <w:rtl w:val="1"/>
        </w:rPr>
        <w:t xml:space="preserve"> کتاب خلا 226</w:t>
      </w:r>
    </w:p>
  </w:footnote>
  <w:footnote w:id="177">
    <w:p>
      <w:pPr>
        <w:pStyle w:val="FootnoteText"/>
        <w:bidi w:val="1"/>
        <w:jc w:val="both"/>
      </w:pPr>
      <w:r>
        <w:rPr>
          <w:rStyle w:val="FootnoteReference"/>
          <w:rtl w:val="1"/>
        </w:rPr>
        <w:footnoteRef/>
      </w:r>
      <w:r>
        <w:rPr>
          <w:rFonts w:ascii="Times New Roman" w:hAnsi="Times New Roman" w:cs="B Nazanin"/>
          <w:sz w:val="22"/>
          <w:szCs w:val="22"/>
          <w:rtl w:val="1"/>
        </w:rPr>
        <w:t xml:space="preserve"> menu of workable solutions</w:t>
      </w:r>
    </w:p>
  </w:footnote>
  <w:footnote w:id="178">
    <w:p>
      <w:pPr>
        <w:pStyle w:val="FootnoteText"/>
        <w:bidi w:val="1"/>
        <w:jc w:val="both"/>
      </w:pPr>
      <w:r>
        <w:rPr>
          <w:rStyle w:val="FootnoteReference"/>
          <w:rtl w:val="1"/>
        </w:rPr>
        <w:footnoteRef/>
      </w:r>
      <w:r>
        <w:rPr>
          <w:rFonts w:ascii="Times New Roman" w:hAnsi="Times New Roman" w:cs="B Nazanin"/>
          <w:sz w:val="22"/>
          <w:szCs w:val="22"/>
          <w:rtl w:val="1"/>
        </w:rPr>
        <w:t xml:space="preserve"> descriptive</w:t>
      </w:r>
    </w:p>
  </w:footnote>
  <w:footnote w:id="179">
    <w:p>
      <w:pPr>
        <w:pStyle w:val="FootnoteText"/>
        <w:bidi w:val="1"/>
        <w:jc w:val="both"/>
      </w:pPr>
      <w:r>
        <w:rPr>
          <w:rStyle w:val="FootnoteReference"/>
          <w:rtl w:val="1"/>
        </w:rPr>
        <w:footnoteRef/>
      </w:r>
      <w:r>
        <w:rPr>
          <w:rFonts w:ascii="Times New Roman" w:hAnsi="Times New Roman" w:cs="B Nazanin"/>
          <w:sz w:val="22"/>
          <w:szCs w:val="22"/>
          <w:rtl w:val="1"/>
        </w:rPr>
        <w:t xml:space="preserve"> normative</w:t>
      </w:r>
    </w:p>
  </w:footnote>
  <w:footnote w:id="180">
    <w:p>
      <w:pPr>
        <w:pStyle w:val="FootnoteText"/>
        <w:bidi w:val="1"/>
        <w:jc w:val="both"/>
      </w:pPr>
      <w:r>
        <w:rPr>
          <w:rStyle w:val="FootnoteReference"/>
          <w:rtl w:val="1"/>
        </w:rPr>
        <w:footnoteRef/>
      </w:r>
      <w:r>
        <w:rPr>
          <w:rFonts w:ascii="Times New Roman" w:hAnsi="Times New Roman" w:cs="B Nazanin"/>
          <w:sz w:val="22"/>
          <w:szCs w:val="22"/>
          <w:rtl w:val="1"/>
        </w:rPr>
        <w:t xml:space="preserve"> discontinuity</w:t>
      </w:r>
    </w:p>
  </w:footnote>
  <w:footnote w:id="181">
    <w:p>
      <w:pPr>
        <w:pStyle w:val="FootnoteText"/>
        <w:bidi w:val="1"/>
        <w:jc w:val="both"/>
      </w:pPr>
      <w:r>
        <w:rPr>
          <w:rStyle w:val="FootnoteReference"/>
          <w:rtl w:val="1"/>
        </w:rPr>
        <w:footnoteRef/>
      </w:r>
      <w:r>
        <w:rPr>
          <w:rFonts w:ascii="Times New Roman" w:hAnsi="Times New Roman" w:cs="B Nazanin"/>
          <w:sz w:val="22"/>
          <w:szCs w:val="22"/>
          <w:rtl w:val="1"/>
        </w:rPr>
        <w:t xml:space="preserve"> یعنی مواردی که عملی نه ممنوع اعلام شده و نه مجاز</w:t>
      </w:r>
    </w:p>
  </w:footnote>
  <w:footnote w:id="182">
    <w:p>
      <w:pPr>
        <w:pStyle w:val="FootnoteText"/>
        <w:bidi w:val="1"/>
        <w:jc w:val="both"/>
      </w:pPr>
      <w:r>
        <w:rPr>
          <w:rStyle w:val="FootnoteReference"/>
          <w:rtl w:val="1"/>
        </w:rPr>
        <w:footnoteRef/>
      </w:r>
      <w:r>
        <w:rPr>
          <w:rFonts w:ascii="Times New Roman" w:hAnsi="Times New Roman" w:cs="B Nazanin"/>
          <w:sz w:val="22"/>
          <w:szCs w:val="22"/>
          <w:rtl w:val="1"/>
        </w:rPr>
        <w:t xml:space="preserve"> کتاب خلا 224</w:t>
      </w:r>
    </w:p>
  </w:footnote>
  <w:footnote w:id="183">
    <w:p>
      <w:pPr>
        <w:pStyle w:val="FootnoteText"/>
        <w:bidi w:val="1"/>
        <w:jc w:val="both"/>
      </w:pPr>
      <w:r>
        <w:rPr>
          <w:rStyle w:val="FootnoteReference"/>
          <w:rtl w:val="1"/>
        </w:rPr>
        <w:footnoteRef/>
      </w:r>
      <w:r>
        <w:rPr>
          <w:rFonts w:ascii="Times New Roman" w:hAnsi="Times New Roman" w:cs="B Nazanin"/>
          <w:sz w:val="22"/>
          <w:szCs w:val="22"/>
          <w:rtl w:val="1"/>
        </w:rPr>
        <w:t xml:space="preserve"> Online , Global Perspectives on a Global Pact for the Environment,</w:t>
      </w:r>
    </w:p>
  </w:footnote>
  <w:footnote w:id="184">
    <w:p>
      <w:pPr>
        <w:pStyle w:val="FootnoteText"/>
        <w:bidi w:val="1"/>
        <w:jc w:val="both"/>
      </w:pPr>
      <w:r>
        <w:rPr>
          <w:rStyle w:val="FootnoteReference"/>
          <w:rtl w:val="1"/>
        </w:rPr>
        <w:footnoteRef/>
      </w:r>
      <w:r>
        <w:rPr>
          <w:rFonts w:ascii="Times New Roman" w:hAnsi="Times New Roman" w:cs="B Nazanin"/>
          <w:sz w:val="22"/>
          <w:szCs w:val="22"/>
          <w:rtl w:val="1"/>
        </w:rPr>
        <w:t xml:space="preserve"> گزارش فوریه 2019 شورای وزیران نوردیک در خصوص «حکمرانی محیط زیستی بین المللی در چارچوب پیمان جهانی محیط زیست و گزارش دبیرکل»</w:t>
      </w:r>
    </w:p>
  </w:footnote>
  <w:footnote w:id="185">
    <w:p>
      <w:pPr>
        <w:pStyle w:val="FootnoteText"/>
        <w:bidi w:val="1"/>
        <w:jc w:val="both"/>
      </w:pPr>
      <w:r>
        <w:rPr>
          <w:rStyle w:val="FootnoteReference"/>
          <w:rtl w:val="1"/>
        </w:rPr>
        <w:footnoteRef/>
      </w:r>
      <w:r>
        <w:rPr>
          <w:rFonts w:ascii="Times New Roman" w:hAnsi="Times New Roman" w:cs="B Nazanin"/>
          <w:sz w:val="22"/>
          <w:szCs w:val="22"/>
          <w:rtl w:val="1"/>
        </w:rPr>
        <w:t xml:space="preserve"> Factual Gaps</w:t>
      </w:r>
    </w:p>
  </w:footnote>
  <w:footnote w:id="186">
    <w:p>
      <w:pPr>
        <w:pStyle w:val="FootnoteText"/>
        <w:bidi w:val="1"/>
        <w:jc w:val="both"/>
      </w:pPr>
      <w:r>
        <w:rPr>
          <w:rStyle w:val="FootnoteReference"/>
          <w:rtl w:val="1"/>
        </w:rPr>
        <w:footnoteRef/>
      </w:r>
      <w:r>
        <w:rPr>
          <w:rFonts w:ascii="Times New Roman" w:hAnsi="Times New Roman" w:cs="B Nazanin"/>
          <w:sz w:val="22"/>
          <w:szCs w:val="22"/>
          <w:rtl w:val="1"/>
        </w:rPr>
        <w:t xml:space="preserve"> substantive</w:t>
      </w:r>
    </w:p>
  </w:footnote>
  <w:footnote w:id="187">
    <w:p>
      <w:pPr>
        <w:pStyle w:val="FootnoteText"/>
        <w:bidi w:val="1"/>
        <w:jc w:val="both"/>
      </w:pPr>
      <w:r>
        <w:rPr>
          <w:rStyle w:val="FootnoteReference"/>
          <w:rtl w:val="1"/>
        </w:rPr>
        <w:footnoteRef/>
      </w:r>
      <w:r>
        <w:rPr>
          <w:rFonts w:ascii="Times New Roman" w:hAnsi="Times New Roman" w:cs="B Nazanin"/>
          <w:sz w:val="22"/>
          <w:szCs w:val="22"/>
          <w:rtl w:val="1"/>
        </w:rPr>
        <w:t xml:space="preserve"> legal</w:t>
      </w:r>
    </w:p>
  </w:footnote>
  <w:footnote w:id="188">
    <w:p>
      <w:pPr>
        <w:pStyle w:val="FootnoteText"/>
        <w:bidi w:val="1"/>
        <w:jc w:val="both"/>
      </w:pPr>
      <w:r>
        <w:rPr>
          <w:rStyle w:val="FootnoteReference"/>
          <w:rtl w:val="1"/>
        </w:rPr>
        <w:footnoteRef/>
      </w:r>
      <w:r>
        <w:rPr>
          <w:rFonts w:ascii="Times New Roman" w:hAnsi="Times New Roman" w:cs="B Nazanin"/>
          <w:sz w:val="22"/>
          <w:szCs w:val="22"/>
          <w:rtl w:val="1"/>
        </w:rPr>
        <w:t xml:space="preserve"> Membership-related</w:t>
      </w:r>
    </w:p>
  </w:footnote>
  <w:footnote w:id="189">
    <w:p>
      <w:pPr>
        <w:pStyle w:val="FootnoteText"/>
        <w:bidi w:val="1"/>
        <w:jc w:val="both"/>
      </w:pPr>
      <w:r>
        <w:rPr>
          <w:rStyle w:val="FootnoteReference"/>
          <w:rtl w:val="1"/>
        </w:rPr>
        <w:footnoteRef/>
      </w:r>
      <w:r>
        <w:rPr>
          <w:rFonts w:ascii="Times New Roman" w:hAnsi="Times New Roman" w:cs="B Nazanin"/>
          <w:sz w:val="22"/>
          <w:szCs w:val="22"/>
          <w:rtl w:val="1"/>
        </w:rPr>
        <w:t xml:space="preserve"> geographic</w:t>
      </w:r>
    </w:p>
  </w:footnote>
  <w:footnote w:id="190">
    <w:p>
      <w:pPr>
        <w:pStyle w:val="FootnoteText"/>
        <w:bidi w:val="1"/>
        <w:jc w:val="both"/>
      </w:pPr>
      <w:r>
        <w:rPr>
          <w:rStyle w:val="FootnoteReference"/>
          <w:rtl w:val="1"/>
        </w:rPr>
        <w:footnoteRef/>
      </w:r>
      <w:r>
        <w:rPr>
          <w:rFonts w:ascii="Times New Roman" w:hAnsi="Times New Roman" w:cs="B Nazanin"/>
          <w:sz w:val="22"/>
          <w:szCs w:val="22"/>
          <w:rtl w:val="1"/>
        </w:rPr>
        <w:t xml:space="preserve"> institutional</w:t>
      </w:r>
    </w:p>
  </w:footnote>
  <w:footnote w:id="191">
    <w:p>
      <w:pPr>
        <w:pStyle w:val="FootnoteText"/>
        <w:bidi w:val="1"/>
        <w:jc w:val="both"/>
      </w:pPr>
      <w:r>
        <w:rPr>
          <w:rStyle w:val="FootnoteReference"/>
          <w:rtl w:val="1"/>
        </w:rPr>
        <w:footnoteRef/>
      </w:r>
      <w:r>
        <w:rPr>
          <w:rFonts w:ascii="Times New Roman" w:hAnsi="Times New Roman" w:cs="B Nazanin"/>
          <w:sz w:val="22"/>
          <w:szCs w:val="22"/>
          <w:rtl w:val="1"/>
        </w:rPr>
        <w:t xml:space="preserve"> Compliance/enforcement - related</w:t>
      </w:r>
    </w:p>
  </w:footnote>
  <w:footnote w:id="192">
    <w:p>
      <w:pPr>
        <w:pStyle w:val="FootnoteText"/>
        <w:bidi w:val="1"/>
        <w:jc w:val="both"/>
      </w:pPr>
      <w:r>
        <w:rPr>
          <w:rStyle w:val="FootnoteReference"/>
          <w:rtl w:val="1"/>
        </w:rPr>
        <w:footnoteRef/>
      </w:r>
      <w:r>
        <w:rPr>
          <w:rFonts w:ascii="Times New Roman" w:hAnsi="Times New Roman" w:cs="B Nazanin"/>
          <w:sz w:val="22"/>
          <w:szCs w:val="22"/>
          <w:rtl w:val="1"/>
        </w:rPr>
        <w:t xml:space="preserve"> Normative Gaps</w:t>
      </w:r>
    </w:p>
  </w:footnote>
  <w:footnote w:id="193">
    <w:p>
      <w:pPr>
        <w:pStyle w:val="FootnoteText"/>
        <w:bidi w:val="1"/>
        <w:jc w:val="both"/>
      </w:pPr>
      <w:r>
        <w:rPr>
          <w:rStyle w:val="FootnoteReference"/>
          <w:rtl w:val="1"/>
        </w:rPr>
        <w:footnoteRef/>
      </w:r>
      <w:r>
        <w:rPr>
          <w:rFonts w:ascii="Times New Roman" w:hAnsi="Times New Roman" w:cs="B Nazanin"/>
          <w:sz w:val="22"/>
          <w:szCs w:val="22"/>
          <w:rtl w:val="1"/>
        </w:rPr>
        <w:t xml:space="preserve"> کتاب خلا 222</w:t>
      </w:r>
    </w:p>
  </w:footnote>
  <w:footnote w:id="194">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3</w:t>
      </w:r>
    </w:p>
  </w:footnote>
  <w:footnote w:id="195">
    <w:p>
      <w:pPr>
        <w:pStyle w:val="FootnoteText"/>
        <w:bidi w:val="1"/>
        <w:jc w:val="both"/>
      </w:pPr>
      <w:r>
        <w:rPr>
          <w:rStyle w:val="FootnoteReference"/>
          <w:rtl w:val="1"/>
        </w:rPr>
        <w:footnoteRef/>
      </w:r>
      <w:r>
        <w:rPr>
          <w:rFonts w:ascii="Times New Roman" w:hAnsi="Times New Roman" w:cs="B Nazanin"/>
          <w:sz w:val="22"/>
          <w:szCs w:val="22"/>
          <w:rtl w:val="1"/>
        </w:rPr>
        <w:t xml:space="preserve"> generalized framework rules</w:t>
      </w:r>
    </w:p>
  </w:footnote>
  <w:footnote w:id="196">
    <w:p>
      <w:pPr>
        <w:pStyle w:val="FootnoteText"/>
        <w:bidi w:val="1"/>
        <w:jc w:val="both"/>
      </w:pPr>
      <w:r>
        <w:rPr>
          <w:rStyle w:val="FootnoteReference"/>
          <w:rtl w:val="1"/>
        </w:rPr>
        <w:footnoteRef/>
      </w:r>
      <w:r>
        <w:rPr>
          <w:rFonts w:ascii="Times New Roman" w:hAnsi="Times New Roman" w:cs="B Nazanin"/>
          <w:sz w:val="22"/>
          <w:szCs w:val="22"/>
          <w:rtl w:val="1"/>
        </w:rPr>
        <w:t xml:space="preserve"> specific treaty regimes</w:t>
      </w:r>
    </w:p>
  </w:footnote>
  <w:footnote w:id="197">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فرتچ ص 3</w:t>
      </w:r>
    </w:p>
  </w:footnote>
  <w:footnote w:id="198">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3</w:t>
      </w:r>
    </w:p>
  </w:footnote>
  <w:footnote w:id="199">
    <w:p>
      <w:pPr>
        <w:pStyle w:val="FootnoteText"/>
        <w:bidi w:val="1"/>
        <w:jc w:val="both"/>
      </w:pPr>
      <w:r>
        <w:rPr>
          <w:rStyle w:val="FootnoteReference"/>
          <w:rtl w:val="1"/>
        </w:rPr>
        <w:footnoteRef/>
      </w:r>
      <w:r>
        <w:rPr>
          <w:rFonts w:ascii="Times New Roman" w:hAnsi="Times New Roman" w:cs="B Nazanin"/>
          <w:sz w:val="22"/>
          <w:szCs w:val="22"/>
          <w:rtl w:val="1"/>
        </w:rPr>
        <w:t xml:space="preserve"> Technical gap</w:t>
      </w:r>
    </w:p>
  </w:footnote>
  <w:footnote w:id="200">
    <w:p>
      <w:pPr>
        <w:pStyle w:val="FootnoteText"/>
        <w:bidi w:val="1"/>
        <w:jc w:val="both"/>
      </w:pPr>
      <w:r>
        <w:rPr>
          <w:rStyle w:val="FootnoteReference"/>
          <w:rtl w:val="1"/>
        </w:rPr>
        <w:footnoteRef/>
      </w:r>
      <w:r>
        <w:rPr>
          <w:rFonts w:ascii="Times New Roman" w:hAnsi="Times New Roman" w:cs="B Nazanin"/>
          <w:sz w:val="22"/>
          <w:szCs w:val="22"/>
          <w:rtl w:val="1"/>
        </w:rPr>
        <w:t xml:space="preserve"> AM Lebada, ‘UNGA Adopts Resolution on Global Environment Pact’ (24 May 2018)&lt;http://sdg.iisd.org/news/unga-adopts-resolution-on-global-environment-pact/&gt;.</w:t>
      </w:r>
    </w:p>
  </w:footnote>
  <w:footnote w:id="201">
    <w:p>
      <w:pPr>
        <w:pStyle w:val="FootnoteText"/>
        <w:bidi w:val="1"/>
        <w:jc w:val="both"/>
      </w:pPr>
      <w:r>
        <w:rPr>
          <w:rStyle w:val="FootnoteReference"/>
          <w:rtl w:val="1"/>
        </w:rPr>
        <w:footnoteRef/>
      </w:r>
      <w:r>
        <w:rPr>
          <w:rFonts w:ascii="Times New Roman" w:hAnsi="Times New Roman" w:cs="B Nazanin"/>
          <w:sz w:val="22"/>
          <w:szCs w:val="22"/>
          <w:rtl w:val="1"/>
        </w:rPr>
        <w:t xml:space="preserve"> Normative Expansion</w:t>
      </w:r>
    </w:p>
  </w:footnote>
  <w:footnote w:id="202">
    <w:p>
      <w:pPr>
        <w:pStyle w:val="FootnoteText"/>
        <w:bidi w:val="1"/>
        <w:jc w:val="both"/>
      </w:pPr>
      <w:r>
        <w:rPr>
          <w:rStyle w:val="FootnoteReference"/>
          <w:rtl w:val="1"/>
        </w:rPr>
        <w:footnoteRef/>
      </w:r>
      <w:r>
        <w:rPr>
          <w:rFonts w:ascii="Times New Roman" w:hAnsi="Times New Roman" w:cs="B Nazanin"/>
          <w:sz w:val="22"/>
          <w:szCs w:val="22"/>
          <w:rtl w:val="1"/>
        </w:rPr>
        <w:t xml:space="preserve"> Treaty Congestion</w:t>
      </w:r>
    </w:p>
  </w:footnote>
  <w:footnote w:id="203">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4</w:t>
      </w:r>
    </w:p>
  </w:footnote>
  <w:footnote w:id="204">
    <w:p>
      <w:pPr>
        <w:pStyle w:val="FootnoteText"/>
        <w:bidi w:val="1"/>
        <w:jc w:val="both"/>
      </w:pPr>
      <w:r>
        <w:rPr>
          <w:rStyle w:val="FootnoteReference"/>
          <w:rtl w:val="1"/>
        </w:rPr>
        <w:footnoteRef/>
      </w:r>
      <w:r>
        <w:rPr>
          <w:rFonts w:ascii="Times New Roman" w:hAnsi="Times New Roman" w:cs="B Nazanin"/>
          <w:sz w:val="22"/>
          <w:szCs w:val="22"/>
          <w:rtl w:val="1"/>
        </w:rPr>
        <w:t xml:space="preserve"> Common but Differentiated Responsibilities- CBDR</w:t>
      </w:r>
    </w:p>
  </w:footnote>
  <w:footnote w:id="205">
    <w:p>
      <w:pPr>
        <w:pStyle w:val="FootnoteText"/>
        <w:bidi w:val="1"/>
        <w:jc w:val="both"/>
      </w:pPr>
      <w:r>
        <w:rPr>
          <w:rStyle w:val="FootnoteReference"/>
          <w:rtl w:val="1"/>
        </w:rPr>
        <w:footnoteRef/>
      </w:r>
      <w:r>
        <w:rPr>
          <w:rFonts w:ascii="Times New Roman" w:hAnsi="Times New Roman" w:cs="B Nazanin"/>
          <w:sz w:val="22"/>
          <w:szCs w:val="22"/>
          <w:rtl w:val="1"/>
        </w:rPr>
        <w:t xml:space="preserve"> technical, scientific and socio‐economic data</w:t>
      </w:r>
    </w:p>
  </w:footnote>
  <w:footnote w:id="206">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4</w:t>
      </w:r>
    </w:p>
  </w:footnote>
  <w:footnote w:id="207">
    <w:p>
      <w:pPr>
        <w:pStyle w:val="FootnoteText"/>
        <w:bidi w:val="1"/>
        <w:jc w:val="both"/>
      </w:pPr>
      <w:r>
        <w:rPr>
          <w:rStyle w:val="FootnoteReference"/>
          <w:rtl w:val="1"/>
        </w:rPr>
        <w:footnoteRef/>
      </w:r>
      <w:r>
        <w:rPr>
          <w:rFonts w:ascii="Times New Roman" w:hAnsi="Times New Roman" w:cs="B Nazanin"/>
          <w:sz w:val="22"/>
          <w:szCs w:val="22"/>
          <w:rtl w:val="1"/>
        </w:rPr>
        <w:t xml:space="preserve"> Close, compelete, open system</w:t>
      </w:r>
    </w:p>
  </w:footnote>
  <w:footnote w:id="208">
    <w:p>
      <w:pPr>
        <w:pStyle w:val="FootnoteText"/>
        <w:bidi w:val="1"/>
        <w:jc w:val="both"/>
      </w:pPr>
      <w:r>
        <w:rPr>
          <w:rStyle w:val="FootnoteReference"/>
          <w:rtl w:val="1"/>
        </w:rPr>
        <w:footnoteRef/>
      </w:r>
      <w:r>
        <w:rPr>
          <w:rFonts w:ascii="Times New Roman" w:hAnsi="Times New Roman" w:cs="B Nazanin"/>
          <w:sz w:val="22"/>
          <w:szCs w:val="22"/>
          <w:rtl w:val="1"/>
        </w:rPr>
        <w:t xml:space="preserve"> Lotus presumption</w:t>
      </w:r>
    </w:p>
  </w:footnote>
  <w:footnote w:id="209">
    <w:p>
      <w:pPr>
        <w:pStyle w:val="FootnoteText"/>
        <w:bidi w:val="1"/>
        <w:jc w:val="both"/>
      </w:pPr>
      <w:r>
        <w:rPr>
          <w:rStyle w:val="FootnoteReference"/>
          <w:rtl w:val="1"/>
        </w:rPr>
        <w:footnoteRef/>
      </w:r>
      <w:r>
        <w:rPr>
          <w:rFonts w:ascii="Times New Roman" w:hAnsi="Times New Roman" w:cs="B Nazanin"/>
          <w:sz w:val="22"/>
          <w:szCs w:val="22"/>
          <w:rtl w:val="1"/>
        </w:rPr>
        <w:t xml:space="preserve"> «بی‌طرفی حقوق بین‌الملل ... [که] به سادگی نشان می‌دهد حوزه‌هایی وجود دارند که حقوق بین‌الملل هنوز به تنظیم آن‌ها نپرداخته است، یا حتی هرگز به تنظیم آن‌ها نخواهد پرداخت.»</w:t>
      </w:r>
    </w:p>
  </w:footnote>
  <w:footnote w:id="210">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6</w:t>
      </w:r>
    </w:p>
  </w:footnote>
  <w:footnote w:id="211">
    <w:p>
      <w:pPr>
        <w:pStyle w:val="FootnoteText"/>
        <w:bidi w:val="1"/>
        <w:jc w:val="both"/>
      </w:pPr>
      <w:r>
        <w:rPr>
          <w:rStyle w:val="FootnoteReference"/>
          <w:rtl w:val="1"/>
        </w:rPr>
        <w:footnoteRef/>
      </w:r>
      <w:r>
        <w:rPr>
          <w:rFonts w:ascii="Times New Roman" w:hAnsi="Times New Roman" w:cs="B Nazanin"/>
          <w:sz w:val="22"/>
          <w:szCs w:val="22"/>
          <w:rtl w:val="1"/>
        </w:rPr>
        <w:t xml:space="preserve"> منظور از رویکرد رادیکال در حقوق بین‌الملل محیط زیست ، تلاش برای ایجاد تغییرات عمیق و ساختاری در قواعد و سیاست‌های جهانی است تا از محیط زیست به طور مؤثرتری محافظت شود. اتخاذ این رویکرد معمولاً با چالش‌های سیاسی و اقتصادی بسیاری مواجه است، اما هدف آن رسیدن به راه‌حل‌های پایدار و عادلانه برای بحران‌های محیط زیستی است.</w:t>
      </w:r>
    </w:p>
  </w:footnote>
  <w:footnote w:id="212">
    <w:p>
      <w:pPr>
        <w:pStyle w:val="FootnoteText"/>
        <w:bidi w:val="1"/>
        <w:jc w:val="both"/>
      </w:pPr>
      <w:r>
        <w:rPr>
          <w:rStyle w:val="FootnoteReference"/>
          <w:rtl w:val="1"/>
        </w:rPr>
        <w:footnoteRef/>
      </w:r>
      <w:r>
        <w:rPr>
          <w:rFonts w:ascii="Times New Roman" w:hAnsi="Times New Roman" w:cs="B Nazanin"/>
          <w:sz w:val="22"/>
          <w:szCs w:val="22"/>
          <w:rtl w:val="1"/>
        </w:rPr>
        <w:t xml:space="preserve"> Unmentionable Gaps</w:t>
      </w:r>
    </w:p>
  </w:footnote>
  <w:footnote w:id="213">
    <w:p>
      <w:pPr>
        <w:pStyle w:val="FootnoteText"/>
        <w:bidi w:val="1"/>
        <w:jc w:val="both"/>
      </w:pPr>
      <w:r>
        <w:rPr>
          <w:rStyle w:val="FootnoteReference"/>
          <w:rtl w:val="1"/>
        </w:rPr>
        <w:footnoteRef/>
      </w:r>
      <w:r>
        <w:rPr>
          <w:rFonts w:ascii="Times New Roman" w:hAnsi="Times New Roman" w:cs="B Nazanin"/>
          <w:sz w:val="22"/>
          <w:szCs w:val="22"/>
          <w:rtl w:val="1"/>
        </w:rPr>
        <w:t xml:space="preserve"> حقوق طبیعت: به رسمیت شناختن حقوق طبیعت به عنوان یک موجودیت مستقل</w:t>
      </w:r>
    </w:p>
  </w:footnote>
  <w:footnote w:id="214">
    <w:p>
      <w:pPr>
        <w:pStyle w:val="FootnoteText"/>
        <w:bidi w:val="1"/>
        <w:jc w:val="both"/>
      </w:pPr>
      <w:r>
        <w:rPr>
          <w:rStyle w:val="FootnoteReference"/>
          <w:rtl w:val="1"/>
        </w:rPr>
        <w:footnoteRef/>
      </w:r>
      <w:r>
        <w:rPr>
          <w:rFonts w:ascii="Times New Roman" w:hAnsi="Times New Roman" w:cs="B Nazanin"/>
          <w:sz w:val="22"/>
          <w:szCs w:val="22"/>
          <w:rtl w:val="1"/>
        </w:rPr>
        <w:t xml:space="preserve"> دموکراسی اکولوژیک: مشارکت گسترده‌تر جوامع در تصمیم‌گیری‌های زیست‌محیطی</w:t>
      </w:r>
    </w:p>
  </w:footnote>
  <w:footnote w:id="215">
    <w:p>
      <w:pPr>
        <w:pStyle w:val="FootnoteText"/>
        <w:bidi w:val="1"/>
        <w:jc w:val="both"/>
      </w:pPr>
      <w:r>
        <w:rPr>
          <w:rStyle w:val="FootnoteReference"/>
          <w:rtl w:val="1"/>
        </w:rPr>
        <w:footnoteRef/>
      </w:r>
      <w:r>
        <w:rPr>
          <w:rFonts w:ascii="Times New Roman" w:hAnsi="Times New Roman" w:cs="B Nazanin"/>
          <w:sz w:val="22"/>
          <w:szCs w:val="22"/>
          <w:rtl w:val="1"/>
        </w:rPr>
        <w:t xml:space="preserve"> حکمرانی و حقوق سیستم زمین: ایجاد چارچوب‌های حقوقی برای مدیریت سیستم‌های پیچیده زمین</w:t>
      </w:r>
    </w:p>
  </w:footnote>
  <w:footnote w:id="216">
    <w:p>
      <w:pPr>
        <w:pStyle w:val="FootnoteText"/>
        <w:bidi w:val="1"/>
        <w:jc w:val="both"/>
      </w:pPr>
      <w:r>
        <w:rPr>
          <w:rStyle w:val="FootnoteReference"/>
          <w:rtl w:val="1"/>
        </w:rPr>
        <w:footnoteRef/>
      </w:r>
      <w:r>
        <w:rPr>
          <w:rFonts w:ascii="Times New Roman" w:hAnsi="Times New Roman" w:cs="B Nazanin"/>
          <w:sz w:val="22"/>
          <w:szCs w:val="22"/>
          <w:rtl w:val="1"/>
        </w:rPr>
        <w:t xml:space="preserve"> یکپارچگی سیستم زمین: حفاظت از یکپارچگی اکولوژیکی سیستم‌های زمین</w:t>
      </w:r>
    </w:p>
  </w:footnote>
  <w:footnote w:id="217">
    <w:p>
      <w:pPr>
        <w:pStyle w:val="FootnoteText"/>
        <w:bidi w:val="1"/>
        <w:jc w:val="both"/>
      </w:pPr>
      <w:r>
        <w:rPr>
          <w:rStyle w:val="FootnoteReference"/>
          <w:rtl w:val="1"/>
        </w:rPr>
        <w:footnoteRef/>
      </w:r>
      <w:r>
        <w:rPr>
          <w:rFonts w:ascii="Times New Roman" w:hAnsi="Times New Roman" w:cs="B Nazanin"/>
          <w:sz w:val="22"/>
          <w:szCs w:val="22"/>
          <w:rtl w:val="1"/>
        </w:rPr>
        <w:t xml:space="preserve"> در موارد تردید، تصمیم‌ها باید به نفع طبیعت گرفته شوند</w:t>
      </w:r>
    </w:p>
  </w:footnote>
  <w:footnote w:id="218">
    <w:p>
      <w:pPr>
        <w:pStyle w:val="FootnoteText"/>
        <w:bidi w:val="1"/>
        <w:jc w:val="both"/>
      </w:pPr>
      <w:r>
        <w:rPr>
          <w:rStyle w:val="FootnoteReference"/>
          <w:rtl w:val="1"/>
        </w:rPr>
        <w:footnoteRef/>
      </w:r>
      <w:r>
        <w:rPr>
          <w:rFonts w:ascii="Times New Roman" w:hAnsi="Times New Roman" w:cs="B Nazanin"/>
          <w:sz w:val="22"/>
          <w:szCs w:val="22"/>
          <w:rtl w:val="1"/>
        </w:rPr>
        <w:t xml:space="preserve"> حاکمیت قانون اکولوژیک: ادغام اصول اکولوژیک در سیستم‌های حقوقی</w:t>
      </w:r>
    </w:p>
  </w:footnote>
  <w:footnote w:id="219">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7</w:t>
      </w:r>
    </w:p>
  </w:footnote>
  <w:footnote w:id="220">
    <w:p>
      <w:pPr>
        <w:pStyle w:val="FootnoteText"/>
        <w:bidi w:val="1"/>
        <w:jc w:val="both"/>
      </w:pPr>
      <w:r>
        <w:rPr>
          <w:rStyle w:val="FootnoteReference"/>
          <w:rtl w:val="1"/>
        </w:rPr>
        <w:footnoteRef/>
      </w:r>
      <w:r>
        <w:rPr>
          <w:rFonts w:ascii="Times New Roman" w:hAnsi="Times New Roman" w:cs="B Nazanin"/>
          <w:sz w:val="22"/>
          <w:szCs w:val="22"/>
          <w:rtl w:val="1"/>
        </w:rPr>
        <w:t xml:space="preserve"> انسان‌محوری نئولیبرال به رویکردی اشاره دارد که در آن انسان و منافع اقتصادی او بدون توجه به محدودیت‌های طبیعی و پیامدهای محیط زیستی به عنوان محور اصلی لحاظ می‌شود. این رویکرد منجر به تخریب گسترده‌ محیط زیست و نابرابری‌های اجتماعی می گردد.</w:t>
      </w:r>
    </w:p>
  </w:footnote>
  <w:footnote w:id="221">
    <w:p>
      <w:pPr>
        <w:pStyle w:val="FootnoteText"/>
        <w:bidi w:val="1"/>
        <w:jc w:val="both"/>
      </w:pPr>
      <w:r>
        <w:rPr>
          <w:rStyle w:val="FootnoteReference"/>
          <w:rtl w:val="1"/>
        </w:rPr>
        <w:footnoteRef/>
      </w:r>
      <w:r>
        <w:rPr>
          <w:rFonts w:ascii="Times New Roman" w:hAnsi="Times New Roman" w:cs="B Nazanin"/>
          <w:sz w:val="22"/>
          <w:szCs w:val="22"/>
          <w:rtl w:val="1"/>
        </w:rPr>
        <w:t xml:space="preserve"> Lex Anthropocenae</w:t>
      </w:r>
    </w:p>
  </w:footnote>
  <w:footnote w:id="222">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7</w:t>
      </w:r>
    </w:p>
  </w:footnote>
  <w:footnote w:id="223">
    <w:p>
      <w:pPr>
        <w:pStyle w:val="FootnoteText"/>
        <w:bidi w:val="1"/>
        <w:jc w:val="both"/>
      </w:pPr>
      <w:r>
        <w:rPr>
          <w:rStyle w:val="FootnoteReference"/>
          <w:rtl w:val="1"/>
        </w:rPr>
        <w:footnoteRef/>
      </w:r>
      <w:r>
        <w:rPr>
          <w:rFonts w:ascii="Times New Roman" w:hAnsi="Times New Roman" w:cs="B Nazanin"/>
          <w:sz w:val="22"/>
          <w:szCs w:val="22"/>
          <w:rtl w:val="1"/>
        </w:rPr>
        <w:t xml:space="preserve"> مقاله فرنچ ص 2</w:t>
      </w:r>
    </w:p>
  </w:footnote>
  <w:footnote w:id="224">
    <w:p>
      <w:pPr>
        <w:pStyle w:val="FootnoteText"/>
        <w:bidi w:val="1"/>
        <w:jc w:val="both"/>
      </w:pPr>
      <w:r>
        <w:rPr>
          <w:rStyle w:val="FootnoteReference"/>
          <w:rtl w:val="1"/>
        </w:rPr>
        <w:footnoteRef/>
      </w:r>
      <w:r>
        <w:rPr>
          <w:rFonts w:ascii="Times New Roman" w:hAnsi="Times New Roman" w:cs="B Nazanin"/>
          <w:sz w:val="22"/>
          <w:szCs w:val="22"/>
          <w:rtl w:val="1"/>
        </w:rPr>
        <w:t xml:space="preserve"> صرفاً به نبود قانون محدود نمی‌شود، بلکه شامل ناکارآمدی قوانین موجود، ضعف اجرا، ابهام در صلاحیت و ناهماهنگی نهادی نیز می‌شود.</w:t>
      </w:r>
    </w:p>
  </w:footnote>
  <w:footnote w:id="225">
    <w:p>
      <w:pPr>
        <w:pStyle w:val="FootnoteText"/>
        <w:bidi w:val="1"/>
        <w:jc w:val="both"/>
      </w:pPr>
      <w:r>
        <w:rPr>
          <w:rStyle w:val="FootnoteReference"/>
          <w:rtl w:val="1"/>
        </w:rPr>
        <w:footnoteRef/>
      </w:r>
      <w:r>
        <w:rPr>
          <w:rFonts w:ascii="Times New Roman" w:hAnsi="Times New Roman" w:cs="B Nazanin"/>
          <w:sz w:val="22"/>
          <w:szCs w:val="22"/>
          <w:rtl w:val="1"/>
        </w:rPr>
        <w:t xml:space="preserve"> بسیاری از تحلیلگران، خلأها را نه نقص‌های تصادفی، بلکه ویژگی‌های برآمده از ساختار دولت-محور حقوق بین‌الملل می‌دانند که برای جهانی با مقیاس متفاوت طراحی شده است.</w:t>
      </w:r>
    </w:p>
  </w:footnote>
  <w:footnote w:id="226">
    <w:p>
      <w:pPr>
        <w:pStyle w:val="FootnoteText"/>
        <w:bidi w:val="1"/>
        <w:jc w:val="both"/>
      </w:pPr>
      <w:r>
        <w:rPr>
          <w:rStyle w:val="FootnoteReference"/>
          <w:rtl w:val="1"/>
        </w:rPr>
        <w:footnoteRef/>
      </w:r>
      <w:r>
        <w:rPr>
          <w:rFonts w:ascii="Times New Roman" w:hAnsi="Times New Roman" w:cs="B Nazanin"/>
          <w:sz w:val="22"/>
          <w:szCs w:val="22"/>
          <w:rtl w:val="1"/>
        </w:rPr>
        <w:t xml:space="preserve"> با شناسایی تهدیدات جدید (مانند نانومواد، مهندسی زمین‌شناسی، پلاستیک‌ها) و پیشرفت علم (چارچوب مرزهای سیاره‌ای)، ابعاد جدیدی از خلأها آشکار می‌شود.</w:t>
      </w:r>
    </w:p>
  </w:footnote>
  <w:footnote w:id="227">
    <w:p>
      <w:pPr>
        <w:pStyle w:val="FootnoteText"/>
        <w:bidi w:val="1"/>
        <w:jc w:val="both"/>
      </w:pPr>
      <w:r>
        <w:rPr>
          <w:rStyle w:val="FootnoteReference"/>
          <w:rtl w:val="1"/>
        </w:rPr>
        <w:footnoteRef/>
      </w:r>
      <w:r>
        <w:rPr>
          <w:rFonts w:ascii="Times New Roman" w:hAnsi="Times New Roman" w:cs="B Nazanin"/>
          <w:sz w:val="22"/>
          <w:szCs w:val="22"/>
          <w:rtl w:val="1"/>
        </w:rPr>
        <w:t xml:space="preserve"> Global Perspectives on a Global Pact for the Environment by Tiffany Challe|Published September 20, 2018- susan beniaz</w:t>
      </w:r>
    </w:p>
  </w:footnote>
  <w:footnote w:id="228">
    <w:p>
      <w:pPr>
        <w:pStyle w:val="FootnoteText"/>
        <w:bidi w:val="1"/>
        <w:jc w:val="both"/>
      </w:pPr>
      <w:r>
        <w:rPr>
          <w:rStyle w:val="FootnoteReference"/>
          <w:rtl w:val="1"/>
        </w:rPr>
        <w:footnoteRef/>
      </w:r>
      <w:r>
        <w:rPr>
          <w:rFonts w:ascii="Times New Roman" w:hAnsi="Times New Roman" w:cs="B Nazanin"/>
          <w:sz w:val="22"/>
          <w:szCs w:val="22"/>
          <w:rtl w:val="1"/>
        </w:rPr>
        <w:t xml:space="preserve"> Scope of the principles</w:t>
      </w:r>
    </w:p>
  </w:footnote>
  <w:footnote w:id="229">
    <w:p>
      <w:pPr>
        <w:pStyle w:val="FootnoteText"/>
        <w:bidi w:val="1"/>
        <w:jc w:val="both"/>
      </w:pPr>
      <w:r>
        <w:rPr>
          <w:rStyle w:val="FootnoteReference"/>
          <w:rtl w:val="1"/>
        </w:rPr>
        <w:footnoteRef/>
      </w:r>
      <w:r>
        <w:rPr>
          <w:rFonts w:ascii="Times New Roman" w:hAnsi="Times New Roman" w:cs="B Nazanin"/>
          <w:sz w:val="22"/>
          <w:szCs w:val="22"/>
          <w:rtl w:val="1"/>
        </w:rPr>
        <w:t xml:space="preserve"> Status of the principles</w:t>
      </w:r>
    </w:p>
  </w:footnote>
  <w:footnote w:id="230">
    <w:p>
      <w:pPr>
        <w:pStyle w:val="FootnoteText"/>
        <w:bidi w:val="1"/>
        <w:jc w:val="both"/>
      </w:pPr>
      <w:r>
        <w:rPr>
          <w:rStyle w:val="FootnoteReference"/>
          <w:rtl w:val="1"/>
        </w:rPr>
        <w:footnoteRef/>
      </w:r>
      <w:r>
        <w:rPr>
          <w:rFonts w:ascii="Times New Roman" w:hAnsi="Times New Roman" w:cs="B Nazanin"/>
          <w:sz w:val="22"/>
          <w:szCs w:val="22"/>
          <w:rtl w:val="1"/>
        </w:rPr>
        <w:t xml:space="preserve"> نوت بر گزارش دبیرکل ص.9:</w:t>
      </w:r>
    </w:p>
  </w:footnote>
  <w:footnote w:id="231">
    <w:p>
      <w:pPr>
        <w:pStyle w:val="FootnoteText"/>
        <w:bidi w:val="1"/>
        <w:jc w:val="both"/>
      </w:pPr>
      <w:r>
        <w:rPr>
          <w:rStyle w:val="FootnoteReference"/>
          <w:rtl w:val="1"/>
        </w:rPr>
        <w:footnoteRef/>
      </w:r>
      <w:r>
        <w:rPr>
          <w:rFonts w:ascii="Times New Roman" w:hAnsi="Times New Roman" w:cs="B Nazanin"/>
          <w:sz w:val="22"/>
          <w:szCs w:val="22"/>
          <w:rtl w:val="1"/>
        </w:rPr>
        <w:t xml:space="preserve"> building blocks</w:t>
      </w:r>
    </w:p>
  </w:footnote>
  <w:footnote w:id="232">
    <w:p>
      <w:pPr>
        <w:pStyle w:val="FootnoteText"/>
        <w:bidi w:val="1"/>
        <w:jc w:val="both"/>
      </w:pPr>
      <w:r>
        <w:rPr>
          <w:rStyle w:val="FootnoteReference"/>
          <w:rtl w:val="1"/>
        </w:rPr>
        <w:footnoteRef/>
      </w:r>
      <w:r>
        <w:rPr>
          <w:rFonts w:ascii="Times New Roman" w:hAnsi="Times New Roman" w:cs="B Nazanin"/>
          <w:sz w:val="22"/>
          <w:szCs w:val="22"/>
          <w:rtl w:val="1"/>
        </w:rPr>
        <w:t xml:space="preserve"> Para 9</w:t>
      </w:r>
    </w:p>
  </w:footnote>
  <w:footnote w:id="233">
    <w:p>
      <w:pPr>
        <w:pStyle w:val="FootnoteText"/>
        <w:bidi w:val="1"/>
        <w:jc w:val="both"/>
      </w:pPr>
      <w:r>
        <w:rPr>
          <w:rStyle w:val="FootnoteReference"/>
          <w:rtl w:val="1"/>
        </w:rPr>
        <w:footnoteRef/>
      </w:r>
      <w:r>
        <w:rPr>
          <w:rFonts w:ascii="Times New Roman" w:hAnsi="Times New Roman" w:cs="B Nazanin"/>
          <w:sz w:val="22"/>
          <w:szCs w:val="22"/>
          <w:rtl w:val="1"/>
        </w:rPr>
        <w:t xml:space="preserve"> Para 9</w:t>
      </w:r>
    </w:p>
  </w:footnote>
  <w:footnote w:id="234">
    <w:p>
      <w:pPr>
        <w:pStyle w:val="FootnoteText"/>
        <w:bidi w:val="1"/>
        <w:jc w:val="both"/>
      </w:pPr>
      <w:r>
        <w:rPr>
          <w:rStyle w:val="FootnoteReference"/>
          <w:rtl w:val="1"/>
        </w:rPr>
        <w:footnoteRef/>
      </w:r>
      <w:r>
        <w:rPr>
          <w:rFonts w:ascii="Times New Roman" w:hAnsi="Times New Roman" w:cs="B Nazanin"/>
          <w:sz w:val="22"/>
          <w:szCs w:val="22"/>
          <w:rtl w:val="1"/>
        </w:rPr>
        <w:t xml:space="preserve"> gap-filling function</w:t>
      </w:r>
    </w:p>
  </w:footnote>
  <w:footnote w:id="235">
    <w:p>
      <w:pPr>
        <w:pStyle w:val="FootnoteText"/>
        <w:bidi w:val="1"/>
        <w:jc w:val="both"/>
      </w:pPr>
      <w:r>
        <w:rPr>
          <w:rStyle w:val="FootnoteReference"/>
          <w:rtl w:val="1"/>
        </w:rPr>
        <w:footnoteRef/>
      </w:r>
      <w:r>
        <w:rPr>
          <w:rFonts w:ascii="Times New Roman" w:hAnsi="Times New Roman" w:cs="B Nazanin"/>
          <w:sz w:val="22"/>
          <w:szCs w:val="22"/>
          <w:rtl w:val="1"/>
        </w:rPr>
        <w:t xml:space="preserve"> different legal sources</w:t>
      </w:r>
    </w:p>
  </w:footnote>
  <w:footnote w:id="236">
    <w:p>
      <w:pPr>
        <w:pStyle w:val="FootnoteText"/>
        <w:bidi w:val="1"/>
        <w:jc w:val="both"/>
      </w:pPr>
      <w:r>
        <w:rPr>
          <w:rStyle w:val="FootnoteReference"/>
          <w:rtl w:val="1"/>
        </w:rPr>
        <w:footnoteRef/>
      </w:r>
      <w:r>
        <w:rPr>
          <w:rFonts w:ascii="Times New Roman" w:hAnsi="Times New Roman" w:cs="B Nazanin"/>
          <w:sz w:val="22"/>
          <w:szCs w:val="22"/>
          <w:rtl w:val="1"/>
        </w:rPr>
        <w:t xml:space="preserve"> Para 10</w:t>
      </w:r>
    </w:p>
  </w:footnote>
  <w:footnote w:id="237">
    <w:p>
      <w:pPr>
        <w:pStyle w:val="FootnoteText"/>
        <w:bidi w:val="1"/>
        <w:jc w:val="both"/>
      </w:pPr>
      <w:r>
        <w:rPr>
          <w:rStyle w:val="FootnoteReference"/>
          <w:rtl w:val="1"/>
        </w:rPr>
        <w:footnoteRef/>
      </w:r>
      <w:r>
        <w:rPr>
          <w:rFonts w:ascii="Times New Roman" w:hAnsi="Times New Roman" w:cs="B Nazanin"/>
          <w:sz w:val="22"/>
          <w:szCs w:val="22"/>
          <w:rtl w:val="1"/>
        </w:rPr>
        <w:t xml:space="preserve"> mutual supportiveness</w:t>
      </w:r>
    </w:p>
  </w:footnote>
  <w:footnote w:id="238">
    <w:p>
      <w:pPr>
        <w:pStyle w:val="FootnoteText"/>
        <w:bidi w:val="1"/>
        <w:jc w:val="both"/>
      </w:pPr>
      <w:r>
        <w:rPr>
          <w:rStyle w:val="FootnoteReference"/>
          <w:rtl w:val="1"/>
        </w:rPr>
        <w:footnoteRef/>
      </w:r>
      <w:r>
        <w:rPr>
          <w:rFonts w:ascii="Times New Roman" w:hAnsi="Times New Roman" w:cs="B Nazanin"/>
          <w:sz w:val="22"/>
          <w:szCs w:val="22"/>
          <w:rtl w:val="1"/>
        </w:rPr>
        <w:t xml:space="preserve"> Riccardo Pavoni, Mutual Supportiveness as a Principle of Interpretation and Law-Making: A Watershed for the ‘WTO-and-CompetingRegimes’ Debate? The European Journal of International Law, 21(3),  (2010), 649–679, p/651</w:t>
      </w:r>
    </w:p>
  </w:footnote>
  <w:footnote w:id="239">
    <w:p>
      <w:pPr>
        <w:pStyle w:val="FootnoteText"/>
        <w:bidi w:val="1"/>
        <w:jc w:val="both"/>
      </w:pPr>
      <w:r>
        <w:rPr>
          <w:rStyle w:val="FootnoteReference"/>
          <w:rtl w:val="1"/>
        </w:rPr>
        <w:footnoteRef/>
      </w:r>
      <w:r>
        <w:rPr>
          <w:rFonts w:ascii="Times New Roman" w:hAnsi="Times New Roman" w:cs="B Nazanin"/>
          <w:sz w:val="22"/>
          <w:szCs w:val="22"/>
          <w:rtl w:val="1"/>
        </w:rPr>
        <w:t xml:space="preserve"> synthesis</w:t>
      </w:r>
    </w:p>
  </w:footnote>
  <w:footnote w:id="240">
    <w:p>
      <w:pPr>
        <w:pStyle w:val="FootnoteText"/>
        <w:bidi w:val="1"/>
        <w:jc w:val="both"/>
      </w:pPr>
      <w:r>
        <w:rPr>
          <w:rStyle w:val="FootnoteReference"/>
          <w:rtl w:val="1"/>
        </w:rPr>
        <w:footnoteRef/>
      </w:r>
      <w:r>
        <w:rPr>
          <w:rFonts w:ascii="Times New Roman" w:hAnsi="Times New Roman" w:cs="B Nazanin"/>
          <w:sz w:val="22"/>
          <w:szCs w:val="22"/>
          <w:rtl w:val="1"/>
        </w:rPr>
        <w:t xml:space="preserve"> Para 10</w:t>
      </w:r>
    </w:p>
  </w:footnote>
  <w:footnote w:id="241">
    <w:p>
      <w:pPr>
        <w:pStyle w:val="FootnoteText"/>
        <w:bidi w:val="1"/>
        <w:jc w:val="both"/>
      </w:pPr>
      <w:r>
        <w:rPr>
          <w:rStyle w:val="FootnoteReference"/>
          <w:rtl w:val="1"/>
        </w:rPr>
        <w:footnoteRef/>
      </w:r>
      <w:r>
        <w:rPr>
          <w:rFonts w:ascii="Times New Roman" w:hAnsi="Times New Roman" w:cs="B Nazanin"/>
          <w:sz w:val="22"/>
          <w:szCs w:val="22"/>
          <w:rtl w:val="1"/>
        </w:rPr>
        <w:t xml:space="preserve"> effectiveness</w:t>
      </w:r>
    </w:p>
  </w:footnote>
  <w:footnote w:id="242">
    <w:p>
      <w:pPr>
        <w:pStyle w:val="FootnoteText"/>
        <w:bidi w:val="1"/>
        <w:jc w:val="both"/>
      </w:pPr>
      <w:r>
        <w:rPr>
          <w:rStyle w:val="FootnoteReference"/>
          <w:rtl w:val="1"/>
        </w:rPr>
        <w:footnoteRef/>
      </w:r>
      <w:r>
        <w:rPr>
          <w:rFonts w:ascii="Times New Roman" w:hAnsi="Times New Roman" w:cs="B Nazanin"/>
          <w:sz w:val="22"/>
          <w:szCs w:val="22"/>
          <w:rtl w:val="1"/>
        </w:rPr>
        <w:t xml:space="preserve"> implementation</w:t>
      </w:r>
    </w:p>
  </w:footnote>
  <w:footnote w:id="243">
    <w:p>
      <w:pPr>
        <w:pStyle w:val="FootnoteText"/>
        <w:bidi w:val="1"/>
        <w:jc w:val="both"/>
      </w:pPr>
      <w:r>
        <w:rPr>
          <w:rStyle w:val="FootnoteReference"/>
          <w:rtl w:val="1"/>
        </w:rPr>
        <w:footnoteRef/>
      </w:r>
      <w:r>
        <w:rPr>
          <w:rFonts w:ascii="Times New Roman" w:hAnsi="Times New Roman" w:cs="B Nazanin"/>
          <w:sz w:val="22"/>
          <w:szCs w:val="22"/>
          <w:rtl w:val="1"/>
        </w:rPr>
        <w:t xml:space="preserve"> comprehensive and unifying international instrument</w:t>
      </w:r>
    </w:p>
  </w:footnote>
  <w:footnote w:id="244">
    <w:p>
      <w:pPr>
        <w:pStyle w:val="FootnoteText"/>
        <w:bidi w:val="1"/>
        <w:jc w:val="both"/>
      </w:pPr>
      <w:r>
        <w:rPr>
          <w:rStyle w:val="FootnoteReference"/>
          <w:rtl w:val="1"/>
        </w:rPr>
        <w:footnoteRef/>
      </w:r>
      <w:r>
        <w:rPr>
          <w:rFonts w:ascii="Times New Roman" w:hAnsi="Times New Roman" w:cs="B Nazanin"/>
          <w:sz w:val="22"/>
          <w:szCs w:val="22"/>
          <w:rtl w:val="1"/>
        </w:rPr>
        <w:t xml:space="preserve"> پیشگیری، احتیاط، پرداخت آلوده ساز، دموکراسی محیط زیستی، همکاری، حق محیط زیست تمیز و سالم، توسعه پایدار، مسئولین مشترک اما متفاوت و عدم پسرفت</w:t>
      </w:r>
    </w:p>
  </w:footnote>
  <w:footnote w:id="245">
    <w:p>
      <w:pPr>
        <w:pStyle w:val="FootnoteText"/>
        <w:bidi w:val="1"/>
        <w:jc w:val="both"/>
      </w:pPr>
      <w:r>
        <w:rPr>
          <w:rStyle w:val="FootnoteReference"/>
          <w:rtl w:val="1"/>
        </w:rPr>
        <w:footnoteRef/>
      </w:r>
      <w:r>
        <w:rPr>
          <w:rFonts w:ascii="Times New Roman" w:hAnsi="Times New Roman" w:cs="B Nazanin"/>
          <w:sz w:val="22"/>
          <w:szCs w:val="22"/>
          <w:rtl w:val="1"/>
        </w:rPr>
        <w:t xml:space="preserve"> Non-regression and progression</w:t>
      </w:r>
    </w:p>
  </w:footnote>
  <w:footnote w:id="246">
    <w:p>
      <w:pPr>
        <w:pStyle w:val="FootnoteText"/>
        <w:bidi w:val="1"/>
        <w:jc w:val="both"/>
      </w:pPr>
      <w:r>
        <w:rPr>
          <w:rStyle w:val="FootnoteReference"/>
          <w:rtl w:val="1"/>
        </w:rPr>
        <w:footnoteRef/>
      </w:r>
      <w:r>
        <w:rPr>
          <w:rFonts w:ascii="Times New Roman" w:hAnsi="Times New Roman" w:cs="B Nazanin"/>
          <w:sz w:val="22"/>
          <w:szCs w:val="22"/>
          <w:rtl w:val="1"/>
        </w:rPr>
        <w:t xml:space="preserve"> Hélène Tigroudja, fROM THE “GREEN TURN” TO THE RECOGNITION OF AN AUTONOMOUS RIGHT TO A HEALTHY ENVIRONMENT: ACHIEVEMENTS AND CHALLENGES IN THE PRACTICE OF UN TREATY BODIES, AJIL Unbound, Volume 117, 2023, pp. 179 – 183, p.183.</w:t>
      </w:r>
    </w:p>
  </w:footnote>
  <w:footnote w:id="247">
    <w:p>
      <w:pPr>
        <w:pStyle w:val="FootnoteText"/>
        <w:bidi w:val="1"/>
        <w:jc w:val="both"/>
      </w:pPr>
      <w:r>
        <w:rPr>
          <w:rStyle w:val="FootnoteReference"/>
          <w:rtl w:val="1"/>
        </w:rPr>
        <w:footnoteRef/>
      </w:r>
      <w:r>
        <w:rPr>
          <w:rFonts w:ascii="Times New Roman" w:hAnsi="Times New Roman" w:cs="B Nazanin"/>
          <w:sz w:val="22"/>
          <w:szCs w:val="22"/>
          <w:rtl w:val="1"/>
        </w:rPr>
        <w:t xml:space="preserve"> Marco Bocchi, The Reshaping of the Precautionary Principle by International Courts: Judicial Dialogue or Parallel Monologues? , Geneva Jean Monnet Working Paper 02/2016, p. 21</w:t>
      </w:r>
    </w:p>
  </w:footnote>
  <w:footnote w:id="248">
    <w:p>
      <w:pPr>
        <w:pStyle w:val="FootnoteText"/>
        <w:bidi w:val="1"/>
        <w:jc w:val="both"/>
      </w:pPr>
      <w:r>
        <w:rPr>
          <w:rStyle w:val="FootnoteReference"/>
          <w:rtl w:val="1"/>
        </w:rPr>
        <w:footnoteRef/>
      </w:r>
      <w:r>
        <w:rPr>
          <w:rFonts w:ascii="Times New Roman" w:hAnsi="Times New Roman" w:cs="B Nazanin"/>
          <w:sz w:val="22"/>
          <w:szCs w:val="22"/>
          <w:rtl w:val="1"/>
        </w:rPr>
        <w:t xml:space="preserve"> ALAN BOYLE . (2021). "Polluter Pays." In Max Planck Encyclopedia of Public International Law. Oxford University Press.341-346 . p. 345</w:t>
      </w:r>
    </w:p>
  </w:footnote>
  <w:footnote w:id="249">
    <w:p>
      <w:pPr>
        <w:pStyle w:val="FootnoteText"/>
        <w:bidi w:val="1"/>
        <w:jc w:val="both"/>
      </w:pPr>
      <w:r>
        <w:rPr>
          <w:rStyle w:val="FootnoteReference"/>
          <w:rtl w:val="1"/>
        </w:rPr>
        <w:footnoteRef/>
      </w:r>
      <w:r>
        <w:rPr>
          <w:rFonts w:ascii="Times New Roman" w:hAnsi="Times New Roman" w:cs="B Nazanin"/>
          <w:sz w:val="22"/>
          <w:szCs w:val="22"/>
          <w:rtl w:val="1"/>
        </w:rPr>
        <w:t xml:space="preserve"> Nicolas de Sadeleer, Chapter VI.43 The precautionary principle in WTO law, in Elgar Encyclopedia of Environmental Law, Edited by Michael Faure, Edward Elgar Publishing, 2018, 599–610, p. 601.</w:t>
      </w:r>
    </w:p>
  </w:footnote>
  <w:footnote w:id="250">
    <w:p>
      <w:pPr>
        <w:pStyle w:val="FootnoteText"/>
        <w:bidi w:val="1"/>
        <w:jc w:val="both"/>
      </w:pPr>
      <w:r>
        <w:rPr>
          <w:rStyle w:val="FootnoteReference"/>
          <w:rtl w:val="1"/>
        </w:rPr>
        <w:footnoteRef/>
      </w:r>
      <w:r>
        <w:rPr>
          <w:rFonts w:ascii="Times New Roman" w:hAnsi="Times New Roman" w:cs="B Nazanin"/>
          <w:sz w:val="22"/>
          <w:szCs w:val="22"/>
          <w:rtl w:val="1"/>
        </w:rPr>
        <w:t xml:space="preserve"> Legitimacy</w:t>
      </w:r>
    </w:p>
  </w:footnote>
  <w:footnote w:id="251">
    <w:p>
      <w:pPr>
        <w:pStyle w:val="FootnoteText"/>
        <w:bidi w:val="1"/>
        <w:jc w:val="both"/>
      </w:pPr>
      <w:r>
        <w:rPr>
          <w:rStyle w:val="FootnoteReference"/>
          <w:rtl w:val="1"/>
        </w:rPr>
        <w:footnoteRef/>
      </w:r>
      <w:r>
        <w:rPr>
          <w:rFonts w:ascii="Times New Roman" w:hAnsi="Times New Roman" w:cs="B Nazanin"/>
          <w:sz w:val="22"/>
          <w:szCs w:val="22"/>
          <w:rtl w:val="1"/>
        </w:rPr>
        <w:t xml:space="preserve"> Effectiveness</w:t>
      </w:r>
    </w:p>
  </w:footnote>
  <w:footnote w:id="252">
    <w:p>
      <w:pPr>
        <w:pStyle w:val="FootnoteText"/>
        <w:bidi w:val="1"/>
        <w:jc w:val="both"/>
      </w:pPr>
      <w:r>
        <w:rPr>
          <w:rStyle w:val="FootnoteReference"/>
          <w:rtl w:val="1"/>
        </w:rPr>
        <w:footnoteRef/>
      </w:r>
      <w:r>
        <w:rPr>
          <w:rFonts w:ascii="Times New Roman" w:hAnsi="Times New Roman" w:cs="B Nazanin"/>
          <w:sz w:val="22"/>
          <w:szCs w:val="22"/>
          <w:rtl w:val="1"/>
        </w:rPr>
        <w:t xml:space="preserve"> Fairness</w:t>
      </w:r>
    </w:p>
  </w:footnote>
  <w:footnote w:id="253">
    <w:p>
      <w:pPr>
        <w:pStyle w:val="FootnoteText"/>
        <w:bidi w:val="1"/>
        <w:jc w:val="both"/>
      </w:pPr>
      <w:r>
        <w:rPr>
          <w:rStyle w:val="FootnoteReference"/>
          <w:rtl w:val="1"/>
        </w:rPr>
        <w:footnoteRef/>
      </w:r>
      <w:r>
        <w:rPr>
          <w:rFonts w:ascii="Times New Roman" w:hAnsi="Times New Roman" w:cs="B Nazanin"/>
          <w:sz w:val="22"/>
          <w:szCs w:val="22"/>
          <w:rtl w:val="1"/>
        </w:rPr>
        <w:t xml:space="preserve"> Viñuales, Jorge E, Balancing effectiveness and fairness in the redesign of the climate change regime, Leiden journal of international law. - Cambridge. - Volume 24(2011), no. 1, pages 223-252, p.224.</w:t>
      </w:r>
    </w:p>
  </w:footnote>
  <w:footnote w:id="254">
    <w:p>
      <w:pPr>
        <w:pStyle w:val="FootnoteText"/>
        <w:bidi w:val="1"/>
        <w:jc w:val="both"/>
      </w:pPr>
      <w:r>
        <w:rPr>
          <w:rStyle w:val="FootnoteReference"/>
          <w:rtl w:val="1"/>
        </w:rPr>
        <w:footnoteRef/>
      </w:r>
      <w:r>
        <w:rPr>
          <w:rFonts w:ascii="Times New Roman" w:hAnsi="Times New Roman" w:cs="B Nazanin"/>
          <w:sz w:val="22"/>
          <w:szCs w:val="22"/>
          <w:rtl w:val="1"/>
        </w:rPr>
        <w:t xml:space="preserve"> Gaps relating to existing regulatory regimes</w:t>
      </w:r>
    </w:p>
  </w:footnote>
  <w:footnote w:id="255">
    <w:p>
      <w:pPr>
        <w:pStyle w:val="FootnoteText"/>
        <w:bidi w:val="1"/>
        <w:jc w:val="both"/>
      </w:pPr>
      <w:r>
        <w:rPr>
          <w:rStyle w:val="FootnoteReference"/>
          <w:rtl w:val="1"/>
        </w:rPr>
        <w:footnoteRef/>
      </w:r>
      <w:r>
        <w:rPr>
          <w:rFonts w:ascii="Times New Roman" w:hAnsi="Times New Roman" w:cs="B Nazanin"/>
          <w:sz w:val="22"/>
          <w:szCs w:val="22"/>
          <w:rtl w:val="1"/>
        </w:rPr>
        <w:t xml:space="preserve"> Para 23</w:t>
      </w:r>
    </w:p>
  </w:footnote>
  <w:footnote w:id="256">
    <w:p>
      <w:pPr>
        <w:pStyle w:val="FootnoteText"/>
        <w:bidi w:val="1"/>
        <w:jc w:val="both"/>
      </w:pPr>
      <w:r>
        <w:rPr>
          <w:rStyle w:val="FootnoteReference"/>
          <w:rtl w:val="1"/>
        </w:rPr>
        <w:footnoteRef/>
      </w:r>
      <w:r>
        <w:rPr>
          <w:rFonts w:ascii="Times New Roman" w:hAnsi="Times New Roman" w:cs="B Nazanin"/>
          <w:sz w:val="22"/>
          <w:szCs w:val="22"/>
          <w:rtl w:val="1"/>
        </w:rPr>
        <w:t xml:space="preserve"> Para 24</w:t>
      </w:r>
    </w:p>
  </w:footnote>
  <w:footnote w:id="257">
    <w:p>
      <w:pPr>
        <w:pStyle w:val="FootnoteText"/>
        <w:bidi w:val="1"/>
        <w:jc w:val="both"/>
      </w:pPr>
      <w:r>
        <w:rPr>
          <w:rStyle w:val="FootnoteReference"/>
          <w:rtl w:val="1"/>
        </w:rPr>
        <w:footnoteRef/>
      </w:r>
      <w:r>
        <w:rPr>
          <w:rFonts w:ascii="Times New Roman" w:hAnsi="Times New Roman" w:cs="B Nazanin"/>
          <w:sz w:val="22"/>
          <w:szCs w:val="22"/>
          <w:rtl w:val="1"/>
        </w:rPr>
        <w:t xml:space="preserve"> fairness</w:t>
      </w:r>
    </w:p>
  </w:footnote>
  <w:footnote w:id="258">
    <w:p>
      <w:pPr>
        <w:pStyle w:val="FootnoteText"/>
        <w:bidi w:val="1"/>
        <w:jc w:val="both"/>
      </w:pPr>
      <w:r>
        <w:rPr>
          <w:rStyle w:val="FootnoteReference"/>
          <w:rtl w:val="1"/>
        </w:rPr>
        <w:footnoteRef/>
      </w:r>
      <w:r>
        <w:rPr>
          <w:rFonts w:ascii="Times New Roman" w:hAnsi="Times New Roman" w:cs="B Nazanin"/>
          <w:sz w:val="22"/>
          <w:szCs w:val="22"/>
          <w:rtl w:val="1"/>
        </w:rPr>
        <w:t xml:space="preserve"> Equitable Burden</w:t>
      </w:r>
    </w:p>
  </w:footnote>
  <w:footnote w:id="259">
    <w:p>
      <w:pPr>
        <w:pStyle w:val="FootnoteText"/>
        <w:bidi w:val="1"/>
        <w:jc w:val="both"/>
      </w:pPr>
      <w:r>
        <w:rPr>
          <w:rStyle w:val="FootnoteReference"/>
          <w:rtl w:val="1"/>
        </w:rPr>
        <w:footnoteRef/>
      </w:r>
      <w:r>
        <w:rPr>
          <w:rFonts w:ascii="Times New Roman" w:hAnsi="Times New Roman" w:cs="B Nazanin"/>
          <w:sz w:val="22"/>
          <w:szCs w:val="22"/>
          <w:rtl w:val="1"/>
        </w:rPr>
        <w:t xml:space="preserve"> Effort-Sharing</w:t>
      </w:r>
    </w:p>
  </w:footnote>
  <w:footnote w:id="260">
    <w:p>
      <w:pPr>
        <w:pStyle w:val="FootnoteText"/>
        <w:bidi w:val="1"/>
        <w:jc w:val="both"/>
      </w:pPr>
      <w:r>
        <w:rPr>
          <w:rStyle w:val="FootnoteReference"/>
          <w:rtl w:val="1"/>
        </w:rPr>
        <w:footnoteRef/>
      </w:r>
      <w:r>
        <w:rPr>
          <w:rFonts w:ascii="Times New Roman" w:hAnsi="Times New Roman" w:cs="B Nazanin"/>
          <w:sz w:val="22"/>
          <w:szCs w:val="22"/>
          <w:rtl w:val="1"/>
        </w:rPr>
        <w:t xml:space="preserve"> Para 25</w:t>
      </w:r>
    </w:p>
  </w:footnote>
  <w:footnote w:id="261">
    <w:p>
      <w:pPr>
        <w:pStyle w:val="FootnoteText"/>
        <w:bidi w:val="1"/>
        <w:jc w:val="both"/>
      </w:pPr>
      <w:r>
        <w:rPr>
          <w:rStyle w:val="FootnoteReference"/>
          <w:rtl w:val="1"/>
        </w:rPr>
        <w:footnoteRef/>
      </w:r>
      <w:r>
        <w:rPr>
          <w:rFonts w:ascii="Times New Roman" w:hAnsi="Times New Roman" w:cs="B Nazanin"/>
          <w:sz w:val="22"/>
          <w:szCs w:val="22"/>
          <w:rtl w:val="1"/>
        </w:rPr>
        <w:t xml:space="preserve"> Para 25</w:t>
      </w:r>
    </w:p>
  </w:footnote>
  <w:footnote w:id="262">
    <w:p>
      <w:pPr>
        <w:pStyle w:val="FootnoteText"/>
        <w:bidi w:val="1"/>
        <w:jc w:val="both"/>
      </w:pPr>
      <w:r>
        <w:rPr>
          <w:rStyle w:val="FootnoteReference"/>
          <w:rtl w:val="1"/>
        </w:rPr>
        <w:footnoteRef/>
      </w:r>
      <w:r>
        <w:rPr>
          <w:rFonts w:ascii="Times New Roman" w:hAnsi="Times New Roman" w:cs="B Nazanin"/>
          <w:sz w:val="22"/>
          <w:szCs w:val="22"/>
          <w:rtl w:val="1"/>
        </w:rPr>
        <w:t xml:space="preserve"> Enam Korkor Antonio, The Effect of Constructive Ambiguity on Differentiation in the Climate Change Regime: Mitigation and Climate Justice, Loyola University Chicago International Law Review, Volume 21,  Issue 2, 2025, 76-98, p. 95.</w:t>
      </w:r>
    </w:p>
  </w:footnote>
  <w:footnote w:id="263">
    <w:p>
      <w:pPr>
        <w:pStyle w:val="FootnoteText"/>
        <w:bidi w:val="1"/>
        <w:jc w:val="both"/>
      </w:pPr>
      <w:r>
        <w:rPr>
          <w:rStyle w:val="FootnoteReference"/>
          <w:rtl w:val="1"/>
        </w:rPr>
        <w:footnoteRef/>
      </w:r>
      <w:r>
        <w:rPr>
          <w:rFonts w:ascii="Times New Roman" w:hAnsi="Times New Roman" w:cs="B Nazanin"/>
          <w:sz w:val="22"/>
          <w:szCs w:val="22"/>
          <w:rtl w:val="1"/>
        </w:rPr>
        <w:t xml:space="preserve"> Constructive Ambiguity</w:t>
      </w:r>
    </w:p>
  </w:footnote>
  <w:footnote w:id="264">
    <w:p>
      <w:pPr>
        <w:pStyle w:val="FootnoteText"/>
        <w:bidi w:val="1"/>
        <w:jc w:val="both"/>
      </w:pPr>
      <w:r>
        <w:rPr>
          <w:rStyle w:val="FootnoteReference"/>
          <w:rtl w:val="1"/>
        </w:rPr>
        <w:footnoteRef/>
      </w:r>
      <w:r>
        <w:rPr>
          <w:rFonts w:ascii="Times New Roman" w:hAnsi="Times New Roman" w:cs="B Nazanin"/>
          <w:sz w:val="22"/>
          <w:szCs w:val="22"/>
          <w:rtl w:val="1"/>
        </w:rPr>
        <w:t xml:space="preserve"> Para 25</w:t>
      </w:r>
    </w:p>
  </w:footnote>
  <w:footnote w:id="265">
    <w:p>
      <w:pPr>
        <w:pStyle w:val="FootnoteText"/>
        <w:bidi w:val="1"/>
        <w:jc w:val="both"/>
      </w:pPr>
      <w:r>
        <w:rPr>
          <w:rStyle w:val="FootnoteReference"/>
          <w:rtl w:val="1"/>
        </w:rPr>
        <w:footnoteRef/>
      </w:r>
      <w:r>
        <w:rPr>
          <w:rFonts w:ascii="Times New Roman" w:hAnsi="Times New Roman" w:cs="B Nazanin"/>
          <w:sz w:val="22"/>
          <w:szCs w:val="22"/>
          <w:rtl w:val="1"/>
        </w:rPr>
        <w:t xml:space="preserve"> Normative Fragmentation &amp; Lack of Overarching Framework</w:t>
      </w:r>
    </w:p>
  </w:footnote>
  <w:footnote w:id="266">
    <w:p>
      <w:pPr>
        <w:pStyle w:val="FootnoteText"/>
        <w:bidi w:val="1"/>
        <w:jc w:val="both"/>
      </w:pPr>
      <w:r>
        <w:rPr>
          <w:rStyle w:val="FootnoteReference"/>
          <w:rtl w:val="1"/>
        </w:rPr>
        <w:footnoteRef/>
      </w:r>
      <w:r>
        <w:rPr>
          <w:rFonts w:ascii="Times New Roman" w:hAnsi="Times New Roman" w:cs="B Nazanin"/>
          <w:sz w:val="22"/>
          <w:szCs w:val="22"/>
          <w:rtl w:val="1"/>
        </w:rPr>
        <w:t xml:space="preserve"> fragmentation</w:t>
      </w:r>
    </w:p>
  </w:footnote>
  <w:footnote w:id="267">
    <w:p>
      <w:pPr>
        <w:pStyle w:val="FootnoteText"/>
        <w:bidi w:val="1"/>
        <w:jc w:val="both"/>
      </w:pPr>
      <w:r>
        <w:rPr>
          <w:rStyle w:val="FootnoteReference"/>
          <w:rtl w:val="1"/>
        </w:rPr>
        <w:footnoteRef/>
      </w:r>
      <w:r>
        <w:rPr>
          <w:rFonts w:ascii="Times New Roman" w:hAnsi="Times New Roman" w:cs="B Nazanin"/>
          <w:sz w:val="22"/>
          <w:szCs w:val="22"/>
          <w:rtl w:val="1"/>
        </w:rPr>
        <w:t xml:space="preserve"> KAREN N SCOTT, "International Environmental Governance: Managing Fragmentation Through Institutional Connection." Melbourne Journal of International Law, 12(1), 2011 , pp. 223 – 252, p.224.</w:t>
      </w:r>
    </w:p>
  </w:footnote>
  <w:footnote w:id="268">
    <w:p>
      <w:pPr>
        <w:pStyle w:val="FootnoteText"/>
        <w:bidi w:val="1"/>
        <w:jc w:val="both"/>
      </w:pPr>
      <w:r>
        <w:rPr>
          <w:rStyle w:val="FootnoteReference"/>
          <w:rtl w:val="1"/>
        </w:rPr>
        <w:footnoteRef/>
      </w:r>
      <w:r>
        <w:rPr>
          <w:rFonts w:ascii="Times New Roman" w:hAnsi="Times New Roman" w:cs="B Nazanin"/>
          <w:sz w:val="22"/>
          <w:szCs w:val="22"/>
          <w:rtl w:val="1"/>
        </w:rPr>
        <w:t xml:space="preserve"> Paras 26-39</w:t>
      </w:r>
    </w:p>
  </w:footnote>
  <w:footnote w:id="269">
    <w:p>
      <w:pPr>
        <w:pStyle w:val="FootnoteText"/>
        <w:bidi w:val="1"/>
        <w:jc w:val="both"/>
      </w:pPr>
      <w:r>
        <w:rPr>
          <w:rStyle w:val="FootnoteReference"/>
          <w:rtl w:val="1"/>
        </w:rPr>
        <w:footnoteRef/>
      </w:r>
      <w:r>
        <w:rPr>
          <w:rFonts w:ascii="Times New Roman" w:hAnsi="Times New Roman" w:cs="B Nazanin"/>
          <w:sz w:val="22"/>
          <w:szCs w:val="22"/>
          <w:rtl w:val="1"/>
        </w:rPr>
        <w:t xml:space="preserve"> Para 48</w:t>
      </w:r>
    </w:p>
  </w:footnote>
  <w:footnote w:id="270">
    <w:p>
      <w:pPr>
        <w:pStyle w:val="FootnoteText"/>
        <w:bidi w:val="1"/>
        <w:jc w:val="both"/>
      </w:pPr>
      <w:r>
        <w:rPr>
          <w:rStyle w:val="FootnoteReference"/>
          <w:rtl w:val="1"/>
        </w:rPr>
        <w:footnoteRef/>
      </w:r>
      <w:r>
        <w:rPr>
          <w:rFonts w:ascii="Times New Roman" w:hAnsi="Times New Roman" w:cs="B Nazanin"/>
          <w:sz w:val="22"/>
          <w:szCs w:val="22"/>
          <w:rtl w:val="1"/>
        </w:rPr>
        <w:t xml:space="preserve"> Para 104</w:t>
      </w:r>
    </w:p>
  </w:footnote>
  <w:footnote w:id="271">
    <w:p>
      <w:pPr>
        <w:pStyle w:val="FootnoteText"/>
        <w:bidi w:val="1"/>
        <w:jc w:val="both"/>
      </w:pPr>
      <w:r>
        <w:rPr>
          <w:rStyle w:val="FootnoteReference"/>
          <w:rtl w:val="1"/>
        </w:rPr>
        <w:footnoteRef/>
      </w:r>
      <w:r>
        <w:rPr>
          <w:rFonts w:ascii="Times New Roman" w:hAnsi="Times New Roman" w:cs="B Nazanin"/>
          <w:sz w:val="22"/>
          <w:szCs w:val="22"/>
          <w:rtl w:val="1"/>
        </w:rPr>
        <w:t xml:space="preserve"> Para 42</w:t>
      </w:r>
    </w:p>
  </w:footnote>
  <w:footnote w:id="272">
    <w:p>
      <w:pPr>
        <w:pStyle w:val="FootnoteText"/>
        <w:bidi w:val="1"/>
        <w:jc w:val="both"/>
      </w:pPr>
      <w:r>
        <w:rPr>
          <w:rStyle w:val="FootnoteReference"/>
          <w:rtl w:val="1"/>
        </w:rPr>
        <w:footnoteRef/>
      </w:r>
      <w:r>
        <w:rPr>
          <w:rFonts w:ascii="Times New Roman" w:hAnsi="Times New Roman" w:cs="B Nazanin"/>
          <w:sz w:val="22"/>
          <w:szCs w:val="22"/>
          <w:rtl w:val="1"/>
        </w:rPr>
        <w:t xml:space="preserve"> Biodiversity Beyond National Jurisdiction (BBNJ)</w:t>
      </w:r>
    </w:p>
  </w:footnote>
  <w:footnote w:id="273">
    <w:p>
      <w:pPr>
        <w:pStyle w:val="FootnoteText"/>
        <w:bidi w:val="1"/>
        <w:jc w:val="both"/>
      </w:pPr>
      <w:r>
        <w:rPr>
          <w:rStyle w:val="FootnoteReference"/>
          <w:rtl w:val="1"/>
        </w:rPr>
        <w:footnoteRef/>
      </w:r>
      <w:r>
        <w:rPr>
          <w:rFonts w:ascii="Times New Roman" w:hAnsi="Times New Roman" w:cs="B Nazanin"/>
          <w:sz w:val="22"/>
          <w:szCs w:val="22"/>
          <w:rtl w:val="1"/>
        </w:rPr>
        <w:t xml:space="preserve"> پس از ۱۵ سال مذاکره برای ایجاد چارچوب حقوقی حفاظت از تنوع زیستی در آب‌های بین‌المللی، کشورهای عضو سازمان ملل متحد معاهده تنوع زیستی فراسوی صلاحیت ملی (BBNJ) را تحت نظارت کنوانسیون سازمان ملل متحد در مورد حقوق دریاها (UNCLOS) در سال 2023 به تصویب رساندند. تا پیش از آن، آب‌های بین‌المللی – که ۶۴ درصد از اقیانوس‌ها و نزدیک به نیمی از سطح سیاره را پوشش می‌دهند – هیچ چارچوب الزام‌آوری برای حفاظت از تنوع زیستی نداشتند. برخلاف آب‌های تحت صلاحیت ملی، آب‌های بین‌المللی فضایی آزاد باقی مانده بودند که به طور گسترده مورد بهره‌برداری قرار می‌گرفت، اما به خوبی محافظت نمی‌شد. معاهده تنوع زیستی فراسوی صلاحیت ملی (BBNJ) در مارس ۲۰۲۳ برای پر کردن این خلأ حقوقی ایجاد شد.</w:t>
      </w:r>
    </w:p>
  </w:footnote>
  <w:footnote w:id="274">
    <w:p>
      <w:pPr>
        <w:pStyle w:val="FootnoteText"/>
        <w:bidi w:val="1"/>
        <w:jc w:val="both"/>
      </w:pPr>
      <w:r>
        <w:rPr>
          <w:rStyle w:val="FootnoteReference"/>
          <w:rtl w:val="1"/>
        </w:rPr>
        <w:footnoteRef/>
      </w:r>
      <w:r>
        <w:rPr>
          <w:rFonts w:ascii="Times New Roman" w:hAnsi="Times New Roman" w:cs="B Nazanin"/>
          <w:sz w:val="22"/>
          <w:szCs w:val="22"/>
          <w:rtl w:val="1"/>
        </w:rPr>
        <w:t xml:space="preserve"> Para 68</w:t>
      </w:r>
    </w:p>
  </w:footnote>
  <w:footnote w:id="275">
    <w:p>
      <w:pPr>
        <w:pStyle w:val="FootnoteText"/>
        <w:bidi w:val="1"/>
        <w:jc w:val="both"/>
      </w:pPr>
      <w:r>
        <w:rPr>
          <w:rStyle w:val="FootnoteReference"/>
          <w:rtl w:val="1"/>
        </w:rPr>
        <w:footnoteRef/>
      </w:r>
      <w:r>
        <w:rPr>
          <w:rFonts w:ascii="Times New Roman" w:hAnsi="Times New Roman" w:cs="B Nazanin"/>
          <w:sz w:val="22"/>
          <w:szCs w:val="22"/>
          <w:rtl w:val="1"/>
        </w:rPr>
        <w:t xml:space="preserve"> Monitoring, Reporting, Verification – MRV</w:t>
      </w:r>
    </w:p>
  </w:footnote>
  <w:footnote w:id="276">
    <w:p>
      <w:pPr>
        <w:pStyle w:val="FootnoteText"/>
        <w:bidi w:val="1"/>
        <w:jc w:val="both"/>
      </w:pPr>
      <w:r>
        <w:rPr>
          <w:rStyle w:val="FootnoteReference"/>
          <w:rtl w:val="1"/>
        </w:rPr>
        <w:footnoteRef/>
      </w:r>
      <w:r>
        <w:rPr>
          <w:rFonts w:ascii="Times New Roman" w:hAnsi="Times New Roman" w:cs="B Nazanin"/>
          <w:sz w:val="22"/>
          <w:szCs w:val="22"/>
          <w:rtl w:val="1"/>
        </w:rPr>
        <w:t xml:space="preserve"> Para 30</w:t>
      </w:r>
    </w:p>
  </w:footnote>
  <w:footnote w:id="277">
    <w:p>
      <w:pPr>
        <w:pStyle w:val="FootnoteText"/>
        <w:bidi w:val="1"/>
        <w:jc w:val="both"/>
      </w:pPr>
      <w:r>
        <w:rPr>
          <w:rStyle w:val="FootnoteReference"/>
          <w:rtl w:val="1"/>
        </w:rPr>
        <w:footnoteRef/>
      </w:r>
      <w:r>
        <w:rPr>
          <w:rFonts w:ascii="Times New Roman" w:hAnsi="Times New Roman" w:cs="B Nazanin"/>
          <w:sz w:val="22"/>
          <w:szCs w:val="22"/>
          <w:rtl w:val="1"/>
        </w:rPr>
        <w:t xml:space="preserve"> Tejas Rao, Non-Compliance Procedures. Yearbook of International Environmental Law, 2025, 35(1), 1–5, p.5</w:t>
      </w:r>
    </w:p>
  </w:footnote>
  <w:footnote w:id="278">
    <w:p>
      <w:pPr>
        <w:pStyle w:val="FootnoteText"/>
        <w:bidi w:val="1"/>
        <w:jc w:val="both"/>
      </w:pPr>
      <w:r>
        <w:rPr>
          <w:rStyle w:val="FootnoteReference"/>
          <w:rtl w:val="1"/>
        </w:rPr>
        <w:footnoteRef/>
      </w:r>
      <w:r>
        <w:rPr>
          <w:rFonts w:ascii="Times New Roman" w:hAnsi="Times New Roman" w:cs="B Nazanin"/>
          <w:sz w:val="22"/>
          <w:szCs w:val="22"/>
          <w:rtl w:val="1"/>
        </w:rPr>
        <w:t xml:space="preserve"> Para 31</w:t>
      </w:r>
    </w:p>
  </w:footnote>
  <w:footnote w:id="279">
    <w:p>
      <w:pPr>
        <w:pStyle w:val="FootnoteText"/>
        <w:bidi w:val="1"/>
        <w:jc w:val="both"/>
      </w:pPr>
      <w:r>
        <w:rPr>
          <w:rStyle w:val="FootnoteReference"/>
          <w:rtl w:val="1"/>
        </w:rPr>
        <w:footnoteRef/>
      </w:r>
      <w:r>
        <w:rPr>
          <w:rFonts w:ascii="Times New Roman" w:hAnsi="Times New Roman" w:cs="B Nazanin"/>
          <w:sz w:val="22"/>
          <w:szCs w:val="22"/>
          <w:rtl w:val="1"/>
        </w:rPr>
        <w:t xml:space="preserve"> Para 32</w:t>
      </w:r>
    </w:p>
  </w:footnote>
  <w:footnote w:id="280">
    <w:p>
      <w:pPr>
        <w:pStyle w:val="FootnoteText"/>
        <w:bidi w:val="1"/>
        <w:jc w:val="both"/>
      </w:pPr>
      <w:r>
        <w:rPr>
          <w:rStyle w:val="FootnoteReference"/>
          <w:rtl w:val="1"/>
        </w:rPr>
        <w:footnoteRef/>
      </w:r>
      <w:r>
        <w:rPr>
          <w:rFonts w:ascii="Times New Roman" w:hAnsi="Times New Roman" w:cs="B Nazanin"/>
          <w:sz w:val="22"/>
          <w:szCs w:val="22"/>
          <w:rtl w:val="1"/>
        </w:rPr>
        <w:t xml:space="preserve"> Para 28</w:t>
      </w:r>
    </w:p>
  </w:footnote>
  <w:footnote w:id="281">
    <w:p>
      <w:pPr>
        <w:pStyle w:val="FootnoteText"/>
        <w:bidi w:val="1"/>
        <w:jc w:val="both"/>
      </w:pPr>
      <w:r>
        <w:rPr>
          <w:rStyle w:val="FootnoteReference"/>
          <w:rtl w:val="1"/>
        </w:rPr>
        <w:footnoteRef/>
      </w:r>
      <w:r>
        <w:rPr>
          <w:rFonts w:ascii="Times New Roman" w:hAnsi="Times New Roman" w:cs="B Nazanin"/>
          <w:sz w:val="22"/>
          <w:szCs w:val="22"/>
          <w:rtl w:val="1"/>
        </w:rPr>
        <w:t xml:space="preserve"> FCCC/CP/2015/10/Add.1, Decision 1/CP.21, Adoption of the Paris Agreement, 29 January 2016</w:t>
      </w:r>
    </w:p>
  </w:footnote>
  <w:footnote w:id="282">
    <w:p>
      <w:pPr>
        <w:pStyle w:val="FootnoteText"/>
        <w:bidi w:val="1"/>
        <w:jc w:val="both"/>
      </w:pPr>
      <w:r>
        <w:rPr>
          <w:rStyle w:val="FootnoteReference"/>
          <w:rtl w:val="1"/>
        </w:rPr>
        <w:footnoteRef/>
      </w:r>
      <w:r>
        <w:rPr>
          <w:rFonts w:ascii="Times New Roman" w:hAnsi="Times New Roman" w:cs="B Nazanin"/>
          <w:sz w:val="22"/>
          <w:szCs w:val="22"/>
          <w:rtl w:val="1"/>
        </w:rPr>
        <w:t xml:space="preserve"> Para 66</w:t>
      </w:r>
    </w:p>
  </w:footnote>
  <w:footnote w:id="283">
    <w:p>
      <w:pPr>
        <w:pStyle w:val="FootnoteText"/>
        <w:bidi w:val="1"/>
        <w:jc w:val="both"/>
      </w:pPr>
      <w:r>
        <w:rPr>
          <w:rStyle w:val="FootnoteReference"/>
          <w:rtl w:val="1"/>
        </w:rPr>
        <w:footnoteRef/>
      </w:r>
      <w:r>
        <w:rPr>
          <w:rFonts w:ascii="Times New Roman" w:hAnsi="Times New Roman" w:cs="B Nazanin"/>
          <w:sz w:val="22"/>
          <w:szCs w:val="22"/>
          <w:rtl w:val="1"/>
        </w:rPr>
        <w:t xml:space="preserve"> این پروتکل که در دسامبر ۱۹۹۹ به تصویب رسید، تا به امروز تنها ۱۲ عضو دارد در حالی که برای لازم‌الاجرا شدن به ۲۰ سند تصویب نیاز دارد. United Nations Treaty Collection (2026). "Chapter XXVII-3-b: Basel Protocol on Liability and Compensation.".</w:t>
      </w:r>
    </w:p>
  </w:footnote>
  <w:footnote w:id="284">
    <w:p>
      <w:pPr>
        <w:pStyle w:val="FootnoteText"/>
        <w:bidi w:val="1"/>
        <w:jc w:val="both"/>
      </w:pPr>
      <w:r>
        <w:rPr>
          <w:rStyle w:val="FootnoteReference"/>
          <w:rtl w:val="1"/>
        </w:rPr>
        <w:footnoteRef/>
      </w:r>
      <w:r>
        <w:rPr>
          <w:rFonts w:ascii="Times New Roman" w:hAnsi="Times New Roman" w:cs="B Nazanin"/>
          <w:sz w:val="22"/>
          <w:szCs w:val="22"/>
          <w:rtl w:val="1"/>
        </w:rPr>
        <w:t xml:space="preserve"> Jan Albers, The 1999 Basel Protocol on Liability and Compensation, in: Responsibility and liability in the context of transboundary movement of hazardous wastes by sea - Existing rules and the 1999 Liability Protocol to the Basel Convention." Springer Science, 2015, pp.203-304,</w:t>
      </w:r>
    </w:p>
  </w:footnote>
  <w:footnote w:id="285">
    <w:p>
      <w:pPr>
        <w:pStyle w:val="FootnoteText"/>
        <w:bidi w:val="1"/>
        <w:jc w:val="both"/>
      </w:pPr>
      <w:r>
        <w:rPr>
          <w:rStyle w:val="FootnoteReference"/>
          <w:rtl w:val="1"/>
        </w:rPr>
        <w:footnoteRef/>
      </w:r>
      <w:r>
        <w:rPr>
          <w:rFonts w:ascii="Times New Roman" w:hAnsi="Times New Roman" w:cs="B Nazanin"/>
          <w:sz w:val="22"/>
          <w:szCs w:val="22"/>
          <w:rtl w:val="1"/>
        </w:rPr>
        <w:t xml:space="preserve"> KAREN N SCOTT, "International Environmental Governance: Managing Fragmentation Through Institutional Connection." Melbourne Journal of International Law, 12(1), 2011 , pp. 223 – 252, p.224.</w:t>
      </w:r>
    </w:p>
  </w:footnote>
  <w:footnote w:id="286">
    <w:p>
      <w:pPr>
        <w:pStyle w:val="FootnoteText"/>
        <w:bidi w:val="1"/>
        <w:jc w:val="both"/>
      </w:pPr>
      <w:r>
        <w:rPr>
          <w:rStyle w:val="FootnoteReference"/>
          <w:rtl w:val="1"/>
        </w:rPr>
        <w:footnoteRef/>
      </w:r>
      <w:r>
        <w:rPr>
          <w:rFonts w:ascii="Times New Roman" w:hAnsi="Times New Roman" w:cs="B Nazanin"/>
          <w:sz w:val="22"/>
          <w:szCs w:val="22"/>
          <w:rtl w:val="1"/>
        </w:rPr>
        <w:t xml:space="preserve"> Ibid, p.251</w:t>
      </w:r>
    </w:p>
  </w:footnote>
  <w:footnote w:id="287">
    <w:p>
      <w:pPr>
        <w:pStyle w:val="FootnoteText"/>
        <w:bidi w:val="1"/>
        <w:jc w:val="both"/>
      </w:pPr>
      <w:r>
        <w:rPr>
          <w:rStyle w:val="FootnoteReference"/>
          <w:rtl w:val="1"/>
        </w:rPr>
        <w:footnoteRef/>
      </w:r>
      <w:r>
        <w:rPr>
          <w:rFonts w:ascii="Times New Roman" w:hAnsi="Times New Roman" w:cs="B Nazanin"/>
          <w:sz w:val="22"/>
          <w:szCs w:val="22"/>
          <w:rtl w:val="1"/>
        </w:rPr>
        <w:t xml:space="preserve"> Para 29</w:t>
      </w:r>
    </w:p>
  </w:footnote>
  <w:footnote w:id="288">
    <w:p>
      <w:pPr>
        <w:pStyle w:val="FootnoteText"/>
        <w:bidi w:val="1"/>
        <w:jc w:val="both"/>
      </w:pPr>
      <w:r>
        <w:rPr>
          <w:rStyle w:val="FootnoteReference"/>
          <w:rtl w:val="1"/>
        </w:rPr>
        <w:footnoteRef/>
      </w:r>
      <w:r>
        <w:rPr>
          <w:rFonts w:ascii="Times New Roman" w:hAnsi="Times New Roman" w:cs="B Nazanin"/>
          <w:sz w:val="22"/>
          <w:szCs w:val="22"/>
          <w:rtl w:val="1"/>
        </w:rPr>
        <w:t xml:space="preserve"> Para 44</w:t>
      </w:r>
    </w:p>
  </w:footnote>
  <w:footnote w:id="289">
    <w:p>
      <w:pPr>
        <w:pStyle w:val="FootnoteText"/>
        <w:bidi w:val="1"/>
        <w:jc w:val="both"/>
      </w:pPr>
      <w:r>
        <w:rPr>
          <w:rStyle w:val="FootnoteReference"/>
          <w:rtl w:val="1"/>
        </w:rPr>
        <w:footnoteRef/>
      </w:r>
      <w:r>
        <w:rPr>
          <w:rFonts w:ascii="Times New Roman" w:hAnsi="Times New Roman" w:cs="B Nazanin"/>
          <w:sz w:val="22"/>
          <w:szCs w:val="22"/>
          <w:rtl w:val="1"/>
        </w:rPr>
        <w:t xml:space="preserve"> Patent Cooperation Treaty</w:t>
      </w:r>
    </w:p>
  </w:footnote>
  <w:footnote w:id="290">
    <w:p>
      <w:pPr>
        <w:pStyle w:val="FootnoteText"/>
        <w:bidi w:val="1"/>
        <w:jc w:val="both"/>
      </w:pPr>
      <w:r>
        <w:rPr>
          <w:rStyle w:val="FootnoteReference"/>
          <w:rtl w:val="1"/>
        </w:rPr>
        <w:footnoteRef/>
      </w:r>
      <w:r>
        <w:rPr>
          <w:rFonts w:ascii="Times New Roman" w:hAnsi="Times New Roman" w:cs="B Nazanin"/>
          <w:sz w:val="22"/>
          <w:szCs w:val="22"/>
          <w:rtl w:val="1"/>
        </w:rPr>
        <w:t xml:space="preserve"> mutual supportiveness</w:t>
      </w:r>
    </w:p>
  </w:footnote>
  <w:footnote w:id="291">
    <w:p>
      <w:pPr>
        <w:pStyle w:val="FootnoteText"/>
        <w:bidi w:val="1"/>
        <w:jc w:val="both"/>
      </w:pPr>
      <w:r>
        <w:rPr>
          <w:rStyle w:val="FootnoteReference"/>
          <w:rtl w:val="1"/>
        </w:rPr>
        <w:footnoteRef/>
      </w:r>
      <w:r>
        <w:rPr>
          <w:rFonts w:ascii="Times New Roman" w:hAnsi="Times New Roman" w:cs="B Nazanin"/>
          <w:sz w:val="22"/>
          <w:szCs w:val="22"/>
          <w:rtl w:val="1"/>
        </w:rPr>
        <w:t xml:space="preserve"> Strengthening the role of the United Nations Environment Programme Headquarters in Nairobi to address environmental challenges and enhance multilateral cooperation to address effective multilateral governance</w:t>
      </w:r>
    </w:p>
  </w:footnote>
  <w:footnote w:id="292">
    <w:p>
      <w:pPr>
        <w:pStyle w:val="FootnoteText"/>
        <w:bidi w:val="1"/>
        <w:jc w:val="both"/>
      </w:pPr>
      <w:r>
        <w:rPr>
          <w:rStyle w:val="FootnoteReference"/>
          <w:rtl w:val="1"/>
        </w:rPr>
        <w:footnoteRef/>
      </w:r>
      <w:r>
        <w:rPr>
          <w:rFonts w:ascii="Times New Roman" w:hAnsi="Times New Roman" w:cs="B Nazanin"/>
          <w:sz w:val="22"/>
          <w:szCs w:val="22"/>
          <w:rtl w:val="1"/>
        </w:rPr>
        <w:t xml:space="preserve"> 7th Session of the United Nations Environment Assembly, UNEA-7</w:t>
      </w:r>
    </w:p>
  </w:footnote>
  <w:footnote w:id="293">
    <w:p>
      <w:pPr>
        <w:pStyle w:val="FootnoteText"/>
        <w:bidi w:val="1"/>
        <w:jc w:val="both"/>
      </w:pPr>
      <w:r>
        <w:rPr>
          <w:rStyle w:val="FootnoteReference"/>
          <w:rtl w:val="1"/>
        </w:rPr>
        <w:footnoteRef/>
      </w:r>
      <w:r>
        <w:rPr>
          <w:rFonts w:ascii="Times New Roman" w:hAnsi="Times New Roman" w:cs="B Nazanin"/>
          <w:sz w:val="22"/>
          <w:szCs w:val="22"/>
          <w:rtl w:val="1"/>
        </w:rPr>
        <w:t xml:space="preserve"> https://enb.iisd.org/unea7-oecpr7-summary</w:t>
      </w:r>
    </w:p>
  </w:footnote>
  <w:footnote w:id="294">
    <w:p>
      <w:pPr>
        <w:pStyle w:val="FootnoteText"/>
        <w:bidi w:val="1"/>
        <w:jc w:val="both"/>
      </w:pPr>
      <w:r>
        <w:rPr>
          <w:rStyle w:val="FootnoteReference"/>
          <w:rtl w:val="1"/>
        </w:rPr>
        <w:footnoteRef/>
      </w:r>
      <w:r>
        <w:rPr>
          <w:rFonts w:ascii="Times New Roman" w:hAnsi="Times New Roman" w:cs="B Nazanin"/>
          <w:sz w:val="22"/>
          <w:szCs w:val="22"/>
          <w:rtl w:val="1"/>
        </w:rPr>
        <w:t xml:space="preserve"> nanomaterials and some geo-engineering processes</w:t>
      </w:r>
    </w:p>
  </w:footnote>
  <w:footnote w:id="295">
    <w:p>
      <w:pPr>
        <w:pStyle w:val="FootnoteText"/>
        <w:bidi w:val="1"/>
        <w:jc w:val="both"/>
      </w:pPr>
      <w:r>
        <w:rPr>
          <w:rStyle w:val="FootnoteReference"/>
          <w:rtl w:val="1"/>
        </w:rPr>
        <w:footnoteRef/>
      </w:r>
      <w:r>
        <w:rPr>
          <w:rFonts w:ascii="Times New Roman" w:hAnsi="Times New Roman" w:cs="B Nazanin"/>
          <w:sz w:val="22"/>
          <w:szCs w:val="22"/>
          <w:rtl w:val="1"/>
        </w:rPr>
        <w:t xml:space="preserve"> Para 41</w:t>
      </w:r>
    </w:p>
  </w:footnote>
  <w:footnote w:id="296">
    <w:p>
      <w:pPr>
        <w:pStyle w:val="FootnoteText"/>
        <w:bidi w:val="1"/>
        <w:jc w:val="both"/>
      </w:pPr>
      <w:r>
        <w:rPr>
          <w:rStyle w:val="FootnoteReference"/>
          <w:rtl w:val="1"/>
        </w:rPr>
        <w:footnoteRef/>
      </w:r>
      <w:r>
        <w:rPr>
          <w:rFonts w:ascii="Times New Roman" w:hAnsi="Times New Roman" w:cs="B Nazanin"/>
          <w:sz w:val="22"/>
          <w:szCs w:val="22"/>
          <w:rtl w:val="1"/>
        </w:rPr>
        <w:t xml:space="preserve"> Para 61</w:t>
      </w:r>
    </w:p>
  </w:footnote>
  <w:footnote w:id="297">
    <w:p>
      <w:pPr>
        <w:pStyle w:val="FootnoteText"/>
        <w:bidi w:val="1"/>
        <w:jc w:val="both"/>
      </w:pPr>
      <w:r>
        <w:rPr>
          <w:rStyle w:val="FootnoteReference"/>
          <w:rtl w:val="1"/>
        </w:rPr>
        <w:footnoteRef/>
      </w:r>
      <w:r>
        <w:rPr>
          <w:rFonts w:ascii="Times New Roman" w:hAnsi="Times New Roman" w:cs="B Nazanin"/>
          <w:sz w:val="22"/>
          <w:szCs w:val="22"/>
          <w:rtl w:val="1"/>
        </w:rPr>
        <w:t xml:space="preserve"> UNEP/EA.5/Res.14, End plastic pollution: towards an international legally binding instrument, 7 March 2022</w:t>
      </w:r>
    </w:p>
  </w:footnote>
  <w:footnote w:id="298">
    <w:p>
      <w:pPr>
        <w:pStyle w:val="FootnoteText"/>
        <w:bidi w:val="1"/>
        <w:jc w:val="both"/>
      </w:pPr>
      <w:r>
        <w:rPr>
          <w:rStyle w:val="FootnoteReference"/>
          <w:rtl w:val="1"/>
        </w:rPr>
        <w:footnoteRef/>
      </w:r>
      <w:r>
        <w:rPr>
          <w:rFonts w:ascii="Times New Roman" w:hAnsi="Times New Roman" w:cs="B Nazanin"/>
          <w:sz w:val="22"/>
          <w:szCs w:val="22"/>
          <w:rtl w:val="1"/>
        </w:rPr>
        <w:t xml:space="preserve"> The Convention on Long-Range Transboundary Air Pollution</w:t>
      </w:r>
    </w:p>
  </w:footnote>
  <w:footnote w:id="299">
    <w:p>
      <w:pPr>
        <w:pStyle w:val="FootnoteText"/>
        <w:bidi w:val="1"/>
        <w:jc w:val="both"/>
      </w:pPr>
      <w:r>
        <w:rPr>
          <w:rStyle w:val="FootnoteReference"/>
          <w:rtl w:val="1"/>
        </w:rPr>
        <w:footnoteRef/>
      </w:r>
      <w:r>
        <w:rPr>
          <w:rFonts w:ascii="Times New Roman" w:hAnsi="Times New Roman" w:cs="B Nazanin"/>
          <w:sz w:val="22"/>
          <w:szCs w:val="22"/>
          <w:rtl w:val="1"/>
        </w:rPr>
        <w:t xml:space="preserve"> Para 36</w:t>
      </w:r>
    </w:p>
  </w:footnote>
  <w:footnote w:id="300">
    <w:p>
      <w:pPr>
        <w:pStyle w:val="FootnoteText"/>
        <w:bidi w:val="1"/>
        <w:jc w:val="both"/>
      </w:pPr>
      <w:r>
        <w:rPr>
          <w:rStyle w:val="FootnoteReference"/>
          <w:rtl w:val="1"/>
        </w:rPr>
        <w:footnoteRef/>
      </w:r>
      <w:r>
        <w:rPr>
          <w:rFonts w:ascii="Times New Roman" w:hAnsi="Times New Roman" w:cs="B Nazanin"/>
          <w:sz w:val="22"/>
          <w:szCs w:val="22"/>
          <w:rtl w:val="1"/>
        </w:rPr>
        <w:t xml:space="preserve"> مقاله اوستروم ص 17</w:t>
      </w:r>
    </w:p>
  </w:footnote>
  <w:footnote w:id="301">
    <w:p>
      <w:pPr>
        <w:pStyle w:val="FootnoteText"/>
        <w:bidi w:val="1"/>
        <w:jc w:val="both"/>
      </w:pPr>
      <w:r>
        <w:rPr>
          <w:rStyle w:val="FootnoteReference"/>
          <w:rtl w:val="1"/>
        </w:rPr>
        <w:footnoteRef/>
      </w:r>
      <w:r>
        <w:rPr>
          <w:rFonts w:ascii="Times New Roman" w:hAnsi="Times New Roman" w:cs="B Nazanin"/>
          <w:sz w:val="22"/>
          <w:szCs w:val="22"/>
          <w:rtl w:val="1"/>
        </w:rPr>
        <w:t xml:space="preserve"> نوت بر گزارش دبیرکل ص 13</w:t>
      </w:r>
    </w:p>
  </w:footnote>
  <w:footnote w:id="302">
    <w:p>
      <w:pPr>
        <w:pStyle w:val="FootnoteText"/>
        <w:bidi w:val="1"/>
        <w:jc w:val="both"/>
      </w:pPr>
      <w:r>
        <w:rPr>
          <w:rStyle w:val="FootnoteReference"/>
          <w:rtl w:val="1"/>
        </w:rPr>
        <w:footnoteRef/>
      </w:r>
      <w:r>
        <w:rPr>
          <w:rFonts w:ascii="Times New Roman" w:hAnsi="Times New Roman" w:cs="B Nazanin"/>
          <w:sz w:val="22"/>
          <w:szCs w:val="22"/>
          <w:rtl w:val="1"/>
        </w:rPr>
        <w:t xml:space="preserve"> Environment-related instruments</w:t>
      </w:r>
    </w:p>
  </w:footnote>
  <w:footnote w:id="303">
    <w:p>
      <w:pPr>
        <w:pStyle w:val="FootnoteText"/>
        <w:bidi w:val="1"/>
        <w:jc w:val="both"/>
      </w:pPr>
      <w:r>
        <w:rPr>
          <w:rStyle w:val="FootnoteReference"/>
          <w:rtl w:val="1"/>
        </w:rPr>
        <w:footnoteRef/>
      </w:r>
      <w:r>
        <w:rPr>
          <w:rFonts w:ascii="Times New Roman" w:hAnsi="Times New Roman" w:cs="B Nazanin"/>
          <w:sz w:val="22"/>
          <w:szCs w:val="22"/>
          <w:rtl w:val="1"/>
        </w:rPr>
        <w:t xml:space="preserve"> Para 7</w:t>
      </w:r>
    </w:p>
  </w:footnote>
  <w:footnote w:id="304">
    <w:p>
      <w:pPr>
        <w:pStyle w:val="FootnoteText"/>
        <w:bidi w:val="1"/>
        <w:jc w:val="both"/>
      </w:pPr>
      <w:r>
        <w:rPr>
          <w:rStyle w:val="FootnoteReference"/>
          <w:rtl w:val="1"/>
        </w:rPr>
        <w:footnoteRef/>
      </w:r>
      <w:r>
        <w:rPr>
          <w:rFonts w:ascii="Times New Roman" w:hAnsi="Times New Roman" w:cs="B Nazanin"/>
          <w:sz w:val="22"/>
          <w:szCs w:val="22"/>
          <w:rtl w:val="1"/>
        </w:rPr>
        <w:t xml:space="preserve"> Intersectional</w:t>
      </w:r>
    </w:p>
  </w:footnote>
  <w:footnote w:id="305">
    <w:p>
      <w:pPr>
        <w:pStyle w:val="FootnoteText"/>
        <w:bidi w:val="1"/>
        <w:jc w:val="both"/>
      </w:pPr>
      <w:r>
        <w:rPr>
          <w:rStyle w:val="FootnoteReference"/>
          <w:rtl w:val="1"/>
        </w:rPr>
        <w:footnoteRef/>
      </w:r>
      <w:r>
        <w:rPr>
          <w:rFonts w:ascii="Times New Roman" w:hAnsi="Times New Roman" w:cs="B Nazanin"/>
          <w:sz w:val="22"/>
          <w:szCs w:val="22"/>
          <w:rtl w:val="1"/>
        </w:rPr>
        <w:t xml:space="preserve"> Holistic</w:t>
      </w:r>
    </w:p>
  </w:footnote>
  <w:footnote w:id="306">
    <w:p>
      <w:pPr>
        <w:pStyle w:val="FootnoteText"/>
        <w:bidi w:val="1"/>
        <w:jc w:val="both"/>
      </w:pPr>
      <w:r>
        <w:rPr>
          <w:rStyle w:val="FootnoteReference"/>
          <w:rtl w:val="1"/>
        </w:rPr>
        <w:footnoteRef/>
      </w:r>
      <w:r>
        <w:rPr>
          <w:rFonts w:ascii="Times New Roman" w:hAnsi="Times New Roman" w:cs="B Nazanin"/>
          <w:sz w:val="22"/>
          <w:szCs w:val="22"/>
          <w:rtl w:val="1"/>
        </w:rPr>
        <w:t xml:space="preserve"> Environmentalization</w:t>
      </w:r>
    </w:p>
  </w:footnote>
  <w:footnote w:id="307">
    <w:p>
      <w:pPr>
        <w:pStyle w:val="FootnoteText"/>
        <w:bidi w:val="1"/>
        <w:jc w:val="both"/>
      </w:pPr>
      <w:r>
        <w:rPr>
          <w:rStyle w:val="FootnoteReference"/>
          <w:rtl w:val="1"/>
        </w:rPr>
        <w:footnoteRef/>
      </w:r>
      <w:r>
        <w:rPr>
          <w:rFonts w:ascii="Times New Roman" w:hAnsi="Times New Roman" w:cs="B Nazanin"/>
          <w:sz w:val="22"/>
          <w:szCs w:val="22"/>
          <w:rtl w:val="1"/>
        </w:rPr>
        <w:t xml:space="preserve"> نوت بر گزارش ص 14</w:t>
      </w:r>
    </w:p>
  </w:footnote>
  <w:footnote w:id="308">
    <w:p>
      <w:pPr>
        <w:pStyle w:val="FootnoteText"/>
        <w:bidi w:val="1"/>
        <w:jc w:val="both"/>
      </w:pPr>
      <w:r>
        <w:rPr>
          <w:rStyle w:val="FootnoteReference"/>
          <w:rtl w:val="1"/>
        </w:rPr>
        <w:footnoteRef/>
      </w:r>
      <w:r>
        <w:rPr>
          <w:rFonts w:ascii="Times New Roman" w:hAnsi="Times New Roman" w:cs="B Nazanin"/>
          <w:sz w:val="22"/>
          <w:szCs w:val="22"/>
          <w:rtl w:val="1"/>
        </w:rPr>
        <w:t xml:space="preserve"> Para 71</w:t>
      </w:r>
    </w:p>
  </w:footnote>
  <w:footnote w:id="309">
    <w:p>
      <w:pPr>
        <w:pStyle w:val="FootnoteText"/>
        <w:bidi w:val="1"/>
        <w:jc w:val="both"/>
      </w:pPr>
      <w:r>
        <w:rPr>
          <w:rStyle w:val="FootnoteReference"/>
          <w:rtl w:val="1"/>
        </w:rPr>
        <w:footnoteRef/>
      </w:r>
      <w:r>
        <w:rPr>
          <w:rFonts w:ascii="Times New Roman" w:hAnsi="Times New Roman" w:cs="B Nazanin"/>
          <w:sz w:val="22"/>
          <w:szCs w:val="22"/>
          <w:rtl w:val="1"/>
        </w:rPr>
        <w:t xml:space="preserve"> Para 71</w:t>
      </w:r>
    </w:p>
  </w:footnote>
  <w:footnote w:id="310">
    <w:p>
      <w:pPr>
        <w:pStyle w:val="FootnoteText"/>
        <w:bidi w:val="1"/>
        <w:jc w:val="both"/>
      </w:pPr>
      <w:r>
        <w:rPr>
          <w:rStyle w:val="FootnoteReference"/>
          <w:rtl w:val="1"/>
        </w:rPr>
        <w:footnoteRef/>
      </w:r>
      <w:r>
        <w:rPr>
          <w:rFonts w:ascii="Times New Roman" w:hAnsi="Times New Roman" w:cs="B Nazanin"/>
          <w:sz w:val="22"/>
          <w:szCs w:val="22"/>
          <w:rtl w:val="1"/>
        </w:rPr>
        <w:t xml:space="preserve"> mutual supportiveness</w:t>
      </w:r>
    </w:p>
  </w:footnote>
  <w:footnote w:id="311">
    <w:p>
      <w:pPr>
        <w:pStyle w:val="FootnoteText"/>
        <w:bidi w:val="1"/>
        <w:jc w:val="both"/>
      </w:pPr>
      <w:r>
        <w:rPr>
          <w:rStyle w:val="FootnoteReference"/>
          <w:rtl w:val="1"/>
        </w:rPr>
        <w:footnoteRef/>
      </w:r>
      <w:r>
        <w:rPr>
          <w:rFonts w:ascii="Times New Roman" w:hAnsi="Times New Roman" w:cs="B Nazanin"/>
          <w:sz w:val="22"/>
          <w:szCs w:val="22"/>
          <w:rtl w:val="1"/>
        </w:rPr>
        <w:t xml:space="preserve"> Para 71</w:t>
      </w:r>
    </w:p>
  </w:footnote>
  <w:footnote w:id="312">
    <w:p>
      <w:pPr>
        <w:pStyle w:val="FootnoteText"/>
        <w:bidi w:val="1"/>
        <w:jc w:val="both"/>
      </w:pPr>
      <w:r>
        <w:rPr>
          <w:rStyle w:val="FootnoteReference"/>
          <w:rtl w:val="1"/>
        </w:rPr>
        <w:footnoteRef/>
      </w:r>
      <w:r>
        <w:rPr>
          <w:rFonts w:ascii="Times New Roman" w:hAnsi="Times New Roman" w:cs="B Nazanin"/>
          <w:sz w:val="22"/>
          <w:szCs w:val="22"/>
          <w:rtl w:val="1"/>
        </w:rPr>
        <w:t xml:space="preserve"> در مقدمه کنوانسیون</w:t>
      </w:r>
    </w:p>
  </w:footnote>
  <w:footnote w:id="313">
    <w:p>
      <w:pPr>
        <w:pStyle w:val="FootnoteText"/>
        <w:bidi w:val="1"/>
        <w:jc w:val="both"/>
      </w:pPr>
      <w:r>
        <w:rPr>
          <w:rStyle w:val="FootnoteReference"/>
          <w:rtl w:val="1"/>
        </w:rPr>
        <w:footnoteRef/>
      </w:r>
      <w:r>
        <w:rPr>
          <w:rFonts w:ascii="Times New Roman" w:hAnsi="Times New Roman" w:cs="B Nazanin"/>
          <w:sz w:val="22"/>
          <w:szCs w:val="22"/>
          <w:rtl w:val="1"/>
        </w:rPr>
        <w:t xml:space="preserve"> Stephanie Switzer, TheWorld Trade Organization Dispute Settlement Mechanism, p.139, in: The Environment Through the Lens of International Courts and Tribunals, edited by Edgardo Sobenes, Sarah Mead , Benjamin Samson, Published by t.m.c. asser press, The Hague, The Netherlands, 2022</w:t>
      </w:r>
    </w:p>
  </w:footnote>
  <w:footnote w:id="314">
    <w:p>
      <w:pPr>
        <w:pStyle w:val="FootnoteText"/>
        <w:bidi w:val="1"/>
        <w:jc w:val="both"/>
      </w:pPr>
      <w:r>
        <w:rPr>
          <w:rStyle w:val="FootnoteReference"/>
          <w:rtl w:val="1"/>
        </w:rPr>
        <w:footnoteRef/>
      </w:r>
      <w:r>
        <w:rPr>
          <w:rFonts w:ascii="Times New Roman" w:hAnsi="Times New Roman" w:cs="B Nazanin"/>
          <w:sz w:val="22"/>
          <w:szCs w:val="22"/>
          <w:rtl w:val="1"/>
        </w:rPr>
        <w:t xml:space="preserve"> نوت بر گزارش دبیرکل ص 14</w:t>
      </w:r>
    </w:p>
  </w:footnote>
  <w:footnote w:id="315">
    <w:p>
      <w:pPr>
        <w:pStyle w:val="FootnoteText"/>
        <w:bidi w:val="1"/>
        <w:jc w:val="both"/>
      </w:pPr>
      <w:r>
        <w:rPr>
          <w:rStyle w:val="FootnoteReference"/>
          <w:rtl w:val="1"/>
        </w:rPr>
        <w:footnoteRef/>
      </w:r>
      <w:r>
        <w:rPr>
          <w:rFonts w:ascii="Times New Roman" w:hAnsi="Times New Roman" w:cs="B Nazanin"/>
          <w:sz w:val="22"/>
          <w:szCs w:val="22"/>
          <w:rtl w:val="1"/>
        </w:rPr>
        <w:t xml:space="preserve"> Para 72</w:t>
      </w:r>
    </w:p>
  </w:footnote>
  <w:footnote w:id="316">
    <w:p>
      <w:pPr>
        <w:pStyle w:val="FootnoteText"/>
        <w:bidi w:val="1"/>
        <w:jc w:val="both"/>
      </w:pPr>
      <w:r>
        <w:rPr>
          <w:rStyle w:val="FootnoteReference"/>
          <w:rtl w:val="1"/>
        </w:rPr>
        <w:footnoteRef/>
      </w:r>
      <w:r>
        <w:rPr>
          <w:rFonts w:ascii="Times New Roman" w:hAnsi="Times New Roman" w:cs="B Nazanin"/>
          <w:sz w:val="22"/>
          <w:szCs w:val="22"/>
          <w:rtl w:val="1"/>
        </w:rPr>
        <w:t xml:space="preserve"> Thomas Waelde and Abba Kolo, Environmental Regulation, Investment Protection and 'Regulatory Taking' inInternational Law, The International and Comparative Law Quarterly, Oct., 2001, Vol. 50, No. 4 (Oct., 2001), pp. 811-848, P.814</w:t>
      </w:r>
    </w:p>
  </w:footnote>
  <w:footnote w:id="317">
    <w:p>
      <w:pPr>
        <w:pStyle w:val="FootnoteText"/>
        <w:bidi w:val="1"/>
        <w:jc w:val="both"/>
      </w:pPr>
      <w:r>
        <w:rPr>
          <w:rStyle w:val="FootnoteReference"/>
          <w:rtl w:val="1"/>
        </w:rPr>
        <w:footnoteRef/>
      </w:r>
      <w:r>
        <w:rPr>
          <w:rFonts w:ascii="Times New Roman" w:hAnsi="Times New Roman" w:cs="B Nazanin"/>
          <w:sz w:val="22"/>
          <w:szCs w:val="22"/>
          <w:rtl w:val="1"/>
        </w:rPr>
        <w:t xml:space="preserve"> https://investmentpolicy.unctad.org/news/hub/1781/20251117-a-policy-and-legal-roadblock-to-net-zero reforming-investment-agreements-for-climate-action</w:t>
      </w:r>
    </w:p>
  </w:footnote>
  <w:footnote w:id="318">
    <w:p>
      <w:pPr>
        <w:pStyle w:val="FootnoteText"/>
        <w:bidi w:val="1"/>
        <w:jc w:val="both"/>
      </w:pPr>
      <w:r>
        <w:rPr>
          <w:rStyle w:val="FootnoteReference"/>
          <w:rtl w:val="1"/>
        </w:rPr>
        <w:footnoteRef/>
      </w:r>
      <w:r>
        <w:rPr>
          <w:rFonts w:ascii="Times New Roman" w:hAnsi="Times New Roman" w:cs="B Nazanin"/>
          <w:sz w:val="22"/>
          <w:szCs w:val="22"/>
          <w:rtl w:val="1"/>
        </w:rPr>
        <w:t xml:space="preserve"> Mmiselo Freedom Qumba, Incorporating Sustainable Development Principles in Africa's Investment Treaty Making. Journal of Comparative Law in Africa, 11(2), 2024, , pp. 43-79. , p.44-45.</w:t>
      </w:r>
    </w:p>
  </w:footnote>
  <w:footnote w:id="319">
    <w:p>
      <w:pPr>
        <w:pStyle w:val="FootnoteText"/>
        <w:bidi w:val="1"/>
        <w:jc w:val="both"/>
      </w:pPr>
      <w:r>
        <w:rPr>
          <w:rStyle w:val="FootnoteReference"/>
          <w:rtl w:val="1"/>
        </w:rPr>
        <w:footnoteRef/>
      </w:r>
      <w:r>
        <w:rPr>
          <w:rFonts w:ascii="Times New Roman" w:hAnsi="Times New Roman" w:cs="B Nazanin"/>
          <w:sz w:val="22"/>
          <w:szCs w:val="22"/>
          <w:rtl w:val="1"/>
        </w:rPr>
        <w:t xml:space="preserve"> Para 72</w:t>
      </w:r>
    </w:p>
  </w:footnote>
  <w:footnote w:id="320">
    <w:p>
      <w:pPr>
        <w:pStyle w:val="FootnoteText"/>
        <w:bidi w:val="1"/>
        <w:jc w:val="both"/>
      </w:pPr>
      <w:r>
        <w:rPr>
          <w:rStyle w:val="FootnoteReference"/>
          <w:rtl w:val="1"/>
        </w:rPr>
        <w:footnoteRef/>
      </w:r>
      <w:r>
        <w:rPr>
          <w:rFonts w:ascii="Times New Roman" w:hAnsi="Times New Roman" w:cs="B Nazanin"/>
          <w:sz w:val="22"/>
          <w:szCs w:val="22"/>
          <w:rtl w:val="1"/>
        </w:rPr>
        <w:t xml:space="preserve"> Para 72</w:t>
      </w:r>
    </w:p>
  </w:footnote>
  <w:footnote w:id="321">
    <w:p>
      <w:pPr>
        <w:pStyle w:val="FootnoteText"/>
        <w:bidi w:val="1"/>
        <w:jc w:val="both"/>
      </w:pPr>
      <w:r>
        <w:rPr>
          <w:rStyle w:val="FootnoteReference"/>
          <w:rtl w:val="1"/>
        </w:rPr>
        <w:footnoteRef/>
      </w:r>
      <w:r>
        <w:rPr>
          <w:rFonts w:ascii="Times New Roman" w:hAnsi="Times New Roman" w:cs="B Nazanin"/>
          <w:sz w:val="22"/>
          <w:szCs w:val="22"/>
          <w:rtl w:val="1"/>
        </w:rPr>
        <w:t xml:space="preserve"> Agreement on Trade-Related Aspects of Intellectual Property Rights known as TRIPS</w:t>
      </w:r>
    </w:p>
  </w:footnote>
  <w:footnote w:id="322">
    <w:p>
      <w:pPr>
        <w:pStyle w:val="FootnoteText"/>
        <w:bidi w:val="1"/>
        <w:jc w:val="both"/>
      </w:pPr>
      <w:r>
        <w:rPr>
          <w:rStyle w:val="FootnoteReference"/>
          <w:rtl w:val="1"/>
        </w:rPr>
        <w:footnoteRef/>
      </w:r>
      <w:r>
        <w:rPr>
          <w:rFonts w:ascii="Times New Roman" w:hAnsi="Times New Roman" w:cs="B Nazanin"/>
          <w:sz w:val="22"/>
          <w:szCs w:val="22"/>
          <w:rtl w:val="1"/>
        </w:rPr>
        <w:t xml:space="preserve"> Convention on Biological Diversity</w:t>
      </w:r>
    </w:p>
  </w:footnote>
  <w:footnote w:id="323">
    <w:p>
      <w:pPr>
        <w:pStyle w:val="FootnoteText"/>
        <w:bidi w:val="1"/>
        <w:jc w:val="both"/>
      </w:pPr>
      <w:r>
        <w:rPr>
          <w:rStyle w:val="FootnoteReference"/>
          <w:rtl w:val="1"/>
        </w:rPr>
        <w:footnoteRef/>
      </w:r>
      <w:r>
        <w:rPr>
          <w:rFonts w:ascii="Times New Roman" w:hAnsi="Times New Roman" w:cs="B Nazanin"/>
          <w:sz w:val="22"/>
          <w:szCs w:val="22"/>
          <w:rtl w:val="1"/>
        </w:rPr>
        <w:t xml:space="preserve"> The Nagoya Protocol on Access and Benefit-sharing</w:t>
      </w:r>
    </w:p>
  </w:footnote>
  <w:footnote w:id="324">
    <w:p>
      <w:pPr>
        <w:pStyle w:val="FootnoteText"/>
        <w:bidi w:val="1"/>
        <w:jc w:val="both"/>
      </w:pPr>
      <w:r>
        <w:rPr>
          <w:rStyle w:val="FootnoteReference"/>
          <w:rtl w:val="1"/>
        </w:rPr>
        <w:footnoteRef/>
      </w:r>
      <w:r>
        <w:rPr>
          <w:rFonts w:ascii="Times New Roman" w:hAnsi="Times New Roman" w:cs="B Nazanin"/>
          <w:sz w:val="22"/>
          <w:szCs w:val="22"/>
          <w:rtl w:val="1"/>
        </w:rPr>
        <w:t xml:space="preserve"> Pallavi Mishra, he TRIPS-CBD conflict: how global trade regimes undermine access and benefit-sharing and perpetuate biopiracy against biodiversity-rich nations, Biodiversity and Conservation (2026), 1-40, P.22.</w:t>
      </w:r>
    </w:p>
  </w:footnote>
  <w:footnote w:id="325">
    <w:p>
      <w:pPr>
        <w:pStyle w:val="FootnoteText"/>
        <w:bidi w:val="1"/>
        <w:jc w:val="both"/>
      </w:pPr>
      <w:r>
        <w:rPr>
          <w:rStyle w:val="FootnoteReference"/>
          <w:rtl w:val="1"/>
        </w:rPr>
        <w:footnoteRef/>
      </w:r>
      <w:r>
        <w:rPr>
          <w:rFonts w:ascii="Times New Roman" w:hAnsi="Times New Roman" w:cs="B Nazanin"/>
          <w:sz w:val="22"/>
          <w:szCs w:val="22"/>
          <w:rtl w:val="1"/>
        </w:rPr>
        <w:t xml:space="preserve"> WIPO Treaty on Intellectual Property, Genetic Resources and Associated Traditional Knowledge, Adopted at Geneva on May 24, 2024</w:t>
      </w:r>
    </w:p>
  </w:footnote>
  <w:footnote w:id="326">
    <w:p>
      <w:pPr>
        <w:pStyle w:val="FootnoteText"/>
        <w:bidi w:val="1"/>
        <w:jc w:val="both"/>
      </w:pPr>
      <w:r>
        <w:rPr>
          <w:rStyle w:val="FootnoteReference"/>
          <w:rtl w:val="1"/>
        </w:rPr>
        <w:footnoteRef/>
      </w:r>
      <w:r>
        <w:rPr>
          <w:rFonts w:ascii="Times New Roman" w:hAnsi="Times New Roman" w:cs="B Nazanin"/>
          <w:sz w:val="22"/>
          <w:szCs w:val="22"/>
          <w:rtl w:val="1"/>
        </w:rPr>
        <w:t xml:space="preserve"> A/HRC/31/52, Report of the Special Rapporteur on the issue of human rights obligations relating to the enjoyment of a safe, clean, healthy and sustainable environment,1 February 2016, para 9.</w:t>
      </w:r>
    </w:p>
  </w:footnote>
  <w:footnote w:id="327">
    <w:p>
      <w:pPr>
        <w:pStyle w:val="FootnoteText"/>
        <w:bidi w:val="1"/>
        <w:jc w:val="both"/>
      </w:pPr>
      <w:r>
        <w:rPr>
          <w:rStyle w:val="FootnoteReference"/>
          <w:rtl w:val="1"/>
        </w:rPr>
        <w:footnoteRef/>
      </w:r>
      <w:r>
        <w:rPr>
          <w:rFonts w:ascii="Times New Roman" w:hAnsi="Times New Roman" w:cs="B Nazanin"/>
          <w:sz w:val="22"/>
          <w:szCs w:val="22"/>
          <w:rtl w:val="1"/>
        </w:rPr>
        <w:t xml:space="preserve"> Para 75</w:t>
      </w:r>
    </w:p>
  </w:footnote>
  <w:footnote w:id="328">
    <w:p>
      <w:pPr>
        <w:pStyle w:val="FootnoteText"/>
        <w:bidi w:val="1"/>
        <w:jc w:val="both"/>
      </w:pPr>
      <w:r>
        <w:rPr>
          <w:rStyle w:val="FootnoteReference"/>
          <w:rtl w:val="1"/>
        </w:rPr>
        <w:footnoteRef/>
      </w:r>
      <w:r>
        <w:rPr>
          <w:rFonts w:ascii="Times New Roman" w:hAnsi="Times New Roman" w:cs="B Nazanin"/>
          <w:sz w:val="22"/>
          <w:szCs w:val="22"/>
          <w:rtl w:val="1"/>
        </w:rPr>
        <w:t xml:space="preserve"> CRC/C/GC/26, General comment No. 26 (2023) on children’s rights and the environment, with a special focus on climate change, 22 August 2023, para 9.</w:t>
      </w:r>
    </w:p>
  </w:footnote>
  <w:footnote w:id="329">
    <w:p>
      <w:pPr>
        <w:pStyle w:val="FootnoteText"/>
        <w:bidi w:val="1"/>
        <w:jc w:val="both"/>
      </w:pPr>
      <w:r>
        <w:rPr>
          <w:rStyle w:val="FootnoteReference"/>
          <w:rtl w:val="1"/>
        </w:rPr>
        <w:footnoteRef/>
      </w:r>
      <w:r>
        <w:rPr>
          <w:rFonts w:ascii="Times New Roman" w:hAnsi="Times New Roman" w:cs="B Nazanin"/>
          <w:sz w:val="22"/>
          <w:szCs w:val="22"/>
          <w:rtl w:val="1"/>
        </w:rPr>
        <w:t xml:space="preserve"> Hélène Tigroudja, fROM THE “GREEN TURN” TO THE RECOGNITION OF AN AUTONOMOUS RIGHT TO A HEALTHY ENVIRONMENT: ACHIEVEMENTS AND CHALLENGES IN THE PRACTICE OF UN TREATY BODIES, AJIL Unbound, Volume 117, 2023, pp. 179 – 183, p.179.</w:t>
      </w:r>
    </w:p>
  </w:footnote>
  <w:footnote w:id="330">
    <w:p>
      <w:pPr>
        <w:pStyle w:val="FootnoteText"/>
        <w:bidi w:val="1"/>
        <w:jc w:val="both"/>
      </w:pPr>
      <w:r>
        <w:rPr>
          <w:rStyle w:val="FootnoteReference"/>
          <w:rtl w:val="1"/>
        </w:rPr>
        <w:footnoteRef/>
      </w:r>
      <w:r>
        <w:rPr>
          <w:rFonts w:ascii="Times New Roman" w:hAnsi="Times New Roman" w:cs="B Nazanin"/>
          <w:sz w:val="22"/>
          <w:szCs w:val="22"/>
          <w:rtl w:val="1"/>
        </w:rPr>
        <w:t xml:space="preserve"> Para 75</w:t>
      </w:r>
    </w:p>
  </w:footnote>
  <w:footnote w:id="331">
    <w:p>
      <w:pPr>
        <w:pStyle w:val="FootnoteText"/>
        <w:bidi w:val="1"/>
        <w:jc w:val="both"/>
      </w:pPr>
      <w:r>
        <w:rPr>
          <w:rStyle w:val="FootnoteReference"/>
          <w:rtl w:val="1"/>
        </w:rPr>
        <w:footnoteRef/>
      </w:r>
      <w:r>
        <w:rPr>
          <w:rFonts w:ascii="Times New Roman" w:hAnsi="Times New Roman" w:cs="B Nazanin"/>
          <w:sz w:val="22"/>
          <w:szCs w:val="22"/>
          <w:rtl w:val="1"/>
        </w:rPr>
        <w:t xml:space="preserve"> African Charter on Human and Peoples' Rights (Banjul Charter) adopted June 27, 1981, article 24</w:t>
      </w:r>
    </w:p>
  </w:footnote>
  <w:footnote w:id="332">
    <w:p>
      <w:pPr>
        <w:pStyle w:val="FootnoteText"/>
        <w:bidi w:val="1"/>
        <w:jc w:val="both"/>
      </w:pPr>
      <w:r>
        <w:rPr>
          <w:rStyle w:val="FootnoteReference"/>
          <w:rtl w:val="1"/>
        </w:rPr>
        <w:footnoteRef/>
      </w:r>
      <w:r>
        <w:rPr>
          <w:rFonts w:ascii="Times New Roman" w:hAnsi="Times New Roman" w:cs="B Nazanin"/>
          <w:sz w:val="22"/>
          <w:szCs w:val="22"/>
          <w:rtl w:val="1"/>
        </w:rPr>
        <w:t xml:space="preserve"> PROTOCOL OF SAN SALVADOR, ADDITIONAL PROTOCOL TO THE AMERICAN CONVENTION ON HUMAN RIGHTS IN THE AREA OF ECONOMIC, SOCIAL AND CULTURAL RIGHTS, adopted November 17, 1988, Article 11 and Regional Agreement on Access to Information, Public Participation and Justice in Environmental Matters in Latin America and the Caribbean, known as Escazú Agreement, 4 March 2018, article 4(1).</w:t>
      </w:r>
    </w:p>
  </w:footnote>
  <w:footnote w:id="333">
    <w:p>
      <w:pPr>
        <w:pStyle w:val="FootnoteText"/>
        <w:bidi w:val="1"/>
        <w:jc w:val="both"/>
      </w:pPr>
      <w:r>
        <w:rPr>
          <w:rStyle w:val="FootnoteReference"/>
          <w:rtl w:val="1"/>
        </w:rPr>
        <w:footnoteRef/>
      </w:r>
      <w:r>
        <w:rPr>
          <w:rFonts w:ascii="Times New Roman" w:hAnsi="Times New Roman" w:cs="B Nazanin"/>
          <w:sz w:val="22"/>
          <w:szCs w:val="22"/>
          <w:rtl w:val="1"/>
        </w:rPr>
        <w:t xml:space="preserve"> Morne van der Linde and Lirette Louw, "The right to a satisfactory environment and the African Commission", African Human Rights Law Journal, Vol. 3, 2003, p. 175.</w:t>
      </w:r>
    </w:p>
  </w:footnote>
  <w:footnote w:id="334">
    <w:p>
      <w:pPr>
        <w:pStyle w:val="FootnoteText"/>
        <w:bidi w:val="1"/>
        <w:jc w:val="both"/>
      </w:pPr>
      <w:r>
        <w:rPr>
          <w:rStyle w:val="FootnoteReference"/>
          <w:rtl w:val="1"/>
        </w:rPr>
        <w:footnoteRef/>
      </w:r>
      <w:r>
        <w:rPr>
          <w:rFonts w:ascii="Times New Roman" w:hAnsi="Times New Roman" w:cs="B Nazanin"/>
          <w:sz w:val="22"/>
          <w:szCs w:val="22"/>
          <w:rtl w:val="1"/>
        </w:rPr>
        <w:t xml:space="preserve"> Para 75</w:t>
      </w:r>
    </w:p>
  </w:footnote>
  <w:footnote w:id="335">
    <w:p>
      <w:pPr>
        <w:pStyle w:val="FootnoteText"/>
        <w:bidi w:val="1"/>
        <w:jc w:val="both"/>
      </w:pPr>
      <w:r>
        <w:rPr>
          <w:rStyle w:val="FootnoteReference"/>
          <w:rtl w:val="1"/>
        </w:rPr>
        <w:footnoteRef/>
      </w:r>
      <w:r>
        <w:rPr>
          <w:rFonts w:ascii="Times New Roman" w:hAnsi="Times New Roman" w:cs="B Nazanin"/>
          <w:sz w:val="22"/>
          <w:szCs w:val="22"/>
          <w:rtl w:val="1"/>
        </w:rPr>
        <w:t xml:space="preserve"> concluding observations</w:t>
      </w:r>
    </w:p>
  </w:footnote>
  <w:footnote w:id="336">
    <w:p>
      <w:pPr>
        <w:pStyle w:val="FootnoteText"/>
        <w:bidi w:val="1"/>
        <w:jc w:val="both"/>
      </w:pPr>
      <w:r>
        <w:rPr>
          <w:rStyle w:val="FootnoteReference"/>
          <w:rtl w:val="1"/>
        </w:rPr>
        <w:footnoteRef/>
      </w:r>
      <w:r>
        <w:rPr>
          <w:rFonts w:ascii="Times New Roman" w:hAnsi="Times New Roman" w:cs="B Nazanin"/>
          <w:sz w:val="22"/>
          <w:szCs w:val="22"/>
          <w:rtl w:val="1"/>
        </w:rPr>
        <w:t xml:space="preserve"> Sumudu Atapattu, UN Human Rights Institutions and the Environment Synergies, Challenges, Trajectories, Routledge Explorations in Environmental Studies,2023, p.18.</w:t>
      </w:r>
    </w:p>
  </w:footnote>
  <w:footnote w:id="337">
    <w:p>
      <w:pPr>
        <w:pStyle w:val="FootnoteText"/>
        <w:bidi w:val="1"/>
        <w:jc w:val="both"/>
      </w:pPr>
      <w:r>
        <w:rPr>
          <w:rStyle w:val="FootnoteReference"/>
          <w:rtl w:val="1"/>
        </w:rPr>
        <w:footnoteRef/>
      </w:r>
      <w:r>
        <w:rPr>
          <w:rFonts w:ascii="Times New Roman" w:hAnsi="Times New Roman" w:cs="B Nazanin"/>
          <w:sz w:val="22"/>
          <w:szCs w:val="22"/>
          <w:rtl w:val="1"/>
        </w:rPr>
        <w:t xml:space="preserve"> Special Rapporteur on the human rights to safe drinking water and sanitation</w:t>
      </w:r>
    </w:p>
  </w:footnote>
  <w:footnote w:id="338">
    <w:p>
      <w:pPr>
        <w:pStyle w:val="FootnoteText"/>
        <w:bidi w:val="1"/>
        <w:jc w:val="both"/>
      </w:pPr>
      <w:r>
        <w:rPr>
          <w:rStyle w:val="FootnoteReference"/>
          <w:rtl w:val="1"/>
        </w:rPr>
        <w:footnoteRef/>
      </w:r>
      <w:r>
        <w:rPr>
          <w:rFonts w:ascii="Times New Roman" w:hAnsi="Times New Roman" w:cs="B Nazanin"/>
          <w:sz w:val="22"/>
          <w:szCs w:val="22"/>
          <w:rtl w:val="1"/>
        </w:rPr>
        <w:t xml:space="preserve"> Special Rapporteur on the human right to a clean, healthy and sustainable environment</w:t>
      </w:r>
    </w:p>
  </w:footnote>
  <w:footnote w:id="339">
    <w:p>
      <w:pPr>
        <w:pStyle w:val="FootnoteText"/>
        <w:bidi w:val="1"/>
        <w:jc w:val="both"/>
      </w:pPr>
      <w:r>
        <w:rPr>
          <w:rStyle w:val="FootnoteReference"/>
          <w:rtl w:val="1"/>
        </w:rPr>
        <w:footnoteRef/>
      </w:r>
      <w:r>
        <w:rPr>
          <w:rFonts w:ascii="Times New Roman" w:hAnsi="Times New Roman" w:cs="B Nazanin"/>
          <w:sz w:val="22"/>
          <w:szCs w:val="22"/>
          <w:rtl w:val="1"/>
        </w:rPr>
        <w:t xml:space="preserve"> Special Rapporteur on the promotion and protection of human rights in the context of climate change</w:t>
      </w:r>
    </w:p>
  </w:footnote>
  <w:footnote w:id="340">
    <w:p>
      <w:pPr>
        <w:pStyle w:val="FootnoteText"/>
        <w:bidi w:val="1"/>
        <w:jc w:val="both"/>
      </w:pPr>
      <w:r>
        <w:rPr>
          <w:rStyle w:val="FootnoteReference"/>
          <w:rtl w:val="1"/>
        </w:rPr>
        <w:footnoteRef/>
      </w:r>
      <w:r>
        <w:rPr>
          <w:rFonts w:ascii="Times New Roman" w:hAnsi="Times New Roman" w:cs="B Nazanin"/>
          <w:sz w:val="22"/>
          <w:szCs w:val="22"/>
          <w:rtl w:val="1"/>
        </w:rPr>
        <w:t xml:space="preserve"> A/HRC/RES/48/13, The human right to a clean, healthy and sustainable environment, 18 October 2021, OP 1.</w:t>
      </w:r>
    </w:p>
  </w:footnote>
  <w:footnote w:id="341">
    <w:p>
      <w:pPr>
        <w:pStyle w:val="FootnoteText"/>
        <w:bidi w:val="1"/>
        <w:jc w:val="both"/>
      </w:pPr>
      <w:r>
        <w:rPr>
          <w:rStyle w:val="FootnoteReference"/>
          <w:rtl w:val="1"/>
        </w:rPr>
        <w:footnoteRef/>
      </w:r>
      <w:r>
        <w:rPr>
          <w:rFonts w:ascii="Times New Roman" w:hAnsi="Times New Roman" w:cs="B Nazanin"/>
          <w:sz w:val="22"/>
          <w:szCs w:val="22"/>
          <w:rtl w:val="1"/>
        </w:rPr>
        <w:t xml:space="preserve"> A/RES/76/300, The human right to a clean, healthy and sustainable environment, 1 August 2022, OP 1.</w:t>
      </w:r>
    </w:p>
  </w:footnote>
  <w:footnote w:id="342">
    <w:p>
      <w:pPr>
        <w:pStyle w:val="FootnoteText"/>
        <w:bidi w:val="1"/>
        <w:jc w:val="both"/>
      </w:pPr>
      <w:r>
        <w:rPr>
          <w:rStyle w:val="FootnoteReference"/>
          <w:rtl w:val="1"/>
        </w:rPr>
        <w:footnoteRef/>
      </w:r>
      <w:r>
        <w:rPr>
          <w:rFonts w:ascii="Times New Roman" w:hAnsi="Times New Roman" w:cs="B Nazanin"/>
          <w:sz w:val="22"/>
          <w:szCs w:val="22"/>
          <w:rtl w:val="1"/>
        </w:rPr>
        <w:t xml:space="preserve"> Maria Antonia Tigre and Natalia Urzola, the 2017 Inter-American Court's Advisory Opinion: changing the paradigm for international environmental law in the Anthropocene, Journal of Human Rights and the Environment,2021, vol. 12, issue 1, pp. 24-50, p.24.</w:t>
      </w:r>
    </w:p>
  </w:footnote>
  <w:footnote w:id="343">
    <w:p>
      <w:pPr>
        <w:pStyle w:val="FootnoteText"/>
        <w:bidi w:val="1"/>
        <w:jc w:val="both"/>
      </w:pPr>
      <w:r>
        <w:rPr>
          <w:rStyle w:val="FootnoteReference"/>
          <w:rtl w:val="1"/>
        </w:rPr>
        <w:footnoteRef/>
      </w:r>
      <w:r>
        <w:rPr>
          <w:rFonts w:ascii="Times New Roman" w:hAnsi="Times New Roman" w:cs="B Nazanin"/>
          <w:sz w:val="22"/>
          <w:szCs w:val="22"/>
          <w:rtl w:val="1"/>
        </w:rPr>
        <w:t xml:space="preserve"> Jus Cogens</w:t>
      </w:r>
    </w:p>
  </w:footnote>
  <w:footnote w:id="344">
    <w:p>
      <w:pPr>
        <w:pStyle w:val="FootnoteText"/>
        <w:bidi w:val="1"/>
        <w:jc w:val="both"/>
      </w:pPr>
      <w:r>
        <w:rPr>
          <w:rStyle w:val="FootnoteReference"/>
          <w:rtl w:val="1"/>
        </w:rPr>
        <w:footnoteRef/>
      </w:r>
      <w:r>
        <w:rPr>
          <w:rFonts w:ascii="Times New Roman" w:hAnsi="Times New Roman" w:cs="B Nazanin"/>
          <w:sz w:val="22"/>
          <w:szCs w:val="22"/>
          <w:rtl w:val="1"/>
        </w:rPr>
        <w:t xml:space="preserve"> inter-American Court of Human Rights, Advisory Opinion AO-32/25 of May 29, 2025: Climate Emergency and Human Rights*, paras. 287-294.</w:t>
      </w:r>
    </w:p>
  </w:footnote>
  <w:footnote w:id="345">
    <w:p>
      <w:pPr>
        <w:pStyle w:val="FootnoteText"/>
        <w:bidi w:val="1"/>
        <w:jc w:val="both"/>
      </w:pPr>
      <w:r>
        <w:rPr>
          <w:rStyle w:val="FootnoteReference"/>
          <w:rtl w:val="1"/>
        </w:rPr>
        <w:footnoteRef/>
      </w:r>
      <w:r>
        <w:rPr>
          <w:rFonts w:ascii="Times New Roman" w:hAnsi="Times New Roman" w:cs="B Nazanin"/>
          <w:sz w:val="22"/>
          <w:szCs w:val="22"/>
          <w:rtl w:val="1"/>
        </w:rPr>
        <w:t xml:space="preserve"> Erga Omnes</w:t>
      </w:r>
    </w:p>
  </w:footnote>
  <w:footnote w:id="346">
    <w:p>
      <w:pPr>
        <w:pStyle w:val="FootnoteText"/>
        <w:bidi w:val="1"/>
        <w:jc w:val="both"/>
      </w:pPr>
      <w:r>
        <w:rPr>
          <w:rStyle w:val="FootnoteReference"/>
          <w:rtl w:val="1"/>
        </w:rPr>
        <w:footnoteRef/>
      </w:r>
      <w:r>
        <w:rPr>
          <w:rFonts w:ascii="Times New Roman" w:hAnsi="Times New Roman" w:cs="B Nazanin"/>
          <w:sz w:val="22"/>
          <w:szCs w:val="22"/>
          <w:rtl w:val="1"/>
        </w:rPr>
        <w:t xml:space="preserve"> INTERNATIONAL COURT OF JUSTICE, ADVISORY OPINION on obligations of States in respect of climate change, 23 JULY 2025, p. 6.</w:t>
      </w:r>
    </w:p>
  </w:footnote>
  <w:footnote w:id="347">
    <w:p>
      <w:pPr>
        <w:pStyle w:val="FootnoteText"/>
        <w:bidi w:val="1"/>
        <w:jc w:val="both"/>
      </w:pPr>
      <w:r>
        <w:rPr>
          <w:rStyle w:val="FootnoteReference"/>
          <w:rtl w:val="1"/>
        </w:rPr>
        <w:footnoteRef/>
      </w:r>
      <w:r>
        <w:rPr>
          <w:rFonts w:ascii="Times New Roman" w:hAnsi="Times New Roman" w:cs="B Nazanin"/>
          <w:sz w:val="22"/>
          <w:szCs w:val="22"/>
          <w:rtl w:val="1"/>
        </w:rPr>
        <w:t xml:space="preserve"> practice-based approach</w:t>
      </w:r>
    </w:p>
  </w:footnote>
  <w:footnote w:id="348">
    <w:p>
      <w:pPr>
        <w:pStyle w:val="FootnoteText"/>
        <w:bidi w:val="1"/>
        <w:jc w:val="both"/>
      </w:pPr>
      <w:r>
        <w:rPr>
          <w:rStyle w:val="FootnoteReference"/>
          <w:rtl w:val="1"/>
        </w:rPr>
        <w:footnoteRef/>
      </w:r>
      <w:r>
        <w:rPr>
          <w:rFonts w:ascii="Times New Roman" w:hAnsi="Times New Roman" w:cs="B Nazanin"/>
          <w:sz w:val="22"/>
          <w:szCs w:val="22"/>
          <w:rtl w:val="1"/>
        </w:rPr>
        <w:t xml:space="preserve"> Ezgi Yildiz, Enduring Practices in Changing Circumstances: A Comparison of the European Court of Human Rights and the Inter-American Court of Human Rights, November 2020, Temple International and Comparative Law Journal 34(2):309-338, p. 335.</w:t>
      </w:r>
    </w:p>
  </w:footnote>
  <w:footnote w:id="349">
    <w:p>
      <w:pPr>
        <w:pStyle w:val="FootnoteText"/>
        <w:bidi w:val="1"/>
        <w:jc w:val="both"/>
      </w:pPr>
      <w:r>
        <w:rPr>
          <w:rStyle w:val="FootnoteReference"/>
          <w:rtl w:val="1"/>
        </w:rPr>
        <w:footnoteRef/>
      </w:r>
      <w:r>
        <w:rPr>
          <w:rFonts w:ascii="Times New Roman" w:hAnsi="Times New Roman" w:cs="B Nazanin"/>
          <w:sz w:val="22"/>
          <w:szCs w:val="22"/>
          <w:rtl w:val="1"/>
        </w:rPr>
        <w:t xml:space="preserve"> هنجارهای مذاکره‌نشده، به قواعدی گفته می‌شود که توسط مراجع قضایی بین‌المللی (مانند دیوان بین‌المللی دادگستری) یا ارکان معاهدهای (مانند کمیته حقوق کودک سازمان ملل) شناسایی، تفسیر و حتی «خلق» می‌شوند، بدون اینکه دولت‌ها مستقیماً در شکلگیری آن‌ها مشارکت داشته باشند</w:t>
      </w:r>
    </w:p>
  </w:footnote>
  <w:footnote w:id="350">
    <w:p>
      <w:pPr>
        <w:pStyle w:val="FootnoteText"/>
        <w:bidi w:val="1"/>
        <w:jc w:val="both"/>
      </w:pPr>
      <w:r>
        <w:rPr>
          <w:rStyle w:val="FootnoteReference"/>
          <w:rtl w:val="1"/>
        </w:rPr>
        <w:footnoteRef/>
      </w:r>
      <w:r>
        <w:rPr>
          <w:rFonts w:ascii="Times New Roman" w:hAnsi="Times New Roman" w:cs="B Nazanin"/>
          <w:sz w:val="22"/>
          <w:szCs w:val="22"/>
          <w:rtl w:val="1"/>
        </w:rPr>
        <w:t xml:space="preserve"> treaty congestion and fragmentation</w:t>
      </w:r>
    </w:p>
  </w:footnote>
  <w:footnote w:id="351">
    <w:p>
      <w:pPr>
        <w:pStyle w:val="FootnoteText"/>
        <w:bidi w:val="1"/>
        <w:jc w:val="both"/>
      </w:pPr>
      <w:r>
        <w:rPr>
          <w:rStyle w:val="FootnoteReference"/>
          <w:rtl w:val="1"/>
        </w:rPr>
        <w:footnoteRef/>
      </w:r>
      <w:r>
        <w:rPr>
          <w:rFonts w:ascii="Times New Roman" w:hAnsi="Times New Roman" w:cs="B Nazanin"/>
          <w:sz w:val="22"/>
          <w:szCs w:val="22"/>
          <w:rtl w:val="1"/>
        </w:rPr>
        <w:t xml:space="preserve"> Karen N. Scott, "International Environmental Governance: Managing Fragmentation through Institutional Connection", Melbourne Journal of International Law, Vol. 12, 2011, 3-6</w:t>
      </w:r>
    </w:p>
  </w:footnote>
  <w:footnote w:id="352">
    <w:p>
      <w:pPr>
        <w:pStyle w:val="FootnoteText"/>
        <w:bidi w:val="1"/>
        <w:jc w:val="both"/>
      </w:pPr>
      <w:r>
        <w:rPr>
          <w:rStyle w:val="FootnoteReference"/>
          <w:rtl w:val="1"/>
        </w:rPr>
        <w:footnoteRef/>
      </w:r>
      <w:r>
        <w:rPr>
          <w:rFonts w:ascii="Times New Roman" w:hAnsi="Times New Roman" w:cs="B Nazanin"/>
          <w:sz w:val="22"/>
          <w:szCs w:val="22"/>
          <w:rtl w:val="1"/>
        </w:rPr>
        <w:t xml:space="preserve"> Ibid, p.6</w:t>
      </w:r>
    </w:p>
  </w:footnote>
  <w:footnote w:id="353">
    <w:p>
      <w:pPr>
        <w:pStyle w:val="FootnoteText"/>
        <w:bidi w:val="1"/>
        <w:jc w:val="both"/>
      </w:pPr>
      <w:r>
        <w:rPr>
          <w:rStyle w:val="FootnoteReference"/>
          <w:rtl w:val="1"/>
        </w:rPr>
        <w:footnoteRef/>
      </w:r>
      <w:r>
        <w:rPr>
          <w:rFonts w:ascii="Times New Roman" w:hAnsi="Times New Roman" w:cs="B Nazanin"/>
          <w:sz w:val="22"/>
          <w:szCs w:val="22"/>
          <w:rtl w:val="1"/>
        </w:rPr>
        <w:t xml:space="preserve"> Para 79</w:t>
      </w:r>
    </w:p>
  </w:footnote>
  <w:footnote w:id="354">
    <w:p>
      <w:pPr>
        <w:pStyle w:val="FootnoteText"/>
        <w:bidi w:val="1"/>
        <w:jc w:val="both"/>
      </w:pPr>
      <w:r>
        <w:rPr>
          <w:rStyle w:val="FootnoteReference"/>
          <w:rtl w:val="1"/>
        </w:rPr>
        <w:footnoteRef/>
      </w:r>
      <w:r>
        <w:rPr>
          <w:rFonts w:ascii="Times New Roman" w:hAnsi="Times New Roman" w:cs="B Nazanin"/>
          <w:sz w:val="22"/>
          <w:szCs w:val="22"/>
          <w:rtl w:val="1"/>
        </w:rPr>
        <w:t xml:space="preserve"> Institutional Fragmentation</w:t>
      </w:r>
    </w:p>
  </w:footnote>
  <w:footnote w:id="355">
    <w:p>
      <w:pPr>
        <w:pStyle w:val="FootnoteText"/>
        <w:bidi w:val="1"/>
        <w:jc w:val="both"/>
      </w:pPr>
      <w:r>
        <w:rPr>
          <w:rStyle w:val="FootnoteReference"/>
          <w:rtl w:val="1"/>
        </w:rPr>
        <w:footnoteRef/>
      </w:r>
      <w:r>
        <w:rPr>
          <w:rFonts w:ascii="Times New Roman" w:hAnsi="Times New Roman" w:cs="B Nazanin"/>
          <w:sz w:val="22"/>
          <w:szCs w:val="22"/>
          <w:rtl w:val="1"/>
        </w:rPr>
        <w:t xml:space="preserve"> Accountability</w:t>
      </w:r>
    </w:p>
  </w:footnote>
  <w:footnote w:id="356">
    <w:p>
      <w:pPr>
        <w:pStyle w:val="FootnoteText"/>
        <w:bidi w:val="1"/>
        <w:jc w:val="both"/>
      </w:pPr>
      <w:r>
        <w:rPr>
          <w:rStyle w:val="FootnoteReference"/>
          <w:rtl w:val="1"/>
        </w:rPr>
        <w:footnoteRef/>
      </w:r>
      <w:r>
        <w:rPr>
          <w:rFonts w:ascii="Times New Roman" w:hAnsi="Times New Roman" w:cs="B Nazanin"/>
          <w:sz w:val="22"/>
          <w:szCs w:val="22"/>
          <w:rtl w:val="1"/>
        </w:rPr>
        <w:t xml:space="preserve"> Para 80</w:t>
      </w:r>
    </w:p>
  </w:footnote>
  <w:footnote w:id="357">
    <w:p>
      <w:pPr>
        <w:pStyle w:val="FootnoteText"/>
        <w:bidi w:val="1"/>
        <w:jc w:val="both"/>
      </w:pPr>
      <w:r>
        <w:rPr>
          <w:rStyle w:val="FootnoteReference"/>
          <w:rtl w:val="1"/>
        </w:rPr>
        <w:footnoteRef/>
      </w:r>
      <w:r>
        <w:rPr>
          <w:rFonts w:ascii="Times New Roman" w:hAnsi="Times New Roman" w:cs="B Nazanin"/>
          <w:sz w:val="22"/>
          <w:szCs w:val="22"/>
          <w:rtl w:val="1"/>
        </w:rPr>
        <w:t xml:space="preserve"> unep</w:t>
      </w:r>
    </w:p>
  </w:footnote>
  <w:footnote w:id="358">
    <w:p>
      <w:pPr>
        <w:pStyle w:val="FootnoteText"/>
        <w:bidi w:val="1"/>
        <w:jc w:val="both"/>
      </w:pPr>
      <w:r>
        <w:rPr>
          <w:rStyle w:val="FootnoteReference"/>
          <w:rtl w:val="1"/>
        </w:rPr>
        <w:footnoteRef/>
      </w:r>
      <w:r>
        <w:rPr>
          <w:rFonts w:ascii="Times New Roman" w:hAnsi="Times New Roman" w:cs="B Nazanin"/>
          <w:sz w:val="22"/>
          <w:szCs w:val="22"/>
          <w:rtl w:val="1"/>
        </w:rPr>
        <w:t xml:space="preserve"> the leading global environmental authority, the authoritative advocate for the global environment</w:t>
      </w:r>
    </w:p>
  </w:footnote>
  <w:footnote w:id="359">
    <w:p>
      <w:pPr>
        <w:pStyle w:val="FootnoteText"/>
        <w:bidi w:val="1"/>
        <w:jc w:val="both"/>
      </w:pPr>
      <w:r>
        <w:rPr>
          <w:rStyle w:val="FootnoteReference"/>
          <w:rtl w:val="1"/>
        </w:rPr>
        <w:footnoteRef/>
      </w:r>
      <w:r>
        <w:rPr>
          <w:rFonts w:ascii="Times New Roman" w:hAnsi="Times New Roman" w:cs="B Nazanin"/>
          <w:sz w:val="22"/>
          <w:szCs w:val="22"/>
          <w:rtl w:val="1"/>
        </w:rPr>
        <w:t xml:space="preserve"> بسیاری از نهادهای دیگر سیستم سازمان ملل متحد از زمان تأسیس UNEP مسئولیت های زیست محیطی قابل توجهی را به دست آورده اند. اینها شامل برنامه ها و صندوق های سازمان ملل متحد مانند برنامه توسعه سازمان ملل متحد و برنامه اسکان بشر سازمان ملل متحد (UN-Habitat) و همچنین آژانس های تخصصی مانند FAO، IMO، IAEA، ICAO و ILO است. علاوه بر این، بانک جهانی و بانک‌های توسعه منطقه‌ای موارد پورتفولیوهای محیط زیستی قابل توجهی را ایجاد کرده‌اند. بند 78 گزارش دبیرکل</w:t>
      </w:r>
    </w:p>
  </w:footnote>
  <w:footnote w:id="360">
    <w:p>
      <w:pPr>
        <w:pStyle w:val="FootnoteText"/>
        <w:bidi w:val="1"/>
        <w:jc w:val="both"/>
      </w:pPr>
      <w:r>
        <w:rPr>
          <w:rStyle w:val="FootnoteReference"/>
          <w:rtl w:val="1"/>
        </w:rPr>
        <w:footnoteRef/>
      </w:r>
      <w:r>
        <w:rPr>
          <w:rFonts w:ascii="Times New Roman" w:hAnsi="Times New Roman" w:cs="B Nazanin"/>
          <w:sz w:val="22"/>
          <w:szCs w:val="22"/>
          <w:rtl w:val="1"/>
        </w:rPr>
        <w:t xml:space="preserve"> UNEA</w:t>
      </w:r>
    </w:p>
  </w:footnote>
  <w:footnote w:id="361">
    <w:p>
      <w:pPr>
        <w:pStyle w:val="FootnoteText"/>
        <w:bidi w:val="1"/>
        <w:jc w:val="both"/>
      </w:pPr>
      <w:r>
        <w:rPr>
          <w:rStyle w:val="FootnoteReference"/>
          <w:rtl w:val="1"/>
        </w:rPr>
        <w:footnoteRef/>
      </w:r>
      <w:r>
        <w:rPr>
          <w:rFonts w:ascii="Times New Roman" w:hAnsi="Times New Roman" w:cs="B Nazanin"/>
          <w:sz w:val="22"/>
          <w:szCs w:val="22"/>
          <w:rtl w:val="1"/>
        </w:rPr>
        <w:t xml:space="preserve"> the Environment Management Group</w:t>
      </w:r>
    </w:p>
  </w:footnote>
  <w:footnote w:id="362">
    <w:p>
      <w:pPr>
        <w:pStyle w:val="FootnoteText"/>
        <w:bidi w:val="1"/>
        <w:jc w:val="both"/>
      </w:pPr>
      <w:r>
        <w:rPr>
          <w:rStyle w:val="FootnoteReference"/>
          <w:rtl w:val="1"/>
        </w:rPr>
        <w:footnoteRef/>
      </w:r>
      <w:r>
        <w:rPr>
          <w:rFonts w:ascii="Times New Roman" w:hAnsi="Times New Roman" w:cs="B Nazanin"/>
          <w:sz w:val="22"/>
          <w:szCs w:val="22"/>
          <w:rtl w:val="1"/>
        </w:rPr>
        <w:t xml:space="preserve"> United Nations System Chief Executives Board for Coordination</w:t>
      </w:r>
    </w:p>
  </w:footnote>
  <w:footnote w:id="363">
    <w:p>
      <w:pPr>
        <w:pStyle w:val="FootnoteText"/>
        <w:bidi w:val="1"/>
        <w:jc w:val="both"/>
      </w:pPr>
      <w:r>
        <w:rPr>
          <w:rStyle w:val="FootnoteReference"/>
          <w:rtl w:val="1"/>
        </w:rPr>
        <w:footnoteRef/>
      </w:r>
      <w:r>
        <w:rPr>
          <w:rFonts w:ascii="Times New Roman" w:hAnsi="Times New Roman" w:cs="B Nazanin"/>
          <w:sz w:val="22"/>
          <w:szCs w:val="22"/>
          <w:rtl w:val="1"/>
        </w:rPr>
        <w:t xml:space="preserve"> Para 81</w:t>
      </w:r>
    </w:p>
  </w:footnote>
  <w:footnote w:id="364">
    <w:p>
      <w:pPr>
        <w:pStyle w:val="FootnoteText"/>
        <w:bidi w:val="1"/>
        <w:jc w:val="both"/>
      </w:pPr>
      <w:r>
        <w:rPr>
          <w:rStyle w:val="FootnoteReference"/>
          <w:rtl w:val="1"/>
        </w:rPr>
        <w:footnoteRef/>
      </w:r>
      <w:r>
        <w:rPr>
          <w:rFonts w:ascii="Times New Roman" w:hAnsi="Times New Roman" w:cs="B Nazanin"/>
          <w:sz w:val="22"/>
          <w:szCs w:val="22"/>
          <w:rtl w:val="1"/>
        </w:rPr>
        <w:t xml:space="preserve"> super agency</w:t>
      </w:r>
    </w:p>
  </w:footnote>
  <w:footnote w:id="365">
    <w:p>
      <w:pPr>
        <w:pStyle w:val="FootnoteText"/>
        <w:bidi w:val="1"/>
        <w:jc w:val="both"/>
      </w:pPr>
      <w:r>
        <w:rPr>
          <w:rStyle w:val="FootnoteReference"/>
          <w:rtl w:val="1"/>
        </w:rPr>
        <w:footnoteRef/>
      </w:r>
      <w:r>
        <w:rPr>
          <w:rFonts w:ascii="Times New Roman" w:hAnsi="Times New Roman" w:cs="B Nazanin"/>
          <w:sz w:val="22"/>
          <w:szCs w:val="22"/>
          <w:rtl w:val="1"/>
        </w:rPr>
        <w:t xml:space="preserve"> Maria Ivanova, International Environmental Governance Reform: Options and Implications, Chatham House, 2007, p.4</w:t>
      </w:r>
    </w:p>
  </w:footnote>
  <w:footnote w:id="366">
    <w:p>
      <w:pPr>
        <w:pStyle w:val="FootnoteText"/>
        <w:bidi w:val="1"/>
        <w:jc w:val="both"/>
      </w:pPr>
      <w:r>
        <w:rPr>
          <w:rStyle w:val="FootnoteReference"/>
          <w:rtl w:val="1"/>
        </w:rPr>
        <w:footnoteRef/>
      </w:r>
      <w:r>
        <w:rPr>
          <w:rFonts w:ascii="Times New Roman" w:hAnsi="Times New Roman" w:cs="B Nazanin"/>
          <w:sz w:val="22"/>
          <w:szCs w:val="22"/>
          <w:rtl w:val="1"/>
        </w:rPr>
        <w:t xml:space="preserve"> Para 83</w:t>
      </w:r>
    </w:p>
  </w:footnote>
  <w:footnote w:id="367">
    <w:p>
      <w:pPr>
        <w:pStyle w:val="FootnoteText"/>
        <w:bidi w:val="1"/>
        <w:jc w:val="both"/>
      </w:pPr>
      <w:r>
        <w:rPr>
          <w:rStyle w:val="FootnoteReference"/>
          <w:rtl w:val="1"/>
        </w:rPr>
        <w:footnoteRef/>
      </w:r>
      <w:r>
        <w:rPr>
          <w:rFonts w:ascii="Times New Roman" w:hAnsi="Times New Roman" w:cs="B Nazanin"/>
          <w:sz w:val="22"/>
          <w:szCs w:val="22"/>
          <w:rtl w:val="1"/>
        </w:rPr>
        <w:t xml:space="preserve"> observer</w:t>
      </w:r>
    </w:p>
  </w:footnote>
  <w:footnote w:id="368">
    <w:p>
      <w:pPr>
        <w:pStyle w:val="FootnoteText"/>
        <w:bidi w:val="1"/>
        <w:jc w:val="both"/>
      </w:pPr>
      <w:r>
        <w:rPr>
          <w:rStyle w:val="FootnoteReference"/>
          <w:rtl w:val="1"/>
        </w:rPr>
        <w:footnoteRef/>
      </w:r>
      <w:r>
        <w:rPr>
          <w:rFonts w:ascii="Times New Roman" w:hAnsi="Times New Roman" w:cs="B Nazanin"/>
          <w:sz w:val="22"/>
          <w:szCs w:val="22"/>
          <w:rtl w:val="1"/>
        </w:rPr>
        <w:t xml:space="preserve"> Para 84</w:t>
      </w:r>
    </w:p>
  </w:footnote>
  <w:footnote w:id="369">
    <w:p>
      <w:pPr>
        <w:pStyle w:val="FootnoteText"/>
        <w:bidi w:val="1"/>
        <w:jc w:val="both"/>
      </w:pPr>
      <w:r>
        <w:rPr>
          <w:rStyle w:val="FootnoteReference"/>
          <w:rtl w:val="1"/>
        </w:rPr>
        <w:footnoteRef/>
      </w:r>
      <w:r>
        <w:rPr>
          <w:rFonts w:ascii="Times New Roman" w:hAnsi="Times New Roman" w:cs="B Nazanin"/>
          <w:sz w:val="22"/>
          <w:szCs w:val="22"/>
          <w:rtl w:val="1"/>
        </w:rPr>
        <w:t xml:space="preserve"> the High-level Panel on United Nations System-wide Coherence in the Areas of Development, Humanitarian Assistance and the Environment</w:t>
      </w:r>
    </w:p>
  </w:footnote>
  <w:footnote w:id="370">
    <w:p>
      <w:pPr>
        <w:pStyle w:val="FootnoteText"/>
        <w:bidi w:val="1"/>
        <w:jc w:val="both"/>
      </w:pPr>
      <w:r>
        <w:rPr>
          <w:rStyle w:val="FootnoteReference"/>
          <w:rtl w:val="1"/>
        </w:rPr>
        <w:footnoteRef/>
      </w:r>
      <w:r>
        <w:rPr>
          <w:rFonts w:ascii="Times New Roman" w:hAnsi="Times New Roman" w:cs="B Nazanin"/>
          <w:sz w:val="22"/>
          <w:szCs w:val="22"/>
          <w:rtl w:val="1"/>
        </w:rPr>
        <w:t xml:space="preserve"> A/61/583, para. 35</w:t>
      </w:r>
    </w:p>
  </w:footnote>
  <w:footnote w:id="371">
    <w:p>
      <w:pPr>
        <w:pStyle w:val="FootnoteText"/>
        <w:bidi w:val="1"/>
        <w:jc w:val="both"/>
      </w:pPr>
      <w:r>
        <w:rPr>
          <w:rStyle w:val="FootnoteReference"/>
          <w:rtl w:val="1"/>
        </w:rPr>
        <w:footnoteRef/>
      </w:r>
      <w:r>
        <w:rPr>
          <w:rFonts w:ascii="Times New Roman" w:hAnsi="Times New Roman" w:cs="B Nazanin"/>
          <w:sz w:val="22"/>
          <w:szCs w:val="22"/>
          <w:rtl w:val="1"/>
        </w:rPr>
        <w:t xml:space="preserve"> the Environment Management Group</w:t>
      </w:r>
    </w:p>
  </w:footnote>
  <w:footnote w:id="372">
    <w:p>
      <w:pPr>
        <w:pStyle w:val="FootnoteText"/>
        <w:bidi w:val="1"/>
        <w:jc w:val="both"/>
      </w:pPr>
      <w:r>
        <w:rPr>
          <w:rStyle w:val="FootnoteReference"/>
          <w:rtl w:val="1"/>
        </w:rPr>
        <w:footnoteRef/>
      </w:r>
      <w:r>
        <w:rPr>
          <w:rFonts w:ascii="Times New Roman" w:hAnsi="Times New Roman" w:cs="B Nazanin"/>
          <w:sz w:val="22"/>
          <w:szCs w:val="22"/>
          <w:rtl w:val="1"/>
        </w:rPr>
        <w:t xml:space="preserve"> United Nations System Chief Executives Board for Coordination</w:t>
      </w:r>
    </w:p>
  </w:footnote>
  <w:footnote w:id="373">
    <w:p>
      <w:pPr>
        <w:pStyle w:val="FootnoteText"/>
        <w:bidi w:val="1"/>
        <w:jc w:val="both"/>
      </w:pPr>
      <w:r>
        <w:rPr>
          <w:rStyle w:val="FootnoteReference"/>
          <w:rtl w:val="1"/>
        </w:rPr>
        <w:footnoteRef/>
      </w:r>
      <w:r>
        <w:rPr>
          <w:rFonts w:ascii="Times New Roman" w:hAnsi="Times New Roman" w:cs="B Nazanin"/>
          <w:sz w:val="22"/>
          <w:szCs w:val="22"/>
          <w:rtl w:val="1"/>
        </w:rPr>
        <w:t xml:space="preserve"> clustring</w:t>
      </w:r>
    </w:p>
  </w:footnote>
  <w:footnote w:id="374">
    <w:p>
      <w:pPr>
        <w:pStyle w:val="FootnoteText"/>
        <w:bidi w:val="1"/>
        <w:jc w:val="both"/>
      </w:pPr>
      <w:r>
        <w:rPr>
          <w:rStyle w:val="FootnoteReference"/>
          <w:rtl w:val="1"/>
        </w:rPr>
        <w:footnoteRef/>
      </w:r>
      <w:r>
        <w:rPr>
          <w:rFonts w:ascii="Times New Roman" w:hAnsi="Times New Roman" w:cs="B Nazanin"/>
          <w:sz w:val="22"/>
          <w:szCs w:val="22"/>
          <w:rtl w:val="1"/>
        </w:rPr>
        <w:t xml:space="preserve"> synergies process</w:t>
      </w:r>
    </w:p>
  </w:footnote>
  <w:footnote w:id="375">
    <w:p>
      <w:pPr>
        <w:pStyle w:val="FootnoteText"/>
        <w:bidi w:val="1"/>
        <w:jc w:val="both"/>
      </w:pPr>
      <w:r>
        <w:rPr>
          <w:rStyle w:val="FootnoteReference"/>
          <w:rtl w:val="1"/>
        </w:rPr>
        <w:footnoteRef/>
      </w:r>
      <w:r>
        <w:rPr>
          <w:rFonts w:ascii="Times New Roman" w:hAnsi="Times New Roman" w:cs="B Nazanin"/>
          <w:sz w:val="22"/>
          <w:szCs w:val="22"/>
          <w:rtl w:val="1"/>
        </w:rPr>
        <w:t xml:space="preserve"> The Convention on Access to Information, Public Participation in Decision-Making and Access to Justice in Environmental Matters (the Aarhus Convention) of 1998</w:t>
      </w:r>
    </w:p>
  </w:footnote>
  <w:footnote w:id="376">
    <w:p>
      <w:pPr>
        <w:pStyle w:val="FootnoteText"/>
        <w:bidi w:val="1"/>
        <w:jc w:val="both"/>
      </w:pPr>
      <w:r>
        <w:rPr>
          <w:rStyle w:val="FootnoteReference"/>
          <w:rtl w:val="1"/>
        </w:rPr>
        <w:footnoteRef/>
      </w:r>
      <w:r>
        <w:rPr>
          <w:rFonts w:ascii="Times New Roman" w:hAnsi="Times New Roman" w:cs="B Nazanin"/>
          <w:sz w:val="22"/>
          <w:szCs w:val="22"/>
          <w:rtl w:val="1"/>
        </w:rPr>
        <w:t xml:space="preserve"> the Regional Agreement on Access to Information, Public Participation and Justice in Environmental Matters in Latin America and the Caribbean (the Escazú Agreement) of 2018</w:t>
      </w:r>
    </w:p>
  </w:footnote>
  <w:footnote w:id="377">
    <w:p>
      <w:pPr>
        <w:pStyle w:val="FootnoteText"/>
        <w:bidi w:val="1"/>
        <w:jc w:val="both"/>
      </w:pPr>
      <w:r>
        <w:rPr>
          <w:rStyle w:val="FootnoteReference"/>
          <w:rtl w:val="1"/>
        </w:rPr>
        <w:footnoteRef/>
      </w:r>
      <w:r>
        <w:rPr>
          <w:rFonts w:ascii="Times New Roman" w:hAnsi="Times New Roman" w:cs="B Nazanin"/>
          <w:sz w:val="22"/>
          <w:szCs w:val="22"/>
          <w:rtl w:val="1"/>
        </w:rPr>
        <w:t xml:space="preserve"> procedural rights</w:t>
      </w:r>
    </w:p>
  </w:footnote>
  <w:footnote w:id="378">
    <w:p>
      <w:pPr>
        <w:pStyle w:val="FootnoteText"/>
        <w:bidi w:val="1"/>
        <w:jc w:val="both"/>
      </w:pPr>
      <w:r>
        <w:rPr>
          <w:rStyle w:val="FootnoteReference"/>
          <w:rtl w:val="1"/>
        </w:rPr>
        <w:footnoteRef/>
      </w:r>
      <w:r>
        <w:rPr>
          <w:rFonts w:ascii="Times New Roman" w:hAnsi="Times New Roman" w:cs="B Nazanin"/>
          <w:sz w:val="22"/>
          <w:szCs w:val="22"/>
          <w:rtl w:val="1"/>
        </w:rPr>
        <w:t xml:space="preserve"> IPCC</w:t>
      </w:r>
    </w:p>
  </w:footnote>
  <w:footnote w:id="379">
    <w:p>
      <w:pPr>
        <w:pStyle w:val="FootnoteText"/>
        <w:bidi w:val="1"/>
        <w:jc w:val="both"/>
      </w:pPr>
      <w:r>
        <w:rPr>
          <w:rStyle w:val="FootnoteReference"/>
          <w:rtl w:val="1"/>
        </w:rPr>
        <w:footnoteRef/>
      </w:r>
      <w:r>
        <w:rPr>
          <w:rFonts w:ascii="Times New Roman" w:hAnsi="Times New Roman" w:cs="B Nazanin"/>
          <w:sz w:val="22"/>
          <w:szCs w:val="22"/>
          <w:rtl w:val="1"/>
        </w:rPr>
        <w:t xml:space="preserve"> OZONE</w:t>
      </w:r>
    </w:p>
  </w:footnote>
  <w:footnote w:id="380">
    <w:p>
      <w:pPr>
        <w:pStyle w:val="FootnoteText"/>
        <w:bidi w:val="1"/>
        <w:jc w:val="both"/>
      </w:pPr>
      <w:r>
        <w:rPr>
          <w:rStyle w:val="FootnoteReference"/>
          <w:rtl w:val="1"/>
        </w:rPr>
        <w:footnoteRef/>
      </w:r>
      <w:r>
        <w:rPr>
          <w:rFonts w:ascii="Times New Roman" w:hAnsi="Times New Roman" w:cs="B Nazanin"/>
          <w:sz w:val="22"/>
          <w:szCs w:val="22"/>
          <w:rtl w:val="1"/>
        </w:rPr>
        <w:t xml:space="preserve"> UNEP, Gaps in International Environmental Law and Environment-related Instruments: Towards a Global Pact for the Environment, Report of the Secretary-General, A/73/419, 2018.</w:t>
      </w:r>
    </w:p>
  </w:footnote>
  <w:footnote w:id="381">
    <w:p>
      <w:pPr>
        <w:pStyle w:val="FootnoteText"/>
        <w:bidi w:val="1"/>
        <w:jc w:val="both"/>
      </w:pPr>
      <w:r>
        <w:rPr>
          <w:rStyle w:val="FootnoteReference"/>
          <w:rtl w:val="1"/>
        </w:rPr>
        <w:footnoteRef/>
      </w:r>
      <w:r>
        <w:rPr>
          <w:rFonts w:ascii="Times New Roman" w:hAnsi="Times New Roman" w:cs="B Nazanin"/>
          <w:sz w:val="22"/>
          <w:szCs w:val="22"/>
          <w:rtl w:val="1"/>
        </w:rPr>
        <w:t xml:space="preserve"> Aguila, Y. &amp; Viñuales, J. E. (eds.), A Global Pact for the Environment: Legal Foundations, C-EENRG, 2019; ILC 2006 Conclusions, systemic integration.</w:t>
      </w:r>
    </w:p>
  </w:footnote>
  <w:footnote w:id="382">
    <w:p>
      <w:pPr>
        <w:pStyle w:val="FootnoteText"/>
        <w:bidi w:val="1"/>
        <w:jc w:val="both"/>
      </w:pPr>
      <w:r>
        <w:rPr>
          <w:rStyle w:val="FootnoteReference"/>
          <w:rtl w:val="1"/>
        </w:rPr>
        <w:footnoteRef/>
      </w:r>
      <w:r>
        <w:rPr>
          <w:rFonts w:ascii="Times New Roman" w:hAnsi="Times New Roman" w:cs="B Nazanin"/>
          <w:sz w:val="22"/>
          <w:szCs w:val="22"/>
          <w:rtl w:val="1"/>
        </w:rPr>
        <w:t xml:space="preserve"> Tiller, D., Are the Aims of the Proposed Global Pact for the Environment Desirable...?, LLB(Hons), Victoria University of Wellington, 2018, on the precautionary and non-regression principles.</w:t>
      </w:r>
    </w:p>
  </w:footnote>
  <w:footnote w:id="383">
    <w:p>
      <w:pPr>
        <w:pStyle w:val="FootnoteText"/>
        <w:bidi w:val="1"/>
        <w:jc w:val="both"/>
      </w:pPr>
      <w:r>
        <w:rPr>
          <w:rStyle w:val="FootnoteReference"/>
          <w:rtl w:val="1"/>
        </w:rPr>
        <w:footnoteRef/>
      </w:r>
      <w:r>
        <w:rPr>
          <w:rFonts w:ascii="Times New Roman" w:hAnsi="Times New Roman" w:cs="B Nazanin"/>
          <w:sz w:val="22"/>
          <w:szCs w:val="22"/>
          <w:rtl w:val="1"/>
        </w:rPr>
        <w:t xml:space="preserve"> Tigre, M. A., 2022, ch. III (Environmental Rights as a Common Ground); UNGA Res. 76/300 (2022) on the human right to a clean, healthy and sustainable environment.</w:t>
      </w:r>
    </w:p>
  </w:footnote>
  <w:footnote w:id="384">
    <w:p>
      <w:pPr>
        <w:pStyle w:val="FootnoteText"/>
        <w:bidi w:val="1"/>
        <w:jc w:val="both"/>
      </w:pPr>
      <w:r>
        <w:rPr>
          <w:rStyle w:val="FootnoteReference"/>
          <w:rtl w:val="1"/>
        </w:rPr>
        <w:footnoteRef/>
      </w:r>
      <w:r>
        <w:rPr>
          <w:rFonts w:ascii="Times New Roman" w:hAnsi="Times New Roman" w:cs="B Nazanin"/>
          <w:sz w:val="22"/>
          <w:szCs w:val="22"/>
          <w:rtl w:val="1"/>
        </w:rPr>
        <w:t xml:space="preserve"> ILC 2006 Conclusions, systemic integration (VCLT Art. 31(3)(c)); Aguila &amp; Viñuales 2019 on the umbrella-instrument function.</w:t>
      </w:r>
    </w:p>
  </w:footnote>
  <w:footnote w:id="385">
    <w:p>
      <w:pPr>
        <w:pStyle w:val="FootnoteText"/>
        <w:bidi w:val="1"/>
        <w:jc w:val="both"/>
      </w:pPr>
      <w:r>
        <w:rPr>
          <w:rStyle w:val="FootnoteReference"/>
          <w:rtl w:val="1"/>
        </w:rPr>
        <w:footnoteRef/>
      </w:r>
      <w:r>
        <w:rPr>
          <w:rFonts w:ascii="Times New Roman" w:hAnsi="Times New Roman" w:cs="B Nazanin"/>
          <w:sz w:val="22"/>
          <w:szCs w:val="22"/>
          <w:rtl w:val="1"/>
        </w:rPr>
        <w:t xml:space="preserve"> Draft Global Pact for the Environment (2017), arts. 1–26; Tiller 2018 on the weak compliance mechanism.</w:t>
      </w:r>
    </w:p>
  </w:footnote>
  <w:footnote w:id="386">
    <w:p>
      <w:pPr>
        <w:pStyle w:val="FootnoteText"/>
        <w:bidi w:val="1"/>
        <w:jc w:val="both"/>
      </w:pPr>
      <w:r>
        <w:rPr>
          <w:rStyle w:val="FootnoteReference"/>
          <w:rtl w:val="1"/>
        </w:rPr>
        <w:footnoteRef/>
      </w:r>
      <w:r>
        <w:rPr>
          <w:rFonts w:ascii="Times New Roman" w:hAnsi="Times New Roman" w:cs="B Nazanin"/>
          <w:sz w:val="22"/>
          <w:szCs w:val="22"/>
          <w:rtl w:val="1"/>
        </w:rPr>
        <w:t xml:space="preserve"> Tiller, D., 2018, Conclusion: the Pact strengthens general principles but does not fill specific regulatory gaps.</w:t>
      </w:r>
    </w:p>
  </w:footnote>
  <w:footnote w:id="387">
    <w:p>
      <w:pPr>
        <w:pStyle w:val="FootnoteText"/>
        <w:bidi w:val="1"/>
        <w:jc w:val="both"/>
      </w:pPr>
      <w:r>
        <w:rPr>
          <w:rStyle w:val="FootnoteReference"/>
          <w:rtl w:val="1"/>
        </w:rPr>
        <w:footnoteRef/>
      </w:r>
      <w:r>
        <w:rPr>
          <w:rFonts w:ascii="Times New Roman" w:hAnsi="Times New Roman" w:cs="B Nazanin"/>
          <w:sz w:val="22"/>
          <w:szCs w:val="22"/>
          <w:rtl w:val="1"/>
        </w:rPr>
        <w:t xml:space="preserve"> UNEP/SG Report A/73/419 (2018), gap typology; Chabason &amp; Hege 2019 on the sovereignty-driven resistance.</w:t>
      </w:r>
    </w:p>
  </w:footnote>
  <w:footnote w:id="388">
    <w:p>
      <w:pPr>
        <w:pStyle w:val="FootnoteText"/>
        <w:bidi w:val="1"/>
        <w:jc w:val="both"/>
      </w:pPr>
      <w:r>
        <w:rPr>
          <w:rStyle w:val="FootnoteReference"/>
          <w:rtl w:val="1"/>
        </w:rPr>
        <w:footnoteRef/>
      </w:r>
      <w:r>
        <w:rPr>
          <w:rFonts w:ascii="Times New Roman" w:hAnsi="Times New Roman" w:cs="B Nazanin"/>
          <w:sz w:val="22"/>
          <w:szCs w:val="22"/>
          <w:rtl w:val="1"/>
        </w:rPr>
        <w:t xml:space="preserve"> ILC, Conclusions of the work of the Study Group on the Fragmentation of International Law, 2006 (A/61/10, para. 251).</w:t>
      </w:r>
    </w:p>
  </w:footnote>
  <w:footnote w:id="389">
    <w:p>
      <w:pPr>
        <w:pStyle w:val="FootnoteText"/>
        <w:bidi w:val="1"/>
        <w:jc w:val="both"/>
      </w:pPr>
      <w:r>
        <w:rPr>
          <w:rStyle w:val="FootnoteReference"/>
          <w:rtl w:val="1"/>
        </w:rPr>
        <w:footnoteRef/>
      </w:r>
      <w:r>
        <w:rPr>
          <w:rFonts w:ascii="Times New Roman" w:hAnsi="Times New Roman" w:cs="B Nazanin"/>
          <w:sz w:val="22"/>
          <w:szCs w:val="22"/>
          <w:rtl w:val="1"/>
        </w:rPr>
        <w:t xml:space="preserve"> Damoah, B., Keengwe, J. S. &amp; Ofori, E., 'Stalemate in the Anthropocene: Ineffective Treaties and the Struggle for Planetary Governance', Preprints.org, 2026, doi:10.20944/preprints202603.2371.v1 (پیش‌چاپِ داوری‌نشده — با احتیاط استناد شده).</w:t>
      </w:r>
    </w:p>
  </w:footnote>
  <w:footnote w:id="390">
    <w:p>
      <w:pPr>
        <w:pStyle w:val="FootnoteText"/>
        <w:bidi w:val="1"/>
        <w:jc w:val="both"/>
      </w:pPr>
      <w:r>
        <w:rPr>
          <w:rStyle w:val="FootnoteReference"/>
          <w:rtl w:val="1"/>
        </w:rPr>
        <w:footnoteRef/>
      </w:r>
      <w:r>
        <w:rPr>
          <w:rFonts w:ascii="Times New Roman" w:hAnsi="Times New Roman" w:cs="B Nazanin"/>
          <w:sz w:val="22"/>
          <w:szCs w:val="22"/>
          <w:rtl w:val="1"/>
        </w:rPr>
        <w:t xml:space="preserve"> Tiller, D., 2018, on the absence of a binding enforcement mechanism in the draft Pact.</w:t>
      </w:r>
    </w:p>
  </w:footnote>
  <w:footnote w:id="391">
    <w:p>
      <w:pPr>
        <w:pStyle w:val="FootnoteText"/>
        <w:bidi w:val="1"/>
        <w:jc w:val="both"/>
      </w:pPr>
      <w:r>
        <w:rPr>
          <w:rStyle w:val="FootnoteReference"/>
          <w:rtl w:val="1"/>
        </w:rPr>
        <w:footnoteRef/>
      </w:r>
      <w:r>
        <w:rPr>
          <w:rFonts w:ascii="Times New Roman" w:hAnsi="Times New Roman" w:cs="B Nazanin"/>
          <w:sz w:val="22"/>
          <w:szCs w:val="22"/>
          <w:rtl w:val="1"/>
        </w:rPr>
        <w:t xml:space="preserve"> ILC 2006 Conclusions, (31)–(42) on hierarchy in international law, jus cogens and Article 103 of the UN Charter.</w:t>
      </w:r>
    </w:p>
  </w:footnote>
  <w:footnote w:id="392">
    <w:p>
      <w:pPr>
        <w:pStyle w:val="FootnoteText"/>
        <w:bidi w:val="1"/>
        <w:jc w:val="both"/>
      </w:pPr>
      <w:r>
        <w:rPr>
          <w:rStyle w:val="FootnoteReference"/>
          <w:rtl w:val="1"/>
        </w:rPr>
        <w:footnoteRef/>
      </w:r>
      <w:r>
        <w:rPr>
          <w:rFonts w:ascii="Times New Roman" w:hAnsi="Times New Roman" w:cs="B Nazanin"/>
          <w:sz w:val="22"/>
          <w:szCs w:val="22"/>
          <w:rtl w:val="1"/>
        </w:rPr>
        <w:t xml:space="preserve"> Chabason, L. &amp; Hege, E., 'Failure of the Global Pact for the Environment: a missed opportunity or a bullet dodged?', IDDRI, 28 May 2019.</w:t>
      </w:r>
    </w:p>
  </w:footnote>
  <w:footnote w:id="393">
    <w:p>
      <w:pPr>
        <w:pStyle w:val="FootnoteText"/>
        <w:bidi w:val="1"/>
        <w:jc w:val="both"/>
      </w:pPr>
      <w:r>
        <w:rPr>
          <w:rStyle w:val="FootnoteReference"/>
          <w:rtl w:val="1"/>
        </w:rPr>
        <w:footnoteRef/>
      </w:r>
      <w:r>
        <w:rPr>
          <w:rFonts w:ascii="Times New Roman" w:hAnsi="Times New Roman" w:cs="B Nazanin"/>
          <w:sz w:val="22"/>
          <w:szCs w:val="22"/>
          <w:rtl w:val="1"/>
        </w:rPr>
        <w:t xml:space="preserve"> برای مسیرِ مذاکراتِ پلاستیک و BBNJ به‌مثابه نمونهٔ رویکردِ بخشیِ گام‌به‌گام: UNEP INC process (2022–) و موافقت‌نامهٔ BBNJ (۲۰۲۳).</w:t>
      </w:r>
    </w:p>
  </w:footnote>
  <w:footnote w:id="394">
    <w:p>
      <w:pPr>
        <w:pStyle w:val="FootnoteText"/>
        <w:bidi w:val="1"/>
        <w:jc w:val="both"/>
      </w:pPr>
      <w:r>
        <w:rPr>
          <w:rStyle w:val="FootnoteReference"/>
          <w:rtl w:val="1"/>
        </w:rPr>
        <w:footnoteRef/>
      </w:r>
      <w:r>
        <w:rPr>
          <w:rFonts w:ascii="Times New Roman" w:hAnsi="Times New Roman" w:cs="B Nazanin"/>
          <w:sz w:val="22"/>
          <w:szCs w:val="22"/>
          <w:rtl w:val="1"/>
        </w:rPr>
        <w:t xml:space="preserve"> UNGA Res. 76/300 (28 July 2022), The human right to a clean, healthy and sustainable environment.</w:t>
      </w:r>
    </w:p>
  </w:footnote>
  <w:footnote w:id="395">
    <w:p>
      <w:pPr>
        <w:pStyle w:val="FootnoteText"/>
        <w:bidi w:val="1"/>
        <w:jc w:val="both"/>
      </w:pPr>
      <w:r>
        <w:rPr>
          <w:rStyle w:val="FootnoteReference"/>
          <w:rtl w:val="1"/>
        </w:rPr>
        <w:footnoteRef/>
      </w:r>
      <w:r>
        <w:rPr>
          <w:rFonts w:ascii="Times New Roman" w:hAnsi="Times New Roman" w:cs="B Nazanin"/>
          <w:sz w:val="22"/>
          <w:szCs w:val="22"/>
          <w:rtl w:val="1"/>
        </w:rPr>
        <w:t xml:space="preserve"> Tigre, M. A., 2022, on environmental rights as the enduring common ground emerging from the Pact debate.</w:t>
      </w:r>
    </w:p>
  </w:footnote>
  <w:footnote w:id="396">
    <w:p>
      <w:pPr>
        <w:pStyle w:val="FootnoteText"/>
        <w:bidi w:val="1"/>
        <w:jc w:val="both"/>
      </w:pPr>
      <w:r>
        <w:rPr>
          <w:rStyle w:val="FootnoteReference"/>
          <w:rtl w:val="1"/>
        </w:rPr>
        <w:footnoteRef/>
      </w:r>
      <w:r>
        <w:rPr>
          <w:rFonts w:ascii="Times New Roman" w:hAnsi="Times New Roman" w:cs="B Nazanin"/>
          <w:sz w:val="22"/>
          <w:szCs w:val="22"/>
          <w:rtl w:val="1"/>
        </w:rPr>
        <w:t xml:space="preserve"> Chabason &amp; Hege 2019 on the geopolitical and North–South cleavages in the Nairobi process.</w:t>
      </w:r>
    </w:p>
  </w:footnote>
  <w:footnote w:id="397">
    <w:p>
      <w:pPr>
        <w:pStyle w:val="FootnoteText"/>
        <w:bidi w:val="1"/>
        <w:jc w:val="both"/>
      </w:pPr>
      <w:r>
        <w:rPr>
          <w:rStyle w:val="FootnoteReference"/>
          <w:rtl w:val="1"/>
        </w:rPr>
        <w:footnoteRef/>
      </w:r>
      <w:r>
        <w:rPr>
          <w:rFonts w:ascii="Times New Roman" w:hAnsi="Times New Roman" w:cs="B Nazanin"/>
          <w:sz w:val="22"/>
          <w:szCs w:val="22"/>
          <w:rtl w:val="1"/>
        </w:rPr>
        <w:t xml:space="preserve"> ICJ, Advisory Opinion on the Obligations of States in respect of Climate Change (2025) به‌مثابه نمونهٔ نقشِ رویهٔ قضایی در تثبیتِ اصول.</w:t>
      </w:r>
    </w:p>
  </w:footnote>
  <w:footnote w:id="398">
    <w:p>
      <w:pPr>
        <w:pStyle w:val="FootnoteText"/>
        <w:bidi w:val="1"/>
        <w:jc w:val="both"/>
      </w:pPr>
      <w:r>
        <w:rPr>
          <w:rStyle w:val="FootnoteReference"/>
          <w:rtl w:val="1"/>
        </w:rPr>
        <w:footnoteRef/>
      </w:r>
      <w:r>
        <w:rPr>
          <w:rFonts w:ascii="Times New Roman" w:hAnsi="Times New Roman" w:cs="B Nazanin"/>
          <w:sz w:val="22"/>
          <w:szCs w:val="22"/>
          <w:rtl w:val="1"/>
        </w:rPr>
        <w:t xml:space="preserve"> ILC 2006 Conclusions, systemic integration (VCLT Art. 31(3)(c)).</w:t>
      </w:r>
    </w:p>
  </w:footnote>
  <w:footnote w:id="399">
    <w:p>
      <w:pPr>
        <w:pStyle w:val="FootnoteText"/>
        <w:bidi w:val="1"/>
        <w:jc w:val="both"/>
      </w:pPr>
      <w:r>
        <w:rPr>
          <w:rStyle w:val="FootnoteReference"/>
          <w:rtl w:val="1"/>
        </w:rPr>
        <w:footnoteRef/>
      </w:r>
      <w:r>
        <w:rPr>
          <w:rFonts w:ascii="Times New Roman" w:hAnsi="Times New Roman" w:cs="B Nazanin"/>
          <w:sz w:val="22"/>
          <w:szCs w:val="22"/>
          <w:rtl w:val="1"/>
        </w:rPr>
        <w:t xml:space="preserve"> این جمع‌بندی بر پایهٔ تحلیلِ فصولِ دوم تا چهارم و منابعِ Tigre 2022، Chabason &amp; Hege 2019، و ILC 2006 استوار است.</w:t>
      </w:r>
    </w:p>
  </w:footnote>
  <w:footnote w:id="400">
    <w:p>
      <w:pPr>
        <w:pStyle w:val="FootnoteText"/>
        <w:bidi w:val="1"/>
        <w:jc w:val="both"/>
      </w:pPr>
      <w:r>
        <w:rPr>
          <w:rStyle w:val="FootnoteReference"/>
          <w:rtl w:val="1"/>
        </w:rPr>
        <w:footnoteRef/>
      </w:r>
      <w:r>
        <w:rPr>
          <w:rFonts w:ascii="Times New Roman" w:hAnsi="Times New Roman" w:cs="B Nazanin"/>
          <w:sz w:val="22"/>
          <w:szCs w:val="22"/>
          <w:rtl w:val="1"/>
        </w:rPr>
        <w:t xml:space="preserve"> Chabason, L. &amp; Hege, E., IDDRI, 2019; و تحلیلِ فصل چهارمِ همین رساله دربارهٔ سازوکارِ اجماع‌محور.</w:t>
      </w:r>
    </w:p>
  </w:footnote>
  <w:footnote w:id="401">
    <w:p>
      <w:pPr>
        <w:pStyle w:val="FootnoteText"/>
        <w:bidi w:val="1"/>
        <w:jc w:val="both"/>
      </w:pPr>
      <w:r>
        <w:rPr>
          <w:rStyle w:val="FootnoteReference"/>
          <w:rtl w:val="1"/>
        </w:rPr>
        <w:footnoteRef/>
      </w:r>
      <w:r>
        <w:rPr>
          <w:rFonts w:ascii="Times New Roman" w:hAnsi="Times New Roman" w:cs="B Nazanin"/>
          <w:sz w:val="22"/>
          <w:szCs w:val="22"/>
          <w:rtl w:val="1"/>
        </w:rPr>
        <w:t xml:space="preserve"> Aguila &amp; Viñuales (eds.), Legal Foundations, 2019 (سویِ موافق)؛ Tiller 2018 و Chabason &amp; Hege 2019 (سویِ منتقد).</w:t>
      </w:r>
    </w:p>
  </w:footnote>
  <w:footnote w:id="402">
    <w:p>
      <w:pPr>
        <w:pStyle w:val="FootnoteText"/>
        <w:bidi w:val="1"/>
        <w:jc w:val="both"/>
      </w:pPr>
      <w:r>
        <w:rPr>
          <w:rStyle w:val="FootnoteReference"/>
          <w:rtl w:val="1"/>
        </w:rPr>
        <w:footnoteRef/>
      </w:r>
      <w:r>
        <w:rPr>
          <w:rFonts w:ascii="Times New Roman" w:hAnsi="Times New Roman" w:cs="B Nazanin"/>
          <w:sz w:val="22"/>
          <w:szCs w:val="22"/>
          <w:rtl w:val="1"/>
        </w:rPr>
        <w:t xml:space="preserve"> جمع‌بندیِ تحلیلیِ نگارنده بر پایهٔ فصولِ سوم و چهارم.</w:t>
      </w:r>
    </w:p>
  </w:footnote>
  <w:footnote w:id="403">
    <w:p>
      <w:pPr>
        <w:pStyle w:val="FootnoteText"/>
        <w:bidi w:val="1"/>
        <w:jc w:val="both"/>
      </w:pPr>
      <w:r>
        <w:rPr>
          <w:rStyle w:val="FootnoteReference"/>
          <w:rtl w:val="1"/>
        </w:rPr>
        <w:footnoteRef/>
      </w:r>
      <w:r>
        <w:rPr>
          <w:rFonts w:ascii="Times New Roman" w:hAnsi="Times New Roman" w:cs="B Nazanin"/>
          <w:sz w:val="22"/>
          <w:szCs w:val="22"/>
          <w:rtl w:val="1"/>
        </w:rPr>
        <w:t xml:space="preserve"> Tigre 2022; Damoah et al. 2026 (پیش‌چاپِ داوری‌نشده)؛ Tiller 2018 — به‌مثابه الگوهای روش‌شناختیِ نتیجه‌گیری.</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B Nazani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B Nazani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B Nazani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Text"/>
    <w:pPr>
      <w:spacing w:after="0"/>
    </w:pPr>
    <w:rPr>
      <w:rFonts w:ascii="Times New Roman" w:hAnsi="Times New Roman"/>
      <w:sz w:val="22"/>
    </w:rPr>
  </w:style>
  <w:style w:type="character" w:customStyle="1" w:styleId="FootnoteReference">
    <w:name w:val="FootnoteReference"/>
    <w:rPr>
      <w:sz w:val="22"/>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