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480" w:before="0"/>
        <w:jc w:val="center"/>
      </w:pPr>
      <w:r>
        <w:rPr>
          <w:rFonts w:ascii="Times New Roman" w:hAnsi="Times New Roman" w:cs="B Nazanin"/>
          <w:sz w:val="24"/>
          <w:szCs w:val="28"/>
          <w:rtl w:val="1"/>
        </w:rPr>
        <w:t>بسم‌الله الرحمن الرحیم</w:t>
      </w:r>
    </w:p>
    <w:p>
      <w:pPr>
        <w:bidi w:val="1"/>
        <w:spacing w:after="40" w:before="0"/>
        <w:jc w:val="center"/>
      </w:pPr>
      <w:r>
        <w:rPr>
          <w:rFonts w:ascii="Times New Roman" w:hAnsi="Times New Roman" w:cs="B Nazanin"/>
          <w:sz w:val="26"/>
          <w:szCs w:val="32"/>
          <w:rtl w:val="1"/>
          <w:b/>
          <w:bCs/>
        </w:rPr>
        <w:t>دانشگاه آزاد اسلامی</w:t>
      </w:r>
    </w:p>
    <w:p>
      <w:pPr>
        <w:bidi w:val="1"/>
        <w:spacing w:after="40" w:before="0"/>
        <w:jc w:val="center"/>
      </w:pPr>
      <w:r>
        <w:rPr>
          <w:rFonts w:ascii="Times New Roman" w:hAnsi="Times New Roman" w:cs="B Nazanin"/>
          <w:sz w:val="24"/>
          <w:szCs w:val="30"/>
          <w:rtl w:val="1"/>
          <w:b/>
          <w:bCs/>
        </w:rPr>
        <w:t>واحد تهران جنوب</w:t>
      </w:r>
    </w:p>
    <w:p>
      <w:pPr>
        <w:bidi w:val="1"/>
        <w:spacing w:after="400" w:before="0"/>
        <w:jc w:val="center"/>
      </w:pPr>
      <w:r>
        <w:rPr>
          <w:rFonts w:ascii="Times New Roman" w:hAnsi="Times New Roman" w:cs="B Nazanin"/>
          <w:sz w:val="24"/>
          <w:szCs w:val="28"/>
          <w:rtl w:val="1"/>
          <w:b/>
          <w:bCs/>
        </w:rPr>
        <w:t>دانشکدهٔ حقوق و علوم سیاسی</w:t>
      </w:r>
    </w:p>
    <w:p>
      <w:pPr>
        <w:bidi w:val="1"/>
        <w:spacing w:after="360" w:before="0"/>
        <w:jc w:val="center"/>
      </w:pPr>
      <w:r>
        <w:rPr>
          <w:rFonts w:ascii="Times New Roman" w:hAnsi="Times New Roman" w:cs="B Nazanin"/>
          <w:sz w:val="24"/>
          <w:szCs w:val="28"/>
          <w:rtl w:val="1"/>
        </w:rPr>
        <w:t>رساله برای دریافت درجهٔ دکتری تخصصی (Ph.D.) در رشتهٔ حقوق بین‌الملل عمومی</w:t>
      </w:r>
    </w:p>
    <w:p>
      <w:pPr>
        <w:bidi w:val="1"/>
        <w:spacing w:after="80" w:before="0"/>
        <w:jc w:val="center"/>
      </w:pPr>
      <w:r>
        <w:rPr>
          <w:rFonts w:ascii="Times New Roman" w:hAnsi="Times New Roman" w:cs="B Nazanin"/>
          <w:sz w:val="24"/>
          <w:szCs w:val="28"/>
          <w:rtl w:val="1"/>
        </w:rPr>
        <w:t>عنوان:</w:t>
      </w:r>
    </w:p>
    <w:p>
      <w:pPr>
        <w:bidi w:val="1"/>
        <w:spacing w:after="440" w:before="0"/>
        <w:jc w:val="center"/>
      </w:pPr>
      <w:r>
        <w:rPr>
          <w:rFonts w:ascii="Times New Roman" w:hAnsi="Times New Roman" w:cs="B Nazanin"/>
          <w:sz w:val="28"/>
          <w:szCs w:val="34"/>
          <w:rtl w:val="1"/>
          <w:b/>
          <w:bCs/>
        </w:rPr>
        <w:t>شکل‌گیری پیمان جهانی محیط زیست و تأثیرات آن بر موافقت‌نامه‌های چندجانبه محیط‌زیستی</w:t>
      </w:r>
    </w:p>
    <w:p>
      <w:pPr>
        <w:bidi w:val="1"/>
        <w:spacing w:after="80" w:before="0"/>
        <w:jc w:val="center"/>
      </w:pPr>
      <w:r>
        <w:rPr>
          <w:rFonts w:ascii="Times New Roman" w:hAnsi="Times New Roman" w:cs="B Nazanin"/>
          <w:sz w:val="24"/>
          <w:szCs w:val="28"/>
          <w:rtl w:val="1"/>
        </w:rPr>
        <w:t>استاد راهنما: دکتر مسعود احسان‌نژاد</w:t>
      </w:r>
    </w:p>
    <w:p>
      <w:pPr>
        <w:bidi w:val="1"/>
        <w:spacing w:after="80" w:before="0"/>
        <w:jc w:val="center"/>
      </w:pPr>
      <w:r>
        <w:rPr>
          <w:rFonts w:ascii="Times New Roman" w:hAnsi="Times New Roman" w:cs="B Nazanin"/>
          <w:sz w:val="24"/>
          <w:szCs w:val="28"/>
          <w:rtl w:val="1"/>
        </w:rPr>
        <w:t>استاد مشاور: .....................</w:t>
      </w:r>
    </w:p>
    <w:p>
      <w:pPr>
        <w:bidi w:val="1"/>
        <w:spacing w:after="440" w:before="0"/>
        <w:jc w:val="center"/>
      </w:pPr>
      <w:r>
        <w:rPr>
          <w:rFonts w:ascii="Times New Roman" w:hAnsi="Times New Roman" w:cs="B Nazanin"/>
          <w:sz w:val="24"/>
          <w:szCs w:val="28"/>
          <w:rtl w:val="1"/>
        </w:rPr>
        <w:t>نگارنده: .....................</w:t>
      </w:r>
    </w:p>
    <w:p>
      <w:pPr>
        <w:bidi w:val="1"/>
        <w:spacing w:after="120" w:before="0"/>
        <w:jc w:val="center"/>
      </w:pPr>
      <w:r>
        <w:rPr>
          <w:rFonts w:ascii="Times New Roman" w:hAnsi="Times New Roman" w:cs="B Nazanin"/>
          <w:sz w:val="24"/>
          <w:szCs w:val="28"/>
          <w:rtl w:val="1"/>
        </w:rPr>
        <w:t>سال تحصیلی ۱۴۰۴–۱۴۰۵</w:t>
      </w:r>
    </w:p>
    <w:p>
      <w:r>
        <w:br w:type="page"/>
      </w:r>
    </w:p>
    <w:p>
      <w:pPr>
        <w:bidi w:val="1"/>
        <w:spacing w:after="200"/>
        <w:jc w:val="center"/>
      </w:pPr>
      <w:r>
        <w:rPr>
          <w:rFonts w:ascii="Times New Roman" w:hAnsi="Times New Roman" w:cs="B Nazanin"/>
          <w:sz w:val="24"/>
          <w:szCs w:val="28"/>
          <w:rtl w:val="1"/>
          <w:b/>
          <w:bCs/>
        </w:rPr>
        <w:t>چکیده</w:t>
      </w:r>
    </w:p>
    <w:p>
      <w:pPr>
        <w:bidi w:val="1"/>
        <w:spacing w:after="160" w:line="276" w:lineRule="auto"/>
        <w:jc w:val="both"/>
      </w:pPr>
      <w:r>
        <w:rPr>
          <w:rFonts w:ascii="Times New Roman" w:hAnsi="Times New Roman" w:cs="B Nazanin"/>
          <w:sz w:val="22"/>
          <w:szCs w:val="26"/>
          <w:rtl w:val="1"/>
        </w:rPr>
        <w:t>حقوق بین‌الملل محیط زیست طی بیش از پنج دهه از کنفرانس استکهلم ۱۹۷۲ تاکنون، به‌صورت واکنشی، بخشی و پراکنده رشد کرده و امروزه با بیش از پانصد موافقت‌نامهٔ چندجانبهٔ محیط‌زیستی، فاقد یک لایهٔ هنجاریِ مشترک و برترِ الزام‌آور است. «ابتکار پیمان جهانی محیط زیست» (۲۰۱۷) کوششی بود برای پاسخ به همین خلأ، از رهگذر تدوین سندی چترمانند حاوی اصول بنیادین حقوق بین‌الملل محیط زیست. این رساله با روش توصیفی-تحلیلی و رویکرد تحلیلی-انتقادی، نخست سیر تحول حقوق بین‌الملل محیط زیست و روند شکل‌گیری این ابتکار را بازخوانی می‌کند؛ سپس بر پایهٔ گزارش دبیرکل سازمان ملل متحد (A/73/419) خلأهای هنجاری، ساختاری و اجرایی این رشته را واکاوی می‌نماید و توان پیمان را در پاسخ به این خلأها می‌سنجد. آنگاه با تکیه بر سند کمیسیون حقوق بین‌الملل دربارهٔ پراکندگی (A/CN.4/L.682)، سازوکار حقوقیِ تأثیر پیمان بر موافقت‌نامه‌های چندجانبه — از مجرای تفسیر هماهنگ، مرجعیت اصولِ عام در موارد سکوت و ارتقای انسجام و کارآمدی — تبیین می‌شود. یافتهٔ محوری آن است که ریشهٔ پراکندگی، نه صرفِ کثرت معاهدات، بلکه فقدان یک «سند مادرِ» هنجاری است؛ و استحالهٔ پیمان به اعلامیهٔ سیاسی استکهلم+۵۰ در سال ۲۰۲۲، نه شکستِ «ایده» بلکه شکستِ «شکل الزام‌آور» در برابر موازنهٔ ژئوپلیتیک بود. رساله در پایان، با رویکرد آینده‌پژوهی و بر پایهٔ درس‌آموختهٔ شکست‌های پیشین، الگوی جایگزینِ «چترِ نرم-سختِ لایه‌ای» را به‌مثابه نقشهٔ راه واقع‌بینانه پیشنهاد می‌کند.</w:t>
      </w:r>
    </w:p>
    <w:p>
      <w:pPr>
        <w:bidi w:val="1"/>
        <w:spacing w:after="280"/>
        <w:jc w:val="both"/>
      </w:pPr>
      <w:r>
        <w:rPr>
          <w:rFonts w:ascii="Times New Roman" w:hAnsi="Times New Roman" w:cs="B Nazanin"/>
          <w:sz w:val="22"/>
          <w:szCs w:val="26"/>
          <w:rtl w:val="1"/>
          <w:b/>
          <w:bCs/>
        </w:rPr>
        <w:t xml:space="preserve">کلیدواژه‌ها: </w:t>
      </w:r>
      <w:r>
        <w:rPr>
          <w:rFonts w:ascii="Times New Roman" w:hAnsi="Times New Roman" w:cs="B Nazanin"/>
          <w:sz w:val="22"/>
          <w:szCs w:val="26"/>
          <w:rtl w:val="1"/>
        </w:rPr>
        <w:t>پیمان جهانی محیط زیست، موافقت‌نامه‌های چندجانبهٔ محیط‌زیستی، خلأهای حقوق بین‌الملل محیط زیست، گزارش دبیرکل A/73/419، پراکندگی حقوق بین‌الملل، گذار حقوق نرم به سخت.</w:t>
      </w:r>
    </w:p>
    <w:p>
      <w:r>
        <w:br w:type="page"/>
      </w:r>
    </w:p>
    <w:p>
      <w:pPr>
        <w:bidi w:val="1"/>
        <w:spacing w:after="200"/>
        <w:jc w:val="center"/>
      </w:pPr>
      <w:r>
        <w:rPr>
          <w:rFonts w:ascii="Times New Roman" w:hAnsi="Times New Roman" w:cs="B Nazanin"/>
          <w:sz w:val="24"/>
          <w:szCs w:val="28"/>
          <w:rtl w:val="1"/>
          <w:b/>
          <w:bCs/>
        </w:rPr>
        <w:t>فهرست مطالب</w:t>
      </w:r>
    </w:p>
    <w:p>
      <w:pPr>
        <w:bidi w:val="1"/>
        <w:jc w:val="right"/>
      </w:pPr>
      <w:r>
        <w:fldChar w:fldCharType="begin"/>
        <w:instrText xml:space="preserve">TOC \o "1-3" \h \z \u</w:instrText>
        <w:fldChar w:fldCharType="separate"/>
        <w:t>برای به‌روزرسانی فهرست مطالب، روی آن کلیک کرده و کلید F9 را فشار دهید.</w:t>
        <w:fldChar w:fldCharType="end"/>
      </w:r>
    </w:p>
    <w:p>
      <w:r>
        <w:br w:type="page"/>
      </w:r>
    </w:p>
    <w:p>
      <w:pPr>
        <w:pStyle w:val="Heading1"/>
        <w:bidi w:val="1"/>
        <w:spacing w:before="360" w:after="280"/>
        <w:jc w:val="center"/>
      </w:pPr>
      <w:r>
        <w:rPr>
          <w:rFonts w:ascii="Times New Roman" w:hAnsi="Times New Roman" w:cs="B Nazanin"/>
          <w:sz w:val="28"/>
          <w:szCs w:val="32"/>
          <w:rtl w:val="1"/>
          <w:b/>
          <w:bCs/>
          <w:color w:val="000000"/>
        </w:rPr>
        <w:t>فصل اول</w:t>
        <w:br/>
      </w:r>
      <w:r>
        <w:rPr>
          <w:rFonts w:ascii="Times New Roman" w:hAnsi="Times New Roman" w:cs="B Nazanin"/>
          <w:sz w:val="26"/>
          <w:szCs w:val="30"/>
          <w:rtl w:val="1"/>
          <w:b/>
          <w:bCs/>
          <w:color w:val="000000"/>
        </w:rPr>
        <w:t>چارچوب پژوهش</w:t>
      </w:r>
    </w:p>
    <w:p>
      <w:pPr>
        <w:pStyle w:val="Heading2"/>
        <w:bidi w:val="1"/>
        <w:spacing w:before="200" w:after="120"/>
        <w:jc w:val="right"/>
      </w:pPr>
      <w:r>
        <w:rPr>
          <w:rFonts w:ascii="Times New Roman" w:hAnsi="Times New Roman" w:cs="B Nazanin"/>
          <w:sz w:val="24"/>
          <w:szCs w:val="28"/>
          <w:rtl w:val="1"/>
          <w:b/>
          <w:bCs/>
          <w:color w:val="000000"/>
        </w:rPr>
        <w:t>۱-۱  بیان مسئله و اهمیت پژوهش</w:t>
      </w:r>
    </w:p>
    <w:p>
      <w:pPr>
        <w:bidi w:val="1"/>
        <w:spacing w:after="120" w:line="276" w:lineRule="auto"/>
        <w:ind w:firstLine="397"/>
        <w:jc w:val="both"/>
      </w:pPr>
      <w:r>
        <w:rPr>
          <w:rFonts w:ascii="Times New Roman" w:hAnsi="Times New Roman" w:cs="B Nazanin"/>
          <w:sz w:val="24"/>
          <w:szCs w:val="28"/>
          <w:rtl w:val="1"/>
        </w:rPr>
        <w:t>حقوق بین‌الملل محیط زیست از کنفرانس ملل متحد دربارهٔ محیط زیست انسانی (استکهلم، ۱۹۷۲) تا امروز، بیش از پنج دهه را پشت سر گذاشته و در این مدت به یکی از پویاترین شاخه‌های حقوق بین‌الملل بدل شده است. با این حال، این رشته به‌جای آنکه بر پایهٔ یک طرح جامع و نظام‌مند بنا شود، به‌صورت واکنشی، بخشی و پراکنده و در پاسخ به بحران‌های زیست‌محیطیِ پی‌درپی رشد کرده است.</w:t>
      </w:r>
      <w:r>
        <w:rPr>
          <w:rStyle w:val="FootnoteReference"/>
          <w:rtl w:val="1"/>
        </w:rPr>
        <w:footnoteReference w:id="1"/>
      </w:r>
      <w:r>
        <w:rPr>
          <w:rFonts w:ascii="Times New Roman" w:hAnsi="Times New Roman" w:cs="B Nazanin"/>
          <w:sz w:val="24"/>
          <w:szCs w:val="28"/>
          <w:rtl w:val="1"/>
        </w:rPr>
        <w:t xml:space="preserve"> حاصل این روند، انباشتِ بیش از پانصد موافقت‌نامهٔ چندجانبهٔ محیط‌زیستی است که هر یک در قلمروی موضوعیِ خاصِ خود (تنوع زیستی، تغییرات اقلیمی، لایهٔ ازن، مواد شیمیایی و پسماند، بیابان‌زدایی و جز آن) عمل می‌کنند، بی‌آنکه ذیل یک لایهٔ اصولِ مشترک و الزام‌آور گرد آمده باشند.</w:t>
      </w:r>
    </w:p>
    <w:p>
      <w:pPr>
        <w:bidi w:val="1"/>
        <w:spacing w:after="120" w:line="276" w:lineRule="auto"/>
        <w:ind w:firstLine="397"/>
        <w:jc w:val="both"/>
      </w:pPr>
      <w:r>
        <w:rPr>
          <w:rFonts w:ascii="Times New Roman" w:hAnsi="Times New Roman" w:cs="B Nazanin"/>
          <w:sz w:val="24"/>
          <w:szCs w:val="28"/>
          <w:rtl w:val="1"/>
        </w:rPr>
        <w:t>این وضعیت، که در ادبیات حقوقی از آن با عناوینی چون «پراکندگی» و «ازدحام معاهده‌ای» یاد می‌شود، به تعارض صلاحیت‌ها، ناهماهنگیِ تفسیری، هم‌پوشانی تعهدات و در نهایت کاهش کارآمدی نظام حفاظت محیط‌زیستی می‌انجامد.</w:t>
      </w:r>
      <w:r>
        <w:rPr>
          <w:rStyle w:val="FootnoteReference"/>
          <w:rtl w:val="1"/>
        </w:rPr>
        <w:footnoteReference w:id="2"/>
      </w:r>
      <w:r>
        <w:rPr>
          <w:rFonts w:ascii="Times New Roman" w:hAnsi="Times New Roman" w:cs="B Nazanin"/>
          <w:sz w:val="24"/>
          <w:szCs w:val="28"/>
          <w:rtl w:val="1"/>
        </w:rPr>
        <w:t xml:space="preserve"> کمیسیون حقوق بین‌الملل سازمان ملل متحد در گزارش سال ۲۰۰۶ خود، پراکندگی را نه یک نقص صرفاً فنی، بلکه ویژگیِ ساختاریِ حقوق بین‌المللِ فاقد قانون‌گذارِ متمرکز دانسته و ابزارهایی مانند قاعدهٔ «تخصیص» (lex specialis)، «تفسیر هماهنگ» و «یکپارچگی نظام‌مند» را برای مدیریت آن پیشنهاد کرده است.</w:t>
      </w:r>
    </w:p>
    <w:p>
      <w:pPr>
        <w:bidi w:val="1"/>
        <w:spacing w:after="120" w:line="276" w:lineRule="auto"/>
        <w:ind w:firstLine="397"/>
        <w:jc w:val="both"/>
      </w:pPr>
      <w:r>
        <w:rPr>
          <w:rFonts w:ascii="Times New Roman" w:hAnsi="Times New Roman" w:cs="B Nazanin"/>
          <w:sz w:val="24"/>
          <w:szCs w:val="28"/>
          <w:rtl w:val="1"/>
        </w:rPr>
        <w:t>در همین بستر بود که در سال ۲۰۱۷، ائتلافی از حقوق‌دانان به سرکردگیِ «باشگاه حقوق‌دانان» فرانسه و با پشتیبانی سیاسی، پیش‌نویس «پیمان جهانی محیط زیست» را به‌مثابه سندی چترمانند و الزام‌آور رونمایی کردند؛ سندی که هدف آن، تدوین و تثبیت اصول بنیادین حقوق بین‌الملل محیط زیست در قالب یک معاهدهٔ واحد بود تا همچون «سند مادرِ» این رشته عمل کند.</w:t>
      </w:r>
      <w:r>
        <w:rPr>
          <w:rStyle w:val="FootnoteReference"/>
          <w:rtl w:val="1"/>
        </w:rPr>
        <w:footnoteReference w:id="3"/>
      </w:r>
      <w:r>
        <w:rPr>
          <w:rFonts w:ascii="Times New Roman" w:hAnsi="Times New Roman" w:cs="B Nazanin"/>
          <w:sz w:val="24"/>
          <w:szCs w:val="28"/>
          <w:rtl w:val="1"/>
        </w:rPr>
        <w:t xml:space="preserve"> مجمع عمومی سازمان ملل با قطعنامهٔ ۷۲/۲۷۷ فرایند بررسی این ابتکار را آغاز کرد و دبیرکل را مأمور تهیهٔ گزارشی دربارهٔ خلأها و کاستی‌های حقوق بین‌الملل محیط زیست نمود؛ گزارشی که با نشانهٔ A/73/419 در سال ۲۰۱۸ منتشر شد و به سند مرجعِ بحث دربارهٔ خلأها بدل گشت.</w:t>
      </w:r>
    </w:p>
    <w:p>
      <w:pPr>
        <w:bidi w:val="1"/>
        <w:spacing w:after="120" w:line="276" w:lineRule="auto"/>
        <w:ind w:firstLine="397"/>
        <w:jc w:val="both"/>
      </w:pPr>
      <w:r>
        <w:rPr>
          <w:rFonts w:ascii="Times New Roman" w:hAnsi="Times New Roman" w:cs="B Nazanin"/>
          <w:sz w:val="24"/>
          <w:szCs w:val="28"/>
          <w:rtl w:val="1"/>
        </w:rPr>
        <w:t>با این همه، فرایند مذاکرات به تدریج از جاه‌طلبیِ نخستین فاصله گرفت و سرانجام در اجلاس «استکهلم+۵۰» در سال ۲۰۲۲، به‌جای یک معاهدهٔ الزام‌آور، تنها یک اعلامیهٔ سیاسیِ غیرالزام‌آور حاصل شد. این «استحاله»، پرسش‌های بنیادینی را پیش می‌کشد: آیا نیاز به یک سند چترِ هنجاری منتفی شده است، یا صرفاً شکلِ الزام‌آورِ آن با موانع ژئوپلیتیک روبه‌رو شده است؟ پیامدهای حقوقیِ این شکست بر موافقت‌نامه‌های چندجانبهٔ موجود چیست؟ و مهم‌تر از همه، اگر پیمان محقق می‌شد یا در آینده محقق شود، چه تأثیری بر انسجام، کارآمدی و حکمرانیِ این موافقت‌نامه‌ها می‌گذاشت؟ مسئلهٔ محوریِ این رساله، پاسخ نظام‌مند و مستند به همین مجموعه پرسش‌هاست.</w:t>
      </w:r>
    </w:p>
    <w:p>
      <w:pPr>
        <w:bidi w:val="1"/>
        <w:spacing w:after="120" w:line="276" w:lineRule="auto"/>
        <w:ind w:firstLine="397"/>
        <w:jc w:val="both"/>
      </w:pPr>
      <w:r>
        <w:rPr>
          <w:rFonts w:ascii="Times New Roman" w:hAnsi="Times New Roman" w:cs="B Nazanin"/>
          <w:sz w:val="24"/>
          <w:szCs w:val="28"/>
          <w:rtl w:val="1"/>
        </w:rPr>
        <w:t>اهمیت این پژوهش از سه جهت است: نخست، از منظر نظری، به یکی از بنیادی‌ترین چالش‌های معاصرِ حقوق بین‌الملل محیط زیست — یعنی فقدان انسجام هنجاری — می‌پردازد. دوم، از منظر کاربردی، پیامدهای حقوقیِ یک ابتکار مهمِ ناکام را برای نظام موجود موافقت‌نامه‌ها روشن می‌سازد. سوم، از منظر نوآوری، می‌کوشد به‌جای داوریِ ساده دربارهٔ «خوب یا بد بودنِ» پیمان، الگوی جایگزینی برای تحقق کارکردِ آن پس از شکست ۲۰۲۲ پیشنهاد کند.</w:t>
      </w:r>
    </w:p>
    <w:p>
      <w:pPr>
        <w:pStyle w:val="Heading2"/>
        <w:bidi w:val="1"/>
        <w:spacing w:before="200" w:after="120"/>
        <w:jc w:val="right"/>
      </w:pPr>
      <w:r>
        <w:rPr>
          <w:rFonts w:ascii="Times New Roman" w:hAnsi="Times New Roman" w:cs="B Nazanin"/>
          <w:sz w:val="24"/>
          <w:szCs w:val="28"/>
          <w:rtl w:val="1"/>
          <w:b/>
          <w:bCs/>
          <w:color w:val="000000"/>
        </w:rPr>
        <w:t>۱-۲  پرسش‌های پژوهش</w:t>
      </w:r>
    </w:p>
    <w:p>
      <w:pPr>
        <w:pStyle w:val="Heading3"/>
        <w:bidi w:val="1"/>
        <w:spacing w:before="200" w:after="120"/>
        <w:jc w:val="right"/>
      </w:pPr>
      <w:r>
        <w:rPr>
          <w:rFonts w:ascii="Times New Roman" w:hAnsi="Times New Roman" w:cs="B Nazanin"/>
          <w:sz w:val="24"/>
          <w:szCs w:val="26"/>
          <w:rtl w:val="1"/>
          <w:b/>
          <w:bCs/>
          <w:color w:val="000000"/>
        </w:rPr>
        <w:t>۱-۲-۱  پرسش اصلی</w:t>
      </w:r>
    </w:p>
    <w:p>
      <w:pPr>
        <w:bidi w:val="1"/>
        <w:spacing w:after="120" w:line="276" w:lineRule="auto"/>
        <w:ind w:firstLine="397"/>
        <w:jc w:val="both"/>
      </w:pPr>
      <w:r>
        <w:rPr>
          <w:rFonts w:ascii="Times New Roman" w:hAnsi="Times New Roman" w:cs="B Nazanin"/>
          <w:sz w:val="24"/>
          <w:szCs w:val="28"/>
          <w:rtl w:val="1"/>
        </w:rPr>
        <w:t>شکل‌گیری پیمان جهانی محیط زیست چه تأثیری بر موافقت‌نامه‌های چندجانبهٔ محیط‌زیستی خواهد داشت؟</w:t>
      </w:r>
    </w:p>
    <w:p>
      <w:pPr>
        <w:pStyle w:val="Heading3"/>
        <w:bidi w:val="1"/>
        <w:spacing w:before="200" w:after="120"/>
        <w:jc w:val="right"/>
      </w:pPr>
      <w:r>
        <w:rPr>
          <w:rFonts w:ascii="Times New Roman" w:hAnsi="Times New Roman" w:cs="B Nazanin"/>
          <w:sz w:val="24"/>
          <w:szCs w:val="26"/>
          <w:rtl w:val="1"/>
          <w:b/>
          <w:bCs/>
          <w:color w:val="000000"/>
        </w:rPr>
        <w:t>۱-۲-۲  پرسش‌های فرعی</w:t>
      </w:r>
    </w:p>
    <w:p>
      <w:pPr>
        <w:bidi w:val="1"/>
        <w:spacing w:after="120" w:line="276" w:lineRule="auto"/>
        <w:ind w:firstLine="397"/>
        <w:jc w:val="both"/>
      </w:pPr>
      <w:r>
        <w:rPr>
          <w:rFonts w:ascii="Times New Roman" w:hAnsi="Times New Roman" w:cs="B Nazanin"/>
          <w:sz w:val="24"/>
          <w:szCs w:val="28"/>
          <w:rtl w:val="1"/>
        </w:rPr>
        <w:t>۱) شکل‌گیری پیمان جهانی محیط زیست برای حقوق بین‌الملل محیط زیست چه ارزش‌افزوده‌ای به همراه خواهد داشت؟</w:t>
      </w:r>
    </w:p>
    <w:p>
      <w:pPr>
        <w:bidi w:val="1"/>
        <w:spacing w:after="120" w:line="276" w:lineRule="auto"/>
        <w:ind w:firstLine="397"/>
        <w:jc w:val="both"/>
      </w:pPr>
      <w:r>
        <w:rPr>
          <w:rFonts w:ascii="Times New Roman" w:hAnsi="Times New Roman" w:cs="B Nazanin"/>
          <w:sz w:val="24"/>
          <w:szCs w:val="28"/>
          <w:rtl w:val="1"/>
        </w:rPr>
        <w:t>۲) مواضع کشورها نسبت به پیش‌نویس پیمان جهانی برای محیط زیست و استدلال آن‌ها چگونه خواهد بود؟</w:t>
      </w:r>
    </w:p>
    <w:p>
      <w:pPr>
        <w:bidi w:val="1"/>
        <w:spacing w:after="120" w:line="276" w:lineRule="auto"/>
        <w:ind w:firstLine="397"/>
        <w:jc w:val="both"/>
      </w:pPr>
      <w:r>
        <w:rPr>
          <w:rFonts w:ascii="Times New Roman" w:hAnsi="Times New Roman" w:cs="B Nazanin"/>
          <w:sz w:val="24"/>
          <w:szCs w:val="28"/>
          <w:rtl w:val="1"/>
        </w:rPr>
        <w:t>۳) نقش پیمان جهانی محیط زیست را بر اجرا (implementation)، پایبندی (compliance)، ضمانت اجرا (enforcement) و در نهایت حاکمیت قانون (rule of law) در حقوق بین‌الملل محیط زیست چگونه می‌توان ارزیابی نمود؟</w:t>
      </w:r>
    </w:p>
    <w:p>
      <w:pPr>
        <w:bidi w:val="1"/>
        <w:spacing w:after="120" w:line="276" w:lineRule="auto"/>
        <w:ind w:firstLine="397"/>
        <w:jc w:val="both"/>
      </w:pPr>
      <w:r>
        <w:rPr>
          <w:rFonts w:ascii="Times New Roman" w:hAnsi="Times New Roman" w:cs="B Nazanin"/>
          <w:sz w:val="24"/>
          <w:szCs w:val="28"/>
          <w:rtl w:val="1"/>
        </w:rPr>
        <w:t>۴) نقش پیمان جهانی محیط زیست را بر انسجام (coherence)، کارآمدی (effectiveness) و حکمرانی (governance) موافقت‌نامه‌های چندجانبهٔ محیط‌زیستی چگونه می‌توان ارزیابی نمود؟</w:t>
      </w:r>
    </w:p>
    <w:p>
      <w:pPr>
        <w:pStyle w:val="Heading2"/>
        <w:bidi w:val="1"/>
        <w:spacing w:before="200" w:after="120"/>
        <w:jc w:val="right"/>
      </w:pPr>
      <w:r>
        <w:rPr>
          <w:rFonts w:ascii="Times New Roman" w:hAnsi="Times New Roman" w:cs="B Nazanin"/>
          <w:sz w:val="24"/>
          <w:szCs w:val="28"/>
          <w:rtl w:val="1"/>
          <w:b/>
          <w:bCs/>
          <w:color w:val="000000"/>
        </w:rPr>
        <w:t>۱-۳  فرضیه‌های پژوهش</w:t>
      </w:r>
    </w:p>
    <w:p>
      <w:pPr>
        <w:pStyle w:val="Heading3"/>
        <w:bidi w:val="1"/>
        <w:spacing w:before="200" w:after="120"/>
        <w:jc w:val="right"/>
      </w:pPr>
      <w:r>
        <w:rPr>
          <w:rFonts w:ascii="Times New Roman" w:hAnsi="Times New Roman" w:cs="B Nazanin"/>
          <w:sz w:val="24"/>
          <w:szCs w:val="26"/>
          <w:rtl w:val="1"/>
          <w:b/>
          <w:bCs/>
          <w:color w:val="000000"/>
        </w:rPr>
        <w:t>۱-۳-۱  فرضیهٔ اصلی</w:t>
      </w:r>
    </w:p>
    <w:p>
      <w:pPr>
        <w:bidi w:val="1"/>
        <w:spacing w:after="120" w:line="276" w:lineRule="auto"/>
        <w:ind w:firstLine="397"/>
        <w:jc w:val="both"/>
      </w:pPr>
      <w:r>
        <w:rPr>
          <w:rFonts w:ascii="Times New Roman" w:hAnsi="Times New Roman" w:cs="B Nazanin"/>
          <w:sz w:val="24"/>
          <w:szCs w:val="28"/>
          <w:rtl w:val="1"/>
        </w:rPr>
        <w:t>نظر به وجود پراکندگی و خلأهای هنجاری و فقدان سند الزام‌آور حاوی اصول بنیادین در حقوق بین‌الملل محیط زیست، شکل‌گیری پیمان جهانی محیط زیست با ماهیت الزام‌آور موجبات نظم و توسعهٔ هنجاریِ اصول و تبدیل حقوق نرم به حقوق سخت را فراهم خواهد ساخت.</w:t>
      </w:r>
    </w:p>
    <w:p>
      <w:pPr>
        <w:pStyle w:val="Heading3"/>
        <w:bidi w:val="1"/>
        <w:spacing w:before="200" w:after="120"/>
        <w:jc w:val="right"/>
      </w:pPr>
      <w:r>
        <w:rPr>
          <w:rFonts w:ascii="Times New Roman" w:hAnsi="Times New Roman" w:cs="B Nazanin"/>
          <w:sz w:val="24"/>
          <w:szCs w:val="26"/>
          <w:rtl w:val="1"/>
          <w:b/>
          <w:bCs/>
          <w:color w:val="000000"/>
        </w:rPr>
        <w:t>۱-۳-۲  فرضیه‌های فرعی</w:t>
      </w:r>
    </w:p>
    <w:p>
      <w:pPr>
        <w:bidi w:val="1"/>
        <w:spacing w:after="120" w:line="276" w:lineRule="auto"/>
        <w:ind w:firstLine="397"/>
        <w:jc w:val="both"/>
      </w:pPr>
      <w:r>
        <w:rPr>
          <w:rFonts w:ascii="Times New Roman" w:hAnsi="Times New Roman" w:cs="B Nazanin"/>
          <w:sz w:val="24"/>
          <w:szCs w:val="28"/>
          <w:rtl w:val="1"/>
        </w:rPr>
        <w:t>۱) پیمان جهانی محیط زیست در صدد ایجاد یک سند الزام‌آور به‌عنوان سند اصلی در حقوق بین‌الملل محیط زیست است که سایهٔ خود را از نظر اصول کلی (هنجاری)، اجرا و پایبندی بر موافقت‌نامه‌های چندجانبه بگستراند، در میان آن‌ها انسجام و یکنواختی ایجاد کند و در موارد سکوت و خلأ، اصول کلیِ مندرج در آن قابل رجوع و اعمال باشد.</w:t>
      </w:r>
    </w:p>
    <w:p>
      <w:pPr>
        <w:bidi w:val="1"/>
        <w:spacing w:after="120" w:line="276" w:lineRule="auto"/>
        <w:ind w:firstLine="397"/>
        <w:jc w:val="both"/>
      </w:pPr>
      <w:r>
        <w:rPr>
          <w:rFonts w:ascii="Times New Roman" w:hAnsi="Times New Roman" w:cs="B Nazanin"/>
          <w:sz w:val="24"/>
          <w:szCs w:val="28"/>
          <w:rtl w:val="1"/>
        </w:rPr>
        <w:t>۲) مواضع کشورها نسبت به پیش‌نویس پیمان در دو گروه موافق و مخالف جای می‌گیرد: موافق‌ها که عمدتاً کشورهای عضو اتحادیهٔ اروپا هستند و بر لزوم تقویت اجرای حقوق بین‌الملل محیط زیست و تصویب پاسخی اقدام‌محور تأکید می‌ورزند؛ و مخالف‌ها که در رأس آن‌ها ایالات متحده و روسیه با نگرانی نسبت به تعهدات یک سند الزام‌آور قرار دارند، و نیز کشورهای در حال توسعه که با ملاحظاتی دربارهٔ روند توسعه‌یافتگی، ابعاد حقوق‌بشری، سیاسی‌نشدن موضوعات زیست‌محیطی و ترجیح توصیه‌های تشویقی بر رویکرد اقدام‌محور، محتاطانه یا مخالف موضع گرفته‌اند.</w:t>
      </w:r>
    </w:p>
    <w:p>
      <w:pPr>
        <w:bidi w:val="1"/>
        <w:spacing w:after="120" w:line="276" w:lineRule="auto"/>
        <w:ind w:firstLine="397"/>
        <w:jc w:val="both"/>
      </w:pPr>
      <w:r>
        <w:rPr>
          <w:rFonts w:ascii="Times New Roman" w:hAnsi="Times New Roman" w:cs="B Nazanin"/>
          <w:sz w:val="24"/>
          <w:szCs w:val="28"/>
          <w:rtl w:val="1"/>
        </w:rPr>
        <w:t>۳) پیمان جهانی محیط زیست جهت رفع فقدان استانداردهای شفاف و بهبود اجرای موافقت‌نامه‌ها، به تبیین استانداردها و اصول شفاف و پیش‌بینی سازوکارهای نظارت بر اجرا و پایبندی می‌پردازد و از این رهگذر گامی مؤثر در ارتقای اجرا، پایبندی، ضمانت اجرا و حاکمیت قانون در چارچوب اصول حقوق بین‌الملل محیط زیست خواهد بود.</w:t>
      </w:r>
    </w:p>
    <w:p>
      <w:pPr>
        <w:bidi w:val="1"/>
        <w:spacing w:after="120" w:line="276" w:lineRule="auto"/>
        <w:ind w:firstLine="397"/>
        <w:jc w:val="both"/>
      </w:pPr>
      <w:r>
        <w:rPr>
          <w:rFonts w:ascii="Times New Roman" w:hAnsi="Times New Roman" w:cs="B Nazanin"/>
          <w:sz w:val="24"/>
          <w:szCs w:val="28"/>
          <w:rtl w:val="1"/>
        </w:rPr>
        <w:t>۴) پیمان جهانی محیط زیست با درج اصول کلیِ حقوق بین‌الملل محیط زیست در یک سند الزام‌آور، انسجام بیشتری میان قواعد و تعهدات موجود ایجاد می‌کند، با الزام کشورها به تصویب و اجرای قوانین مؤثر محیط‌زیستی به کارآمدیِ هنجارها می‌انجامد و با تقویت عناصر مدیریت بین‌المللی (تصمیم‌سازی، اجرا و سازوکارهای پایبندی) حکمرانی محیط‌زیستی جهانی را تقویت می‌کند.</w:t>
      </w:r>
    </w:p>
    <w:p>
      <w:pPr>
        <w:pStyle w:val="Heading2"/>
        <w:bidi w:val="1"/>
        <w:spacing w:before="200" w:after="120"/>
        <w:jc w:val="right"/>
      </w:pPr>
      <w:r>
        <w:rPr>
          <w:rFonts w:ascii="Times New Roman" w:hAnsi="Times New Roman" w:cs="B Nazanin"/>
          <w:sz w:val="24"/>
          <w:szCs w:val="28"/>
          <w:rtl w:val="1"/>
          <w:b/>
          <w:bCs/>
          <w:color w:val="000000"/>
        </w:rPr>
        <w:t>۱-۴  اهداف، روش‌شناسی و پیشینهٔ پژوهش</w:t>
      </w:r>
    </w:p>
    <w:p>
      <w:pPr>
        <w:pStyle w:val="Heading3"/>
        <w:bidi w:val="1"/>
        <w:spacing w:before="200" w:after="120"/>
        <w:jc w:val="right"/>
      </w:pPr>
      <w:r>
        <w:rPr>
          <w:rFonts w:ascii="Times New Roman" w:hAnsi="Times New Roman" w:cs="B Nazanin"/>
          <w:sz w:val="24"/>
          <w:szCs w:val="26"/>
          <w:rtl w:val="1"/>
          <w:b/>
          <w:bCs/>
          <w:color w:val="000000"/>
        </w:rPr>
        <w:t>۱-۴-۱  اهداف پژوهش</w:t>
      </w:r>
    </w:p>
    <w:p>
      <w:pPr>
        <w:bidi w:val="1"/>
        <w:spacing w:after="120" w:line="276" w:lineRule="auto"/>
        <w:ind w:firstLine="397"/>
        <w:jc w:val="both"/>
      </w:pPr>
      <w:r>
        <w:rPr>
          <w:rFonts w:ascii="Times New Roman" w:hAnsi="Times New Roman" w:cs="B Nazanin"/>
          <w:sz w:val="24"/>
          <w:szCs w:val="28"/>
          <w:rtl w:val="1"/>
        </w:rPr>
        <w:t>هدف کلیِ رساله، تبیین سازوکار و گسترهٔ تأثیر شکل‌گیری پیمان جهانی محیط زیست بر موافقت‌نامه‌های چندجانبهٔ محیط‌زیستی است. اهداف جزئی عبارت‌اند از: (۱) بازخوانیِ سیر تحول حقوق بین‌الملل محیط زیست و روند شکل‌گیری ابتکار پیمان؛ (۲) واکاوی خلأهای این رشته بر پایهٔ گزارش دبیرکل و سنجش توان پیمان در پاسخ به آن‌ها؛ (۳) تبیین پیامدهای حقوقیِ پیمان بر انسجام، کارآمدی و حکمرانیِ موافقت‌نامه‌ها؛ و (۴) استخراج درس‌آموختهٔ شکست ۲۰۲۲ و ارائهٔ نقشهٔ راه و الگوی جایگزین با رویکرد آینده‌پژوهی.</w:t>
      </w:r>
    </w:p>
    <w:p>
      <w:pPr>
        <w:pStyle w:val="Heading3"/>
        <w:bidi w:val="1"/>
        <w:spacing w:before="200" w:after="120"/>
        <w:jc w:val="right"/>
      </w:pPr>
      <w:r>
        <w:rPr>
          <w:rFonts w:ascii="Times New Roman" w:hAnsi="Times New Roman" w:cs="B Nazanin"/>
          <w:sz w:val="24"/>
          <w:szCs w:val="26"/>
          <w:rtl w:val="1"/>
          <w:b/>
          <w:bCs/>
          <w:color w:val="000000"/>
        </w:rPr>
        <w:t>۱-۴-۲  روش‌شناسی پژوهش</w:t>
      </w:r>
    </w:p>
    <w:p>
      <w:pPr>
        <w:bidi w:val="1"/>
        <w:spacing w:after="120" w:line="276" w:lineRule="auto"/>
        <w:ind w:firstLine="397"/>
        <w:jc w:val="both"/>
      </w:pPr>
      <w:r>
        <w:rPr>
          <w:rFonts w:ascii="Times New Roman" w:hAnsi="Times New Roman" w:cs="B Nazanin"/>
          <w:sz w:val="24"/>
          <w:szCs w:val="28"/>
          <w:rtl w:val="1"/>
        </w:rPr>
        <w:t>این پژوهش از نوع بنیادی-نظری و روش آن توصیفی-تحلیلی با رویکرد تحلیلی-انتقادی است. گردآوری داده‌ها به شیوهٔ کتابخانه‌ای و اسنادی انجام شده و افزون بر منابع دستِ اول (اسناد سازمان ملل، پیش‌نویس پیمان، معاهدات و گزارش‌ها)، از یک «جست‌وجوی نظام‌مند» در پایگاه‌های استنادیِ تخصصیِ Westlaw، HeinOnline و Scopus بهره گرفته شده است. این جست‌وجو بر پایهٔ چارچوب پریزما (PRISMA) و با عبارت‌های بولیِ مستند و بازهٔ زمانی مشخص (با تمرکز بر ۲۰۱۷–۲۰۲۴) اجرا شد تا قابلیت بازتولید پژوهش تضمین گردد.</w:t>
      </w:r>
      <w:r>
        <w:rPr>
          <w:rStyle w:val="FootnoteReference"/>
          <w:rtl w:val="1"/>
        </w:rPr>
        <w:footnoteReference w:id="4"/>
      </w:r>
      <w:r>
        <w:rPr>
          <w:rFonts w:ascii="Times New Roman" w:hAnsi="Times New Roman" w:cs="B Nazanin"/>
          <w:sz w:val="24"/>
          <w:szCs w:val="28"/>
          <w:rtl w:val="1"/>
        </w:rPr>
        <w:t xml:space="preserve"> منابع گردآوری‌شده با روش تحلیل محتوای کیفی و به‌کمک یک سامانهٔ هوشمندِ نگاشتِ دانش (که هر منبع را به فصول، پرسش‌ها و خلأهای متناظر پیوند می‌دهد) دسته‌بندی و ارزیابی شدند.</w:t>
      </w:r>
    </w:p>
    <w:p>
      <w:pPr>
        <w:pStyle w:val="Heading3"/>
        <w:bidi w:val="1"/>
        <w:spacing w:before="200" w:after="120"/>
        <w:jc w:val="right"/>
      </w:pPr>
      <w:r>
        <w:rPr>
          <w:rFonts w:ascii="Times New Roman" w:hAnsi="Times New Roman" w:cs="B Nazanin"/>
          <w:sz w:val="24"/>
          <w:szCs w:val="26"/>
          <w:rtl w:val="1"/>
          <w:b/>
          <w:bCs/>
          <w:color w:val="000000"/>
        </w:rPr>
        <w:t>۱-۴-۳  پیشینهٔ پژوهش</w:t>
      </w:r>
    </w:p>
    <w:p>
      <w:pPr>
        <w:bidi w:val="1"/>
        <w:spacing w:after="120" w:line="276" w:lineRule="auto"/>
        <w:ind w:firstLine="397"/>
        <w:jc w:val="both"/>
      </w:pPr>
      <w:r>
        <w:rPr>
          <w:rFonts w:ascii="Times New Roman" w:hAnsi="Times New Roman" w:cs="B Nazanin"/>
          <w:sz w:val="24"/>
          <w:szCs w:val="28"/>
          <w:rtl w:val="1"/>
        </w:rPr>
        <w:t>ادبیات موجود دربارهٔ پیمان جهانی محیط زیست را می‌توان در سه جریان دسته‌بندی کرد. جریان نخست، آثار معماران و طرفداران پیمان است که بر مبانی و ارزش‌افزودهٔ آن تأکید می‌ورزند؛ برجسته‌ترین نمونه، مبانیِ حقوقی و مفهومیِ تدوین‌شده به دست آگیلا و وینیوآلس است.</w:t>
      </w:r>
      <w:r>
        <w:rPr>
          <w:rStyle w:val="FootnoteReference"/>
          <w:rtl w:val="1"/>
        </w:rPr>
        <w:footnoteReference w:id="5"/>
      </w:r>
      <w:r>
        <w:rPr>
          <w:rFonts w:ascii="Times New Roman" w:hAnsi="Times New Roman" w:cs="B Nazanin"/>
          <w:sz w:val="24"/>
          <w:szCs w:val="28"/>
          <w:rtl w:val="1"/>
        </w:rPr>
        <w:t xml:space="preserve"> جریان دوم، آثار انتقادی است که در رأس آن‌ها نقد کوتزه و فرنچ قرار دارد؛ آنان پیمان را در دوراهیِ «مرده‌زاد بودن» یا «بنیان‌گذاریِ حقوقِ عصر انتروپوسن» می‌بینند و هشدار می‌دهند که صرفِ تجمیع اصولِ موجود بدون گذار به رویکرد سامانهٔ زمین کافی نیست.</w:t>
      </w:r>
      <w:r>
        <w:rPr>
          <w:rStyle w:val="FootnoteReference"/>
          <w:rtl w:val="1"/>
        </w:rPr>
        <w:footnoteReference w:id="6"/>
      </w:r>
      <w:r>
        <w:rPr>
          <w:rFonts w:ascii="Times New Roman" w:hAnsi="Times New Roman" w:cs="B Nazanin"/>
          <w:sz w:val="24"/>
          <w:szCs w:val="28"/>
          <w:rtl w:val="1"/>
        </w:rPr>
        <w:t xml:space="preserve"> همین دو نویسنده در اثری دیگر نشان می‌دهند که گزارش دبیرکل خلأهای «واقعی و فنی» را می‌بیند اما خلأ «هنجاریِ» بنیادین را ناگفته می‌گذارد.</w:t>
      </w:r>
      <w:r>
        <w:rPr>
          <w:rStyle w:val="FootnoteReference"/>
          <w:rtl w:val="1"/>
        </w:rPr>
        <w:footnoteReference w:id="7"/>
      </w:r>
      <w:r>
        <w:rPr>
          <w:rFonts w:ascii="Times New Roman" w:hAnsi="Times New Roman" w:cs="B Nazanin"/>
          <w:sz w:val="24"/>
          <w:szCs w:val="28"/>
          <w:rtl w:val="1"/>
        </w:rPr>
        <w:t xml:space="preserve"> جریان سوم، آثار نظریِ زیرساختی است که به مبانیِ انسجام‌بخشی می‌پردازد؛ کیم و بوسلمان با طرح ایدهٔ «سامانهٔ هدف‌مندِ موافقت‌نامه‌های چندجانبه» استدلال می‌کنند که نظام موجود فاقد یک «هنجار برترِ» مشترک است.</w:t>
      </w:r>
      <w:r>
        <w:rPr>
          <w:rStyle w:val="FootnoteReference"/>
          <w:rtl w:val="1"/>
        </w:rPr>
        <w:footnoteReference w:id="8"/>
      </w:r>
      <w:r>
        <w:rPr>
          <w:rFonts w:ascii="Times New Roman" w:hAnsi="Times New Roman" w:cs="B Nazanin"/>
          <w:sz w:val="24"/>
          <w:szCs w:val="28"/>
          <w:rtl w:val="1"/>
        </w:rPr>
        <w:t xml:space="preserve"> با وجود غنای این ادبیات، پژوهشی که به‌طور نظام‌مند سازوکارِ حقوقیِ تأثیر پیمان بر موافقت‌نامه‌های چندجانبه را — به‌ویژه پس از شکست ۲۰۲۲ و با ارائهٔ الگوی جایگزین — تبیین کند، کمتر یافت می‌شود؛ و این همان خلأیی است که رسالهٔ حاضر می‌کوشد پر کند.</w:t>
      </w:r>
    </w:p>
    <w:p>
      <w:pPr>
        <w:pStyle w:val="Heading2"/>
        <w:bidi w:val="1"/>
        <w:spacing w:before="200" w:after="120"/>
        <w:jc w:val="right"/>
      </w:pPr>
      <w:r>
        <w:rPr>
          <w:rFonts w:ascii="Times New Roman" w:hAnsi="Times New Roman" w:cs="B Nazanin"/>
          <w:sz w:val="24"/>
          <w:szCs w:val="28"/>
          <w:rtl w:val="1"/>
          <w:b/>
          <w:bCs/>
          <w:color w:val="000000"/>
        </w:rPr>
        <w:t>۱-۵  تعریف مفاهیم و ساختار رساله</w:t>
      </w:r>
    </w:p>
    <w:p>
      <w:pPr>
        <w:pStyle w:val="Heading3"/>
        <w:bidi w:val="1"/>
        <w:spacing w:before="200" w:after="120"/>
        <w:jc w:val="right"/>
      </w:pPr>
      <w:r>
        <w:rPr>
          <w:rFonts w:ascii="Times New Roman" w:hAnsi="Times New Roman" w:cs="B Nazanin"/>
          <w:sz w:val="24"/>
          <w:szCs w:val="26"/>
          <w:rtl w:val="1"/>
          <w:b/>
          <w:bCs/>
          <w:color w:val="000000"/>
        </w:rPr>
        <w:t>۱-۵-۱  تعریف مفاهیم کلیدی</w:t>
      </w:r>
    </w:p>
    <w:p>
      <w:pPr>
        <w:bidi w:val="1"/>
        <w:spacing w:after="120" w:line="276" w:lineRule="auto"/>
        <w:ind w:firstLine="397"/>
        <w:jc w:val="both"/>
      </w:pPr>
      <w:r>
        <w:rPr>
          <w:rFonts w:ascii="Times New Roman" w:hAnsi="Times New Roman" w:cs="B Nazanin"/>
          <w:sz w:val="24"/>
          <w:szCs w:val="28"/>
          <w:rtl w:val="1"/>
        </w:rPr>
        <w:t>پیمان جهانی محیط زیست: پیش‌نویس معاهده‌ای چندجانبه که در سال ۲۰۱۷ با هدف تدوین اصول بنیادین حقوق بین‌الملل محیط زیست در یک سند واحد و الزام‌آور معرفی شد. موافقت‌نامهٔ چندجانبهٔ محیط‌زیستی (MEA): هر معاهدهٔ بین‌المللی با سه یا چند طرف که موضوع آن حفاظت از محیط زیست است. خلأ هنجاری: نبودِ اصول عمومیِ الزام‌آور و مشترک که بتواند به‌مثابه لایهٔ برترِ تفسیری و انسجام‌بخش عمل کند. گذار حقوق نرم به سخت: فرایند تبدیل تعهدات تشویقی و غیرالزام‌آور به قواعد الزام‌آور حقوقی.</w:t>
      </w:r>
    </w:p>
    <w:p>
      <w:pPr>
        <w:pStyle w:val="Heading3"/>
        <w:bidi w:val="1"/>
        <w:spacing w:before="200" w:after="120"/>
        <w:jc w:val="right"/>
      </w:pPr>
      <w:r>
        <w:rPr>
          <w:rFonts w:ascii="Times New Roman" w:hAnsi="Times New Roman" w:cs="B Nazanin"/>
          <w:sz w:val="24"/>
          <w:szCs w:val="26"/>
          <w:rtl w:val="1"/>
          <w:b/>
          <w:bCs/>
          <w:color w:val="000000"/>
        </w:rPr>
        <w:t>۱-۵-۲  ساختار رساله</w:t>
      </w:r>
    </w:p>
    <w:p>
      <w:pPr>
        <w:bidi w:val="1"/>
        <w:spacing w:after="120" w:line="276" w:lineRule="auto"/>
        <w:ind w:firstLine="397"/>
        <w:jc w:val="both"/>
      </w:pPr>
      <w:r>
        <w:rPr>
          <w:rFonts w:ascii="Times New Roman" w:hAnsi="Times New Roman" w:cs="B Nazanin"/>
          <w:sz w:val="24"/>
          <w:szCs w:val="28"/>
          <w:rtl w:val="1"/>
        </w:rPr>
        <w:t>رساله در پنج فصل سامان یافته است. فصل نخست، چارچوب پژوهش (پرسش‌ها، فرضیه‌ها و روش) را عرضه می‌کند. فصل دوم به سیر تحول حقوق بین‌الملل محیط زیست از استکهلم ۱۹۷۲ تا ۲۰۲۲ و مبانی و روند شکل‌گیری پیمان می‌پردازد. فصل سوم، خلأهای این رشته را بر پایهٔ گزارش دبیرکل واکاوی و ابتکار پیمان را تحلیل می‌کند. فصل چهارم، تأثیر بالقوهٔ پیمان بر موافقت‌نامه‌ها و سپس پیامدهای شکست آن را با رویکرد آینده‌پژوهی بررسی می‌نماید. فصل پنجم به نتیجه‌گیری، پاسخ متقن به پرسش‌ها و ارائهٔ نقشهٔ راه اختصاص دارد.</w:t>
      </w:r>
    </w:p>
    <w:p>
      <w:pPr>
        <w:pStyle w:val="Heading1"/>
        <w:bidi w:val="1"/>
        <w:spacing w:before="360" w:after="280"/>
        <w:jc w:val="center"/>
      </w:pPr>
      <w:r>
        <w:rPr>
          <w:rFonts w:ascii="Times New Roman" w:hAnsi="Times New Roman" w:cs="B Nazanin"/>
          <w:sz w:val="28"/>
          <w:szCs w:val="32"/>
          <w:rtl w:val="1"/>
          <w:b/>
          <w:bCs/>
          <w:color w:val="000000"/>
        </w:rPr>
        <w:t>فصل دوم</w:t>
        <w:br/>
      </w:r>
      <w:r>
        <w:rPr>
          <w:rFonts w:ascii="Times New Roman" w:hAnsi="Times New Roman" w:cs="B Nazanin"/>
          <w:sz w:val="26"/>
          <w:szCs w:val="30"/>
          <w:rtl w:val="1"/>
          <w:b/>
          <w:bCs/>
          <w:color w:val="000000"/>
        </w:rPr>
        <w:t>شکل‌گیری حقوق بین‌الملل محیط زیست و پیمان جهانی محیط زیست (۱۹۷۲–۲۰۲۲)</w:t>
      </w:r>
    </w:p>
    <w:p>
      <w:pPr>
        <w:bidi w:val="1"/>
        <w:spacing w:after="120" w:line="276" w:lineRule="auto"/>
        <w:ind w:firstLine="397"/>
        <w:jc w:val="both"/>
      </w:pPr>
      <w:r>
        <w:rPr>
          <w:rFonts w:ascii="Times New Roman" w:hAnsi="Times New Roman" w:cs="B Nazanin"/>
          <w:sz w:val="24"/>
          <w:szCs w:val="28"/>
          <w:rtl w:val="1"/>
        </w:rPr>
        <w:t>این فصل در دو گفتار سامان می‌یابد: نخست، سیر تحول حقوق بین‌الملل محیط زیست از کنفرانس استکهلم ۱۹۷۲ تا اجلاس استکهلم+۵۰ در سال ۲۰۲۲؛ و دوم، مبانی نظری و روند شکل‌گیریِ ابتکار پیمان جهانی محیط زیست با تمرکز بر وضعیت محیط زیست جهانی در عصر انتروپوسن و سرشتِ واکنشی، بخشی و پراکندهٔ این رشته.</w:t>
      </w:r>
    </w:p>
    <w:p>
      <w:pPr>
        <w:pStyle w:val="Heading2"/>
        <w:bidi w:val="1"/>
        <w:spacing w:before="200" w:after="120"/>
        <w:jc w:val="right"/>
      </w:pPr>
      <w:r>
        <w:rPr>
          <w:rFonts w:ascii="Times New Roman" w:hAnsi="Times New Roman" w:cs="B Nazanin"/>
          <w:sz w:val="24"/>
          <w:szCs w:val="28"/>
          <w:rtl w:val="1"/>
          <w:b/>
          <w:bCs/>
          <w:color w:val="000000"/>
        </w:rPr>
        <w:t>۲-۱  سیر تحول حقوق بین‌الملل محیط زیست (از استکهلم ۱۹۷۲ تا استکهلم ۲۰۲۲)</w:t>
      </w:r>
    </w:p>
    <w:p>
      <w:pPr>
        <w:bidi w:val="1"/>
        <w:spacing w:after="120" w:line="276" w:lineRule="auto"/>
        <w:ind w:firstLine="397"/>
        <w:jc w:val="both"/>
      </w:pPr>
      <w:r>
        <w:rPr>
          <w:rFonts w:ascii="Times New Roman" w:hAnsi="Times New Roman" w:cs="B Nazanin"/>
          <w:sz w:val="24"/>
          <w:szCs w:val="28"/>
          <w:rtl w:val="1"/>
        </w:rPr>
        <w:t>پیدایش حقوق بین‌الملل محیط زیست به‌مثابه شاخه‌ای متمایز، محصول تدریجیِ نیمهٔ دوم سدهٔ بیستم است. اگرچه ریشه‌های آن را می‌توان در برخی آرای داوریِ کلاسیک مانند قضیهٔ «ذوب‌آهن ترِیل» جست‌وجو کرد، اما نقطهٔ عطف نهادین، کنفرانس ملل متحد دربارهٔ محیط زیست انسانی در استکهلم (۱۹۷۲) بود که برای نخستین‌بار محیط زیست را در دستور کار جهانی نشاند و با صدور اعلامیهٔ استکهلم و تأسیس برنامهٔ محیط زیست ملل متحد (UNEP)، بنیان نهادی و اصولیِ این رشته را پی افکند.</w:t>
      </w:r>
      <w:r>
        <w:rPr>
          <w:rStyle w:val="FootnoteReference"/>
          <w:rtl w:val="1"/>
        </w:rPr>
        <w:footnoteReference w:id="9"/>
      </w:r>
    </w:p>
    <w:p>
      <w:pPr>
        <w:bidi w:val="1"/>
        <w:spacing w:after="120" w:line="276" w:lineRule="auto"/>
        <w:ind w:firstLine="397"/>
        <w:jc w:val="both"/>
      </w:pPr>
      <w:r>
        <w:rPr>
          <w:rFonts w:ascii="Times New Roman" w:hAnsi="Times New Roman" w:cs="B Nazanin"/>
          <w:sz w:val="24"/>
          <w:szCs w:val="28"/>
          <w:rtl w:val="1"/>
        </w:rPr>
        <w:t>پدیدهٔ درخور توجه در این سیر، ظهورِ آنچه «حقوق محیط‌زیست جهانی» خوانده می‌شود بود؛ یعنی هم‌گراییِ فزایندهٔ حقوق داخلی، بین‌الملل و فراملی در پاسخ به مسائل مشترکِ زیست‌محیطی.</w:t>
      </w:r>
      <w:r>
        <w:rPr>
          <w:rStyle w:val="FootnoteReference"/>
          <w:rtl w:val="1"/>
        </w:rPr>
        <w:footnoteReference w:id="10"/>
      </w:r>
      <w:r>
        <w:rPr>
          <w:rFonts w:ascii="Times New Roman" w:hAnsi="Times New Roman" w:cs="B Nazanin"/>
          <w:sz w:val="24"/>
          <w:szCs w:val="28"/>
          <w:rtl w:val="1"/>
        </w:rPr>
        <w:t xml:space="preserve"> با این حال، توسعهٔ این رشته از منطقی «واکنشی» پیروی می‌کرد: هر بحران یا فاجعهٔ زیست‌محیطیِ تازه، به تدوین معاهده‌ای جدید و مستقل می‌انجامید، بی‌آنکه پیوند نظام‌مندی میان این معاهدات برقرار شود. کنفرانس ریو (۱۹۹۲) با صدور اعلامیهٔ ریو، دستور کار ۲۱ و گشودنِ کنوانسیون‌های تغییرات اقلیمی و تنوع زیستی، اوج این رویکردِ موضوع‌محور بود و هم‌زمان، مفهوم «توسعهٔ پایدار» را به گفتمان مسلط بدل ساخت.</w:t>
      </w:r>
    </w:p>
    <w:p>
      <w:pPr>
        <w:bidi w:val="1"/>
        <w:spacing w:after="120" w:line="276" w:lineRule="auto"/>
        <w:ind w:firstLine="397"/>
        <w:jc w:val="both"/>
      </w:pPr>
      <w:r>
        <w:rPr>
          <w:rFonts w:ascii="Times New Roman" w:hAnsi="Times New Roman" w:cs="B Nazanin"/>
          <w:sz w:val="24"/>
          <w:szCs w:val="28"/>
          <w:rtl w:val="1"/>
        </w:rPr>
        <w:t>دهه‌های پس از ریو، شاهد تکثیر شتابانِ موافقت‌نامه‌های چندجانبه و در نتیجه پدیدارشدنِ مسئلهٔ «ازدحام معاهده‌ای» و پراکندگی بود. اجلاس‌های ژوهانسبورگ (۲۰۰۲) و ریو+۲۰ (۲۰۱۲) نیز نتوانستند این گسیختگیِ ساختاری را ترمیم کنند و بحث دربارهٔ ضرورتِ یک چارچوب انسجام‌بخش بالا گرفت. سرانجام، پنجاهمین سالگرد استکهلم در سال ۲۰۲۲ («استکهلم+۵۰») در حالی برگزار شد که ابتکار پیمان جهانی محیط زیست به اعلامیه‌ای سیاسی تنزل یافته بود؛ رویدادی که هم پایان یک دورهٔ پنجاه‌ساله و هم آغاز پرسش‌های تازه دربارهٔ آیندهٔ حکمرانیِ محیط‌زیستی را رقم زد.</w:t>
      </w:r>
    </w:p>
    <w:p>
      <w:pPr>
        <w:pStyle w:val="Heading2"/>
        <w:bidi w:val="1"/>
        <w:spacing w:before="200" w:after="120"/>
        <w:jc w:val="right"/>
      </w:pPr>
      <w:r>
        <w:rPr>
          <w:rFonts w:ascii="Times New Roman" w:hAnsi="Times New Roman" w:cs="B Nazanin"/>
          <w:sz w:val="24"/>
          <w:szCs w:val="28"/>
          <w:rtl w:val="1"/>
          <w:b/>
          <w:bCs/>
          <w:color w:val="000000"/>
        </w:rPr>
        <w:t>۲-۲  مبانی نظری و روند شکل‌گیری پیمان جهانی محیط زیست</w:t>
      </w:r>
    </w:p>
    <w:p>
      <w:pPr>
        <w:pStyle w:val="Heading3"/>
        <w:bidi w:val="1"/>
        <w:spacing w:before="200" w:after="120"/>
        <w:jc w:val="right"/>
      </w:pPr>
      <w:r>
        <w:rPr>
          <w:rFonts w:ascii="Times New Roman" w:hAnsi="Times New Roman" w:cs="B Nazanin"/>
          <w:sz w:val="24"/>
          <w:szCs w:val="26"/>
          <w:rtl w:val="1"/>
          <w:b/>
          <w:bCs/>
          <w:color w:val="000000"/>
        </w:rPr>
        <w:t>۲-۲-۱  وضعیت محیط زیست جهانی در عصر انتروپوسن</w:t>
      </w:r>
    </w:p>
    <w:p>
      <w:pPr>
        <w:bidi w:val="1"/>
        <w:spacing w:after="120" w:line="276" w:lineRule="auto"/>
        <w:ind w:firstLine="397"/>
        <w:jc w:val="both"/>
      </w:pPr>
      <w:r>
        <w:rPr>
          <w:rFonts w:ascii="Times New Roman" w:hAnsi="Times New Roman" w:cs="B Nazanin"/>
          <w:sz w:val="24"/>
          <w:szCs w:val="28"/>
          <w:rtl w:val="1"/>
        </w:rPr>
        <w:t>مفهوم «انتروپوسن» — دورانی که در آن فعالیت بشر به نیروی زمین‌شناختیِ غالب بدل شده — بستر فکریِ نوینی برای بازاندیشی در حقوق بین‌الملل محیط زیست فراهم آورده است. در این چارچوب، چارچوب علمیِ «مرزهای سیاره‌ای» نشان می‌دهد که چند نظام حیاتیِ زمین از آستانهٔ ایمن خود فراتر رفته‌اند و همین، مبنایی علمی برای هدف‌گذاریِ هنجاریِ تازه فراهم می‌آورد.</w:t>
      </w:r>
      <w:r>
        <w:rPr>
          <w:rStyle w:val="FootnoteReference"/>
          <w:rtl w:val="1"/>
        </w:rPr>
        <w:footnoteReference w:id="11"/>
      </w:r>
      <w:r>
        <w:rPr>
          <w:rFonts w:ascii="Times New Roman" w:hAnsi="Times New Roman" w:cs="B Nazanin"/>
          <w:sz w:val="24"/>
          <w:szCs w:val="28"/>
          <w:rtl w:val="1"/>
        </w:rPr>
        <w:t xml:space="preserve"> بر همین اساس، شماری از نظریه‌پردازان استدلال کرده‌اند که حقوقِ برآمده از منطقِ بخشی و واکنشیِ سدهٔ بیستم، پاسخگوی بحران‌های به‌هم‌پیوستهٔ عصر انتروپوسن نیست و نیازمند بازطراحی در سطح اصول بنیادین است.</w:t>
      </w:r>
      <w:r>
        <w:rPr>
          <w:rStyle w:val="FootnoteReference"/>
          <w:rtl w:val="1"/>
        </w:rPr>
        <w:footnoteReference w:id="12"/>
      </w:r>
    </w:p>
    <w:p>
      <w:pPr>
        <w:bidi w:val="1"/>
        <w:spacing w:after="120" w:line="276" w:lineRule="auto"/>
        <w:ind w:firstLine="397"/>
        <w:jc w:val="both"/>
      </w:pPr>
      <w:r>
        <w:rPr>
          <w:rFonts w:ascii="Times New Roman" w:hAnsi="Times New Roman" w:cs="B Nazanin"/>
          <w:sz w:val="24"/>
          <w:szCs w:val="28"/>
          <w:rtl w:val="1"/>
        </w:rPr>
        <w:t>این بازاندیشیِ نظری، دو گرایش عمده پدید آورد: گرایش نخست، «قانون‌اساسی‌گراییِ محیط‌زیستیِ جهانی» را پی می‌گیرد و امکانِ شکل‌گیریِ یک «قانون اساسیِ محیط‌زیستی» را در سطح جهانی بررسی می‌کند که اصول بنیادین را در جایگاهی برتر نسبت به سایر قواعد بنشاند.</w:t>
      </w:r>
      <w:r>
        <w:rPr>
          <w:rStyle w:val="FootnoteReference"/>
          <w:rtl w:val="1"/>
        </w:rPr>
        <w:footnoteReference w:id="13"/>
      </w:r>
      <w:r>
        <w:rPr>
          <w:rFonts w:ascii="Times New Roman" w:hAnsi="Times New Roman" w:cs="B Nazanin"/>
          <w:sz w:val="24"/>
          <w:szCs w:val="28"/>
          <w:rtl w:val="1"/>
        </w:rPr>
        <w:t xml:space="preserve"> گرایش دوم، بر ایدهٔ «سامانهٔ هدف‌مند» تأکید می‌ورزد؛ یعنی سازمان‌دهیِ موافقت‌نامه‌های پراکنده حول یک هدف یا هنجار برترِ مشترک (صیانت از یکپارچگیِ سامانهٔ زمین) که بتواند انسجام تفسیری و کارکردی ایجاد کند. هر دو گرایش، به‌رغم تفاوت، بر یک نکتهٔ کانونی هم‌داستان‌اند: نظام کنونی فاقد یک لایهٔ هنجاریِ برترِ مشترک است و همین خلأ، ریشهٔ اصلیِ پراکندگی به شمار می‌رود.</w:t>
      </w:r>
    </w:p>
    <w:p>
      <w:pPr>
        <w:pStyle w:val="Heading3"/>
        <w:bidi w:val="1"/>
        <w:spacing w:before="200" w:after="120"/>
        <w:jc w:val="right"/>
      </w:pPr>
      <w:r>
        <w:rPr>
          <w:rFonts w:ascii="Times New Roman" w:hAnsi="Times New Roman" w:cs="B Nazanin"/>
          <w:sz w:val="24"/>
          <w:szCs w:val="26"/>
          <w:rtl w:val="1"/>
          <w:b/>
          <w:bCs/>
          <w:color w:val="000000"/>
        </w:rPr>
        <w:t>۲-۲-۲  رویکرد واکنشی، بخشی و پراکندگیِ حقوق بین‌الملل محیط زیست</w:t>
      </w:r>
    </w:p>
    <w:p>
      <w:pPr>
        <w:bidi w:val="1"/>
        <w:spacing w:after="120" w:line="276" w:lineRule="auto"/>
        <w:ind w:firstLine="397"/>
        <w:jc w:val="both"/>
      </w:pPr>
      <w:r>
        <w:rPr>
          <w:rFonts w:ascii="Times New Roman" w:hAnsi="Times New Roman" w:cs="B Nazanin"/>
          <w:sz w:val="24"/>
          <w:szCs w:val="28"/>
          <w:rtl w:val="1"/>
        </w:rPr>
        <w:t>پراکندگیِ حقوق بین‌الملل محیط زیست را باید در پیوند با ویژگیِ عامِ حقوق بین‌الملل — یعنی نبودِ قانون‌گذارِ متمرکز — فهمید. کمیسیون حقوق بین‌الملل در گزارش ۲۰۰۶ خود، پراکندگی را پیامدِ گسترش و تنوع‌یابیِ حقوق بین‌الملل دانست و نشان داد که رژیم‌های تخصصیِ خودبنیاد (self-contained regimes) چگونه می‌توانند به تعارض و ناهماهنگی بینجامند.</w:t>
      </w:r>
      <w:r>
        <w:rPr>
          <w:rStyle w:val="FootnoteReference"/>
          <w:rtl w:val="1"/>
        </w:rPr>
        <w:footnoteReference w:id="14"/>
      </w:r>
      <w:r>
        <w:rPr>
          <w:rFonts w:ascii="Times New Roman" w:hAnsi="Times New Roman" w:cs="B Nazanin"/>
          <w:sz w:val="24"/>
          <w:szCs w:val="28"/>
          <w:rtl w:val="1"/>
        </w:rPr>
        <w:t xml:space="preserve"> در قلمروِ محیط زیست، این پراکندگی حادتر است، زیرا هر موافقت‌نامه نهادها، دبیرخانه‌ها، سازوکارهای پایبندی و رویه‌های تفسیریِ مستقلِ خود را دارد و همین، هم‌پوشانی، تعارض و کاهش کارآمدی را دامن می‌زند.</w:t>
      </w:r>
    </w:p>
    <w:p>
      <w:pPr>
        <w:pStyle w:val="Heading3"/>
        <w:bidi w:val="1"/>
        <w:spacing w:before="200" w:after="120"/>
        <w:jc w:val="right"/>
      </w:pPr>
      <w:r>
        <w:rPr>
          <w:rFonts w:ascii="Times New Roman" w:hAnsi="Times New Roman" w:cs="B Nazanin"/>
          <w:sz w:val="24"/>
          <w:szCs w:val="26"/>
          <w:rtl w:val="1"/>
          <w:b/>
          <w:bCs/>
          <w:color w:val="000000"/>
        </w:rPr>
        <w:t>۲-۲-۳  تاریخچه و روند شکل‌گیری ابتکار پیمان و پیگیری مذاکرات در سازمان ملل</w:t>
      </w:r>
    </w:p>
    <w:p>
      <w:pPr>
        <w:bidi w:val="1"/>
        <w:spacing w:after="120" w:line="276" w:lineRule="auto"/>
        <w:ind w:firstLine="397"/>
        <w:jc w:val="both"/>
      </w:pPr>
      <w:r>
        <w:rPr>
          <w:rFonts w:ascii="Times New Roman" w:hAnsi="Times New Roman" w:cs="B Nazanin"/>
          <w:sz w:val="24"/>
          <w:szCs w:val="28"/>
          <w:rtl w:val="1"/>
        </w:rPr>
        <w:t>ابتکار پیمان جهانی محیط زیست در ژوئن ۲۰۱۷ با رونماییِ پیش‌نویسی مشتمل بر بیست‌وشش ماده در دانشگاه سوربن آغاز شد؛ پیش‌نویسی که می‌کوشید اصول شناخته‌شدهٔ حقوق بین‌الملل محیط زیست (پیشگیری، احتیاط، آلوده‌ساز-پرداخت، عدم‌پس‌رفت و جز آن) را در یک سند واحدِ الزام‌آور گرد آورد.</w:t>
      </w:r>
      <w:r>
        <w:rPr>
          <w:rStyle w:val="FootnoteReference"/>
          <w:rtl w:val="1"/>
        </w:rPr>
        <w:footnoteReference w:id="15"/>
      </w:r>
      <w:r>
        <w:rPr>
          <w:rFonts w:ascii="Times New Roman" w:hAnsi="Times New Roman" w:cs="B Nazanin"/>
          <w:sz w:val="24"/>
          <w:szCs w:val="28"/>
          <w:rtl w:val="1"/>
        </w:rPr>
        <w:t xml:space="preserve"> مجمع عمومی سازمان ملل در مه ۲۰۱۸ با تصویب قطعنامهٔ ۷۲/۲۷۷ با عنوان «به‌سوی یک پیمان جهانی برای محیط زیست»، یک گروه کاریِ با ترکیب نامحدود تشکیل داد و از دبیرکل خواست گزارشی دربارهٔ خلأها و کاستی‌های احتمالیِ حقوق بین‌الملل محیط زیست و اسناد مرتبط تهیه کند. حاصل این درخواست، گزارش A/73/419 در نوامبر ۲۰۱۸ بود که به سند مرجعِ بحث بدل شد و در فصل سوم این رساله به‌تفصیل واکاوی خواهد شد.</w:t>
      </w:r>
    </w:p>
    <w:p>
      <w:pPr>
        <w:bidi w:val="1"/>
        <w:spacing w:after="120" w:line="276" w:lineRule="auto"/>
        <w:ind w:firstLine="397"/>
        <w:jc w:val="both"/>
      </w:pPr>
      <w:r>
        <w:rPr>
          <w:rFonts w:ascii="Times New Roman" w:hAnsi="Times New Roman" w:cs="B Nazanin"/>
          <w:sz w:val="24"/>
          <w:szCs w:val="28"/>
          <w:rtl w:val="1"/>
        </w:rPr>
        <w:t>روند مذاکرات در نایروبی طی سال‌های ۲۰۱۹ و پس از آن، به‌تدریج از هدفِ نخستین — یعنی معاهده‌ای الزام‌آور — فاصله گرفت. مقاومت شماری از دولت‌های تأثیرگذار و ملاحظات کشورهای در حال توسعه سبب شد که خروجیِ فرایند به «اعلامیهٔ سیاسی» فرو کاسته شود؛ فرجامی که در اجلاس استکهلم+۵۰ در سال ۲۰۲۲ تثبیت شد. تحلیل چراییِ این استحاله و پیامدهای حقوقیِ آن، موضوع گفتار دومِ فصل چهارم خواهد بود؛ اما همین‌جا باید تأکید کرد که تنزلِ شکلِ سند، لزوماً به‌معنای انتفای نیاز به کارکردِ آن — یعنی انسجام‌بخشیِ هنجاری — نیست.</w:t>
      </w:r>
      <w:r>
        <w:rPr>
          <w:rStyle w:val="FootnoteReference"/>
          <w:rtl w:val="1"/>
        </w:rPr>
        <w:footnoteReference w:id="16"/>
      </w:r>
      <w:r>
        <w:rPr>
          <w:rFonts w:ascii="Times New Roman" w:hAnsi="Times New Roman" w:cs="B Nazanin"/>
          <w:sz w:val="24"/>
          <w:szCs w:val="28"/>
          <w:rtl w:val="1"/>
        </w:rPr>
        <w:t xml:space="preserve"> این تمایزِ کانونی میان «شکل» و «کارکرد»، ستون فقراتِ استدلالیِ فصول بعدیِ رساله را تشکیل می‌دهد.</w:t>
      </w:r>
    </w:p>
    <w:p>
      <w:pPr>
        <w:bidi w:val="1"/>
        <w:spacing w:after="120" w:line="276" w:lineRule="auto"/>
        <w:ind w:firstLine="397"/>
        <w:jc w:val="both"/>
      </w:pPr>
      <w:r>
        <w:rPr>
          <w:rFonts w:ascii="Times New Roman" w:hAnsi="Times New Roman" w:cs="B Nazanin"/>
          <w:sz w:val="24"/>
          <w:szCs w:val="28"/>
          <w:rtl w:val="1"/>
        </w:rPr>
        <w:t>[این فصل در نسخهٔ نهایی تا سقف ۷۰ صفحه بسط خواهد یافت؛ بخش‌های بعدی به تفصیلِ اعلامیهٔ ریو، پروتکل‌های خوشهٔ مواد شیمیایی و پسماند به‌مثابه نمونهٔ هم‌افزاییِ نهادیِ تدریجی، و تحلیل مادهٔ‌به‌مادهٔ پیش‌نویس پیمان اختصاص خواهد یافت.]</w:t>
      </w:r>
    </w:p>
    <w:p>
      <w:r>
        <w:br w:type="page"/>
      </w:r>
    </w:p>
    <w:p>
      <w:pPr>
        <w:pStyle w:val="Heading1"/>
        <w:bidi w:val="1"/>
        <w:spacing w:after="240"/>
        <w:jc w:val="center"/>
      </w:pPr>
      <w:r>
        <w:rPr>
          <w:rFonts w:ascii="Times New Roman" w:hAnsi="Times New Roman" w:cs="B Nazanin"/>
          <w:sz w:val="26"/>
          <w:szCs w:val="30"/>
          <w:rtl w:val="1"/>
          <w:b/>
          <w:bCs/>
          <w:color w:val="000000"/>
        </w:rPr>
        <w:t>فهرست منابع</w:t>
      </w:r>
    </w:p>
    <w:p>
      <w:pPr>
        <w:bidi w:val="1"/>
        <w:jc w:val="right"/>
      </w:pPr>
      <w:r>
        <w:rPr>
          <w:rFonts w:ascii="Times New Roman" w:hAnsi="Times New Roman" w:cs="B Nazanin"/>
          <w:sz w:val="24"/>
          <w:szCs w:val="28"/>
          <w:rtl w:val="1"/>
          <w:b/>
          <w:bCs/>
        </w:rPr>
        <w:t>الف) منابع فارسی</w:t>
      </w:r>
    </w:p>
    <w:p>
      <w:pPr>
        <w:bidi w:val="1"/>
        <w:spacing w:after="80" w:line="276" w:lineRule="auto"/>
        <w:jc w:val="both"/>
      </w:pPr>
      <w:r>
        <w:rPr>
          <w:rFonts w:ascii="Times New Roman" w:hAnsi="Times New Roman" w:cs="B Nazanin"/>
          <w:sz w:val="22"/>
          <w:szCs w:val="22"/>
          <w:rtl w:val="1"/>
        </w:rPr>
        <w:t>احسان‌نژاد، مسعود و دیگران، منابع فارسیِ مرتبط با حقوق بین‌الملل محیط زیست (این بخش در نسخهٔ نهایی بر اساس منابع فارسیِ گردآوری‌شده تکمیل می‌شود).</w:t>
      </w:r>
    </w:p>
    <w:p>
      <w:pPr>
        <w:bidi w:val="1"/>
        <w:spacing w:before="160"/>
        <w:jc w:val="right"/>
      </w:pPr>
      <w:r>
        <w:rPr>
          <w:rFonts w:ascii="Times New Roman" w:hAnsi="Times New Roman" w:cs="B Nazanin"/>
          <w:sz w:val="24"/>
          <w:szCs w:val="28"/>
          <w:rtl w:val="1"/>
          <w:b/>
          <w:bCs/>
        </w:rPr>
        <w:t>ب) منابع انگلیسی</w:t>
      </w:r>
    </w:p>
    <w:p>
      <w:pPr>
        <w:bidi w:val="1"/>
        <w:spacing w:after="80" w:line="276" w:lineRule="auto"/>
        <w:jc w:val="left"/>
      </w:pPr>
      <w:r>
        <w:rPr>
          <w:rFonts w:ascii="Times New Roman" w:hAnsi="Times New Roman" w:cs="B Nazanin"/>
          <w:sz w:val="22"/>
          <w:szCs w:val="22"/>
          <w:rtl w:val="1"/>
        </w:rPr>
        <w:t>Aguila, Y. &amp; Viñuales, J.E. (eds.), A Global Pact for the Environment: Legal Foundations, C-EENRG/Cambridge, 2019 (SSRN 3285340).</w:t>
      </w:r>
    </w:p>
    <w:p>
      <w:pPr>
        <w:bidi w:val="1"/>
        <w:spacing w:after="80" w:line="276" w:lineRule="auto"/>
        <w:jc w:val="left"/>
      </w:pPr>
      <w:r>
        <w:rPr>
          <w:rFonts w:ascii="Times New Roman" w:hAnsi="Times New Roman" w:cs="B Nazanin"/>
          <w:sz w:val="22"/>
          <w:szCs w:val="22"/>
          <w:rtl w:val="1"/>
        </w:rPr>
        <w:t>Aguila, Y. &amp; Viñuales, J.E., ‘A Global Pact for the Environment: Conceptual foundations’, RECIEL, 28(1), 2019, pp. 3–12.</w:t>
      </w:r>
    </w:p>
    <w:p>
      <w:pPr>
        <w:bidi w:val="1"/>
        <w:spacing w:after="80" w:line="276" w:lineRule="auto"/>
        <w:jc w:val="left"/>
      </w:pPr>
      <w:r>
        <w:rPr>
          <w:rFonts w:ascii="Times New Roman" w:hAnsi="Times New Roman" w:cs="B Nazanin"/>
          <w:sz w:val="22"/>
          <w:szCs w:val="22"/>
          <w:rtl w:val="1"/>
        </w:rPr>
        <w:t>Biermann, F. &amp; Kim, R.E., ‘The Boundaries of the Planetary Boundary Framework’, Annual Review of Environment and Resources, 45, 2020, pp. 497–521.</w:t>
      </w:r>
    </w:p>
    <w:p>
      <w:pPr>
        <w:bidi w:val="1"/>
        <w:spacing w:after="80" w:line="276" w:lineRule="auto"/>
        <w:jc w:val="left"/>
      </w:pPr>
      <w:r>
        <w:rPr>
          <w:rFonts w:ascii="Times New Roman" w:hAnsi="Times New Roman" w:cs="B Nazanin"/>
          <w:sz w:val="22"/>
          <w:szCs w:val="22"/>
          <w:rtl w:val="1"/>
        </w:rPr>
        <w:t>Bodansky, D., The Art and Craft of International Environmental Law, Harvard University Press, 2010.</w:t>
      </w:r>
    </w:p>
    <w:p>
      <w:pPr>
        <w:bidi w:val="1"/>
        <w:spacing w:after="80" w:line="276" w:lineRule="auto"/>
        <w:jc w:val="left"/>
      </w:pPr>
      <w:r>
        <w:rPr>
          <w:rFonts w:ascii="Times New Roman" w:hAnsi="Times New Roman" w:cs="B Nazanin"/>
          <w:sz w:val="22"/>
          <w:szCs w:val="22"/>
          <w:rtl w:val="1"/>
        </w:rPr>
        <w:t>Bosselmann, K., The Principle of Sustainability: Transforming Law and Governance, 2nd ed., Routledge, 2017.</w:t>
      </w:r>
    </w:p>
    <w:p>
      <w:pPr>
        <w:bidi w:val="1"/>
        <w:spacing w:after="80" w:line="276" w:lineRule="auto"/>
        <w:jc w:val="left"/>
      </w:pPr>
      <w:r>
        <w:rPr>
          <w:rFonts w:ascii="Times New Roman" w:hAnsi="Times New Roman" w:cs="B Nazanin"/>
          <w:sz w:val="22"/>
          <w:szCs w:val="22"/>
          <w:rtl w:val="1"/>
        </w:rPr>
        <w:t>Boyle, A. &amp; Redgwell, C., Birnie, Boyle &amp; Redgwell’s International Law and the Environment, 4th ed., Oxford University Press, 2021.</w:t>
      </w:r>
    </w:p>
    <w:p>
      <w:pPr>
        <w:bidi w:val="1"/>
        <w:spacing w:after="80" w:line="276" w:lineRule="auto"/>
        <w:jc w:val="left"/>
      </w:pPr>
      <w:r>
        <w:rPr>
          <w:rFonts w:ascii="Times New Roman" w:hAnsi="Times New Roman" w:cs="B Nazanin"/>
          <w:sz w:val="22"/>
          <w:szCs w:val="22"/>
          <w:rtl w:val="1"/>
        </w:rPr>
        <w:t>Chan, N., ‘Beyond delegation size: Developing country negotiating capacity…’, International Environmental Agreements, 21, 2021, pp. 201–217.</w:t>
      </w:r>
    </w:p>
    <w:p>
      <w:pPr>
        <w:bidi w:val="1"/>
        <w:spacing w:after="80" w:line="276" w:lineRule="auto"/>
        <w:jc w:val="left"/>
      </w:pPr>
      <w:r>
        <w:rPr>
          <w:rFonts w:ascii="Times New Roman" w:hAnsi="Times New Roman" w:cs="B Nazanin"/>
          <w:sz w:val="22"/>
          <w:szCs w:val="22"/>
          <w:rtl w:val="1"/>
        </w:rPr>
        <w:t>Doelle, M. &amp; Seck, S., ‘Loss and Damage from Climate Change: From Concept to Remedy?’, Climate Policy, 2020.</w:t>
      </w:r>
    </w:p>
    <w:p>
      <w:pPr>
        <w:bidi w:val="1"/>
        <w:spacing w:after="80" w:line="276" w:lineRule="auto"/>
        <w:jc w:val="left"/>
      </w:pPr>
      <w:r>
        <w:rPr>
          <w:rFonts w:ascii="Times New Roman" w:hAnsi="Times New Roman" w:cs="B Nazanin"/>
          <w:sz w:val="22"/>
          <w:szCs w:val="22"/>
          <w:rtl w:val="1"/>
        </w:rPr>
        <w:t>Dupuy, P.-M. &amp; Viñuales, J.E., International Environmental Law, 2nd ed., Cambridge University Press, 2018.</w:t>
      </w:r>
    </w:p>
    <w:p>
      <w:pPr>
        <w:bidi w:val="1"/>
        <w:spacing w:after="80" w:line="276" w:lineRule="auto"/>
        <w:jc w:val="left"/>
      </w:pPr>
      <w:r>
        <w:rPr>
          <w:rFonts w:ascii="Times New Roman" w:hAnsi="Times New Roman" w:cs="B Nazanin"/>
          <w:sz w:val="22"/>
          <w:szCs w:val="22"/>
          <w:rtl w:val="1"/>
        </w:rPr>
        <w:t>Duvic-Paoli, L.-A., The Prevention Principle in International Environmental Law, Cambridge University Press, 2018.</w:t>
      </w:r>
    </w:p>
    <w:p>
      <w:pPr>
        <w:bidi w:val="1"/>
        <w:spacing w:after="80" w:line="276" w:lineRule="auto"/>
        <w:jc w:val="left"/>
      </w:pPr>
      <w:r>
        <w:rPr>
          <w:rFonts w:ascii="Times New Roman" w:hAnsi="Times New Roman" w:cs="B Nazanin"/>
          <w:sz w:val="22"/>
          <w:szCs w:val="22"/>
          <w:rtl w:val="1"/>
        </w:rPr>
        <w:t>French, D. &amp; Kotzé, L.J., ‘“Towards a Global Pact for the Environment”: …normative gaps’, RECIEL, 28(1), 2019, pp. 25–32.</w:t>
      </w:r>
    </w:p>
    <w:p>
      <w:pPr>
        <w:bidi w:val="1"/>
        <w:spacing w:after="80" w:line="276" w:lineRule="auto"/>
        <w:jc w:val="left"/>
      </w:pPr>
      <w:r>
        <w:rPr>
          <w:rFonts w:ascii="Times New Roman" w:hAnsi="Times New Roman" w:cs="B Nazanin"/>
          <w:sz w:val="22"/>
          <w:szCs w:val="22"/>
          <w:rtl w:val="1"/>
        </w:rPr>
        <w:t>International Law Commission (Koskenniemi, M.), Fragmentation of International Law, A/CN.4/L.682, 2006.</w:t>
      </w:r>
    </w:p>
    <w:p>
      <w:pPr>
        <w:bidi w:val="1"/>
        <w:spacing w:after="80" w:line="276" w:lineRule="auto"/>
        <w:jc w:val="left"/>
      </w:pPr>
      <w:r>
        <w:rPr>
          <w:rFonts w:ascii="Times New Roman" w:hAnsi="Times New Roman" w:cs="B Nazanin"/>
          <w:sz w:val="22"/>
          <w:szCs w:val="22"/>
          <w:rtl w:val="1"/>
        </w:rPr>
        <w:t>Ivanova, M., The Untold Story of the World’s Leading Environmental Institution: UNEP at Fifty, MIT Press, 2021.</w:t>
      </w:r>
    </w:p>
    <w:p>
      <w:pPr>
        <w:bidi w:val="1"/>
        <w:spacing w:after="80" w:line="276" w:lineRule="auto"/>
        <w:jc w:val="left"/>
      </w:pPr>
      <w:r>
        <w:rPr>
          <w:rFonts w:ascii="Times New Roman" w:hAnsi="Times New Roman" w:cs="B Nazanin"/>
          <w:sz w:val="22"/>
          <w:szCs w:val="22"/>
          <w:rtl w:val="1"/>
        </w:rPr>
        <w:t>Kim, R.E. &amp; Bosselmann, K., ‘International Environmental Law in the Anthropocene: Towards a Purposive System of MEAs’, TEL, 2(2), 2013, pp. 285–309.</w:t>
      </w:r>
    </w:p>
    <w:p>
      <w:pPr>
        <w:bidi w:val="1"/>
        <w:spacing w:after="80" w:line="276" w:lineRule="auto"/>
        <w:jc w:val="left"/>
      </w:pPr>
      <w:r>
        <w:rPr>
          <w:rFonts w:ascii="Times New Roman" w:hAnsi="Times New Roman" w:cs="B Nazanin"/>
          <w:sz w:val="22"/>
          <w:szCs w:val="22"/>
          <w:rtl w:val="1"/>
        </w:rPr>
        <w:t>Knox, J.H., ‘Constructing the Human Right to a Healthy Environment’, Annual Review of Law and Social Science, 16, 2020, pp. 79–95.</w:t>
      </w:r>
    </w:p>
    <w:p>
      <w:pPr>
        <w:bidi w:val="1"/>
        <w:spacing w:after="80" w:line="276" w:lineRule="auto"/>
        <w:jc w:val="left"/>
      </w:pPr>
      <w:r>
        <w:rPr>
          <w:rFonts w:ascii="Times New Roman" w:hAnsi="Times New Roman" w:cs="B Nazanin"/>
          <w:sz w:val="22"/>
          <w:szCs w:val="22"/>
          <w:rtl w:val="1"/>
        </w:rPr>
        <w:t>Kotzé, L.J. &amp; French, D., ‘A critique of the Global Pact for the Environment…’, International Environmental Agreements, 18(6), 2018, pp. 811–838.</w:t>
      </w:r>
    </w:p>
    <w:p>
      <w:pPr>
        <w:bidi w:val="1"/>
        <w:spacing w:after="80" w:line="276" w:lineRule="auto"/>
        <w:jc w:val="left"/>
      </w:pPr>
      <w:r>
        <w:rPr>
          <w:rFonts w:ascii="Times New Roman" w:hAnsi="Times New Roman" w:cs="B Nazanin"/>
          <w:sz w:val="22"/>
          <w:szCs w:val="22"/>
          <w:rtl w:val="1"/>
        </w:rPr>
        <w:t>Kotzé, L.J., ‘A Global Environmental Constitution for the Anthropocene?’, TEL, 8(1), 2019, pp. 11–33.</w:t>
      </w:r>
    </w:p>
    <w:p>
      <w:pPr>
        <w:bidi w:val="1"/>
        <w:spacing w:after="80" w:line="276" w:lineRule="auto"/>
        <w:jc w:val="left"/>
      </w:pPr>
      <w:r>
        <w:rPr>
          <w:rFonts w:ascii="Times New Roman" w:hAnsi="Times New Roman" w:cs="B Nazanin"/>
          <w:sz w:val="22"/>
          <w:szCs w:val="22"/>
          <w:rtl w:val="1"/>
        </w:rPr>
        <w:t>Kotzé, L.J., ‘Arguing Global Environmental Constitutionalism’, TEL, 2020.</w:t>
      </w:r>
    </w:p>
    <w:p>
      <w:pPr>
        <w:bidi w:val="1"/>
        <w:spacing w:after="80" w:line="276" w:lineRule="auto"/>
        <w:jc w:val="left"/>
      </w:pPr>
      <w:r>
        <w:rPr>
          <w:rFonts w:ascii="Times New Roman" w:hAnsi="Times New Roman" w:cs="B Nazanin"/>
          <w:sz w:val="22"/>
          <w:szCs w:val="22"/>
          <w:rtl w:val="1"/>
        </w:rPr>
        <w:t>Pedersen, O.W., ‘The Global Pact for the Environment: An Assessment’, Journal of Environmental Law, 2019.</w:t>
      </w:r>
    </w:p>
    <w:p>
      <w:pPr>
        <w:bidi w:val="1"/>
        <w:spacing w:after="80" w:line="276" w:lineRule="auto"/>
        <w:jc w:val="left"/>
      </w:pPr>
      <w:r>
        <w:rPr>
          <w:rFonts w:ascii="Times New Roman" w:hAnsi="Times New Roman" w:cs="B Nazanin"/>
          <w:sz w:val="22"/>
          <w:szCs w:val="22"/>
          <w:rtl w:val="1"/>
        </w:rPr>
        <w:t>Sands, P. &amp; Peel, J., Principles of International Environmental Law, 4th ed., Cambridge University Press, 2018.</w:t>
      </w:r>
    </w:p>
    <w:p>
      <w:pPr>
        <w:bidi w:val="1"/>
        <w:spacing w:after="80" w:line="276" w:lineRule="auto"/>
        <w:jc w:val="left"/>
      </w:pPr>
      <w:r>
        <w:rPr>
          <w:rFonts w:ascii="Times New Roman" w:hAnsi="Times New Roman" w:cs="B Nazanin"/>
          <w:sz w:val="22"/>
          <w:szCs w:val="22"/>
          <w:rtl w:val="1"/>
        </w:rPr>
        <w:t>Tigre, M.A., Gaps in International Environmental Law: Toward a Global Pact for the Environment, ELI Press, 2020.</w:t>
      </w:r>
    </w:p>
    <w:p>
      <w:pPr>
        <w:bidi w:val="1"/>
        <w:spacing w:after="80" w:line="276" w:lineRule="auto"/>
        <w:jc w:val="left"/>
      </w:pPr>
      <w:r>
        <w:rPr>
          <w:rFonts w:ascii="Times New Roman" w:hAnsi="Times New Roman" w:cs="B Nazanin"/>
          <w:sz w:val="22"/>
          <w:szCs w:val="22"/>
          <w:rtl w:val="1"/>
        </w:rPr>
        <w:t>Vidal, O., ‘Rethinking the Global Pact for the Environment: Ambitions, Realities and Alternatives’, Sustainability, 12(3), 2020, 877.</w:t>
      </w:r>
    </w:p>
    <w:p>
      <w:pPr>
        <w:bidi w:val="1"/>
        <w:spacing w:after="80" w:line="276" w:lineRule="auto"/>
        <w:jc w:val="left"/>
      </w:pPr>
      <w:r>
        <w:rPr>
          <w:rFonts w:ascii="Times New Roman" w:hAnsi="Times New Roman" w:cs="B Nazanin"/>
          <w:sz w:val="22"/>
          <w:szCs w:val="22"/>
          <w:rtl w:val="1"/>
        </w:rPr>
        <w:t>Vidal, O., ‘The Global Pact for the Environment: A New Instrument to Protect the Planet?’, Sustainability, 12(14), 2020, 5636.</w:t>
      </w:r>
    </w:p>
    <w:p>
      <w:pPr>
        <w:bidi w:val="1"/>
        <w:spacing w:after="80" w:line="276" w:lineRule="auto"/>
        <w:jc w:val="left"/>
      </w:pPr>
      <w:r>
        <w:rPr>
          <w:rFonts w:ascii="Times New Roman" w:hAnsi="Times New Roman" w:cs="B Nazanin"/>
          <w:sz w:val="22"/>
          <w:szCs w:val="22"/>
          <w:rtl w:val="1"/>
        </w:rPr>
        <w:t>Viñuales, J.E., The Organisation of the Anthropocene: In Our Hands?, Brill, 2018.</w:t>
      </w:r>
    </w:p>
    <w:p>
      <w:pPr>
        <w:bidi w:val="1"/>
        <w:spacing w:after="80" w:line="276" w:lineRule="auto"/>
        <w:jc w:val="left"/>
      </w:pPr>
      <w:r>
        <w:rPr>
          <w:rFonts w:ascii="Times New Roman" w:hAnsi="Times New Roman" w:cs="B Nazanin"/>
          <w:sz w:val="22"/>
          <w:szCs w:val="22"/>
          <w:rtl w:val="1"/>
        </w:rPr>
        <w:t>Yang, T. &amp; Percival, R.V., ‘The Emergence of Global Environmental Law’, Ecology Law Quarterly, 36(3), 2009, pp. 615–664.</w:t>
      </w:r>
    </w:p>
    <w:sectPr w:rsidR="00FC693F" w:rsidRPr="0006063C" w:rsidSect="00034616">
      <w:pgSz w:w="11906" w:h="16838"/>
      <w:pgMar w:top="1984" w:right="1701" w:bottom="1701" w:left="1701"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bidi w:val="1"/>
        <w:jc w:val="both"/>
      </w:pPr>
      <w:r>
        <w:rPr>
          <w:rStyle w:val="FootnoteReference"/>
          <w:rtl w:val="1"/>
        </w:rPr>
        <w:footnoteRef/>
      </w:r>
      <w:r>
        <w:rPr>
          <w:rFonts w:ascii="Times New Roman" w:hAnsi="Times New Roman" w:cs="B Nazanin"/>
          <w:sz w:val="18"/>
          <w:szCs w:val="22"/>
          <w:rtl w:val="1"/>
        </w:rPr>
        <w:t xml:space="preserve"> برای تحلیل نظام‌مند سیر تحول و منابع این رشته بنگرید به: Dupuy, P.-M. &amp; Viñuales, J.E., International Environmental Law, 2nd ed., Cambridge University Press, 2018, DOI: 10.1017/9781108399821.</w:t>
      </w:r>
    </w:p>
  </w:footnote>
  <w:footnote w:id="2">
    <w:p>
      <w:pPr>
        <w:pStyle w:val="FootnoteText"/>
        <w:bidi w:val="1"/>
        <w:jc w:val="both"/>
      </w:pPr>
      <w:r>
        <w:rPr>
          <w:rStyle w:val="FootnoteReference"/>
          <w:rtl w:val="1"/>
        </w:rPr>
        <w:footnoteRef/>
      </w:r>
      <w:r>
        <w:rPr>
          <w:rFonts w:ascii="Times New Roman" w:hAnsi="Times New Roman" w:cs="B Nazanin"/>
          <w:sz w:val="18"/>
          <w:szCs w:val="22"/>
          <w:rtl w:val="1"/>
        </w:rPr>
        <w:t xml:space="preserve"> چارچوب مرجع دربارهٔ پراکندگی و ابزارهای مدیریت تداخل هنجاری: International Law Commission (Koskenniemi, M.), Fragmentation of International Law, A/CN.4/L.682, 2006, at https://legal.un.org/ilc/documentation/english/a_cn4_l682.pdf.</w:t>
      </w:r>
    </w:p>
  </w:footnote>
  <w:footnote w:id="3">
    <w:p>
      <w:pPr>
        <w:pStyle w:val="FootnoteText"/>
        <w:bidi w:val="1"/>
        <w:jc w:val="both"/>
      </w:pPr>
      <w:r>
        <w:rPr>
          <w:rStyle w:val="FootnoteReference"/>
          <w:rtl w:val="1"/>
        </w:rPr>
        <w:footnoteRef/>
      </w:r>
      <w:r>
        <w:rPr>
          <w:rFonts w:ascii="Times New Roman" w:hAnsi="Times New Roman" w:cs="B Nazanin"/>
          <w:sz w:val="18"/>
          <w:szCs w:val="22"/>
          <w:rtl w:val="1"/>
        </w:rPr>
        <w:t xml:space="preserve"> روایت معماران پیمان از مبانی حقوقی آن: Aguila, Y. &amp; Viñuales, J.E. (eds.), A Global Pact for the Environment: Legal Foundations, C-EENRG/Cambridge, 2019, SSRN 3285340.</w:t>
      </w:r>
    </w:p>
  </w:footnote>
  <w:footnote w:id="4">
    <w:p>
      <w:pPr>
        <w:pStyle w:val="FootnoteText"/>
        <w:bidi w:val="1"/>
        <w:jc w:val="both"/>
      </w:pPr>
      <w:r>
        <w:rPr>
          <w:rStyle w:val="FootnoteReference"/>
          <w:rtl w:val="1"/>
        </w:rPr>
        <w:footnoteRef/>
      </w:r>
      <w:r>
        <w:rPr>
          <w:rFonts w:ascii="Times New Roman" w:hAnsi="Times New Roman" w:cs="B Nazanin"/>
          <w:sz w:val="18"/>
          <w:szCs w:val="22"/>
          <w:rtl w:val="1"/>
        </w:rPr>
        <w:t xml:space="preserve"> پروتکل کامل جست‌وجو، عبارت‌های بولی، فیلترها و بازهٔ زمانی هر پایگاه، و نیز منابع واردشده، به‌صورت شفاف در سامانهٔ «مغز پژوهش» این رساله مستند شده است.</w:t>
      </w:r>
    </w:p>
  </w:footnote>
  <w:footnote w:id="5">
    <w:p>
      <w:pPr>
        <w:pStyle w:val="FootnoteText"/>
        <w:bidi w:val="1"/>
        <w:jc w:val="both"/>
      </w:pPr>
      <w:r>
        <w:rPr>
          <w:rStyle w:val="FootnoteReference"/>
          <w:rtl w:val="1"/>
        </w:rPr>
        <w:footnoteRef/>
      </w:r>
      <w:r>
        <w:rPr>
          <w:rFonts w:ascii="Times New Roman" w:hAnsi="Times New Roman" w:cs="B Nazanin"/>
          <w:sz w:val="18"/>
          <w:szCs w:val="22"/>
          <w:rtl w:val="1"/>
        </w:rPr>
        <w:t xml:space="preserve"> Aguila, Y. &amp; Viñuales, J.E., ‘A Global Pact for the Environment: Conceptual foundations’, RECIEL, 28(1), 2019, pp. 3–12, DOI: 10.1111/reel.12285.</w:t>
      </w:r>
    </w:p>
  </w:footnote>
  <w:footnote w:id="6">
    <w:p>
      <w:pPr>
        <w:pStyle w:val="FootnoteText"/>
        <w:bidi w:val="1"/>
        <w:jc w:val="both"/>
      </w:pPr>
      <w:r>
        <w:rPr>
          <w:rStyle w:val="FootnoteReference"/>
          <w:rtl w:val="1"/>
        </w:rPr>
        <w:footnoteRef/>
      </w:r>
      <w:r>
        <w:rPr>
          <w:rFonts w:ascii="Times New Roman" w:hAnsi="Times New Roman" w:cs="B Nazanin"/>
          <w:sz w:val="18"/>
          <w:szCs w:val="22"/>
          <w:rtl w:val="1"/>
        </w:rPr>
        <w:t xml:space="preserve"> Kotzé, L.J. &amp; French, D., ‘A critique of the Global Pact for the Environment: a stillborn initiative or the foundation for Lex Anthropocenae?’, International Environmental Agreements, 18(6), 2018, pp. 811–838, DOI: 10.1007/s10784-018-9417-x.</w:t>
      </w:r>
    </w:p>
  </w:footnote>
  <w:footnote w:id="7">
    <w:p>
      <w:pPr>
        <w:pStyle w:val="FootnoteText"/>
        <w:bidi w:val="1"/>
        <w:jc w:val="both"/>
      </w:pPr>
      <w:r>
        <w:rPr>
          <w:rStyle w:val="FootnoteReference"/>
          <w:rtl w:val="1"/>
        </w:rPr>
        <w:footnoteRef/>
      </w:r>
      <w:r>
        <w:rPr>
          <w:rFonts w:ascii="Times New Roman" w:hAnsi="Times New Roman" w:cs="B Nazanin"/>
          <w:sz w:val="18"/>
          <w:szCs w:val="22"/>
          <w:rtl w:val="1"/>
        </w:rPr>
        <w:t xml:space="preserve"> French, D. &amp; Kotzé, L.J., ‘“Towards a Global Pact for the Environment”: International environmental law’s factual, technical and (unmentionable) normative gaps’, RECIEL, 28(1), 2019, pp. 25–32, DOI: 10.1111/reel.12277.</w:t>
      </w:r>
    </w:p>
  </w:footnote>
  <w:footnote w:id="8">
    <w:p>
      <w:pPr>
        <w:pStyle w:val="FootnoteText"/>
        <w:bidi w:val="1"/>
        <w:jc w:val="both"/>
      </w:pPr>
      <w:r>
        <w:rPr>
          <w:rStyle w:val="FootnoteReference"/>
          <w:rtl w:val="1"/>
        </w:rPr>
        <w:footnoteRef/>
      </w:r>
      <w:r>
        <w:rPr>
          <w:rFonts w:ascii="Times New Roman" w:hAnsi="Times New Roman" w:cs="B Nazanin"/>
          <w:sz w:val="18"/>
          <w:szCs w:val="22"/>
          <w:rtl w:val="1"/>
        </w:rPr>
        <w:t xml:space="preserve"> Kim, R.E. &amp; Bosselmann, K., ‘International Environmental Law in the Anthropocene: Towards a Purposive System of Multilateral Environmental Agreements’, Transnational Environmental Law, 2(2), 2013, pp. 285–309, DOI: 10.1017/S2047102513000149.</w:t>
      </w:r>
    </w:p>
  </w:footnote>
  <w:footnote w:id="9">
    <w:p>
      <w:pPr>
        <w:pStyle w:val="FootnoteText"/>
        <w:bidi w:val="1"/>
        <w:jc w:val="both"/>
      </w:pPr>
      <w:r>
        <w:rPr>
          <w:rStyle w:val="FootnoteReference"/>
          <w:rtl w:val="1"/>
        </w:rPr>
        <w:footnoteRef/>
      </w:r>
      <w:r>
        <w:rPr>
          <w:rFonts w:ascii="Times New Roman" w:hAnsi="Times New Roman" w:cs="B Nazanin"/>
          <w:sz w:val="18"/>
          <w:szCs w:val="22"/>
          <w:rtl w:val="1"/>
        </w:rPr>
        <w:t xml:space="preserve"> برای روایت نهادی از UNEP و اصلاحات حکمرانی محیط‌زیستی جهانی بنگرید به: Ivanova, M., The Untold Story of the World’s Leading Environmental Institution: UNEP at Fifty, MIT Press, 2021, DOI: 10.7551/mitpress/12678.001.0001.</w:t>
      </w:r>
    </w:p>
  </w:footnote>
  <w:footnote w:id="10">
    <w:p>
      <w:pPr>
        <w:pStyle w:val="FootnoteText"/>
        <w:bidi w:val="1"/>
        <w:jc w:val="both"/>
      </w:pPr>
      <w:r>
        <w:rPr>
          <w:rStyle w:val="FootnoteReference"/>
          <w:rtl w:val="1"/>
        </w:rPr>
        <w:footnoteRef/>
      </w:r>
      <w:r>
        <w:rPr>
          <w:rFonts w:ascii="Times New Roman" w:hAnsi="Times New Roman" w:cs="B Nazanin"/>
          <w:sz w:val="18"/>
          <w:szCs w:val="22"/>
          <w:rtl w:val="1"/>
        </w:rPr>
        <w:t xml:space="preserve"> Yang, T. &amp; Percival, R.V., ‘The Emergence of Global Environmental Law’, Ecology Law Quarterly, 36(3), 2009, pp. 615–664.</w:t>
      </w:r>
    </w:p>
  </w:footnote>
  <w:footnote w:id="11">
    <w:p>
      <w:pPr>
        <w:pStyle w:val="FootnoteText"/>
        <w:bidi w:val="1"/>
        <w:jc w:val="both"/>
      </w:pPr>
      <w:r>
        <w:rPr>
          <w:rStyle w:val="FootnoteReference"/>
          <w:rtl w:val="1"/>
        </w:rPr>
        <w:footnoteRef/>
      </w:r>
      <w:r>
        <w:rPr>
          <w:rFonts w:ascii="Times New Roman" w:hAnsi="Times New Roman" w:cs="B Nazanin"/>
          <w:sz w:val="18"/>
          <w:szCs w:val="22"/>
          <w:rtl w:val="1"/>
        </w:rPr>
        <w:t xml:space="preserve"> Biermann, F. &amp; Kim, R.E., ‘The Boundaries of the Planetary Boundary Framework’, Annual Review of Environment and Resources, 45, 2020, pp. 497–521, DOI: 10.1146/annurev-environ-012320-080337.</w:t>
      </w:r>
    </w:p>
  </w:footnote>
  <w:footnote w:id="12">
    <w:p>
      <w:pPr>
        <w:pStyle w:val="FootnoteText"/>
        <w:bidi w:val="1"/>
        <w:jc w:val="both"/>
      </w:pPr>
      <w:r>
        <w:rPr>
          <w:rStyle w:val="FootnoteReference"/>
          <w:rtl w:val="1"/>
        </w:rPr>
        <w:footnoteRef/>
      </w:r>
      <w:r>
        <w:rPr>
          <w:rFonts w:ascii="Times New Roman" w:hAnsi="Times New Roman" w:cs="B Nazanin"/>
          <w:sz w:val="18"/>
          <w:szCs w:val="22"/>
          <w:rtl w:val="1"/>
        </w:rPr>
        <w:t xml:space="preserve"> Viñuales, J.E., The Organisation of the Anthropocene: In Our Hands?, Brill Research Perspectives, 2018, DOI: 10.1163/24056901-12340003.</w:t>
      </w:r>
    </w:p>
  </w:footnote>
  <w:footnote w:id="13">
    <w:p>
      <w:pPr>
        <w:pStyle w:val="FootnoteText"/>
        <w:bidi w:val="1"/>
        <w:jc w:val="both"/>
      </w:pPr>
      <w:r>
        <w:rPr>
          <w:rStyle w:val="FootnoteReference"/>
          <w:rtl w:val="1"/>
        </w:rPr>
        <w:footnoteRef/>
      </w:r>
      <w:r>
        <w:rPr>
          <w:rFonts w:ascii="Times New Roman" w:hAnsi="Times New Roman" w:cs="B Nazanin"/>
          <w:sz w:val="18"/>
          <w:szCs w:val="22"/>
          <w:rtl w:val="1"/>
        </w:rPr>
        <w:t xml:space="preserve"> Kotzé, L.J., ‘A Global Environmental Constitution for the Anthropocene?’, Transnational Environmental Law, 8(1), 2019, pp. 11–33, DOI: 10.1017/S2047102518000216.</w:t>
      </w:r>
    </w:p>
  </w:footnote>
  <w:footnote w:id="14">
    <w:p>
      <w:pPr>
        <w:pStyle w:val="FootnoteText"/>
        <w:bidi w:val="1"/>
        <w:jc w:val="both"/>
      </w:pPr>
      <w:r>
        <w:rPr>
          <w:rStyle w:val="FootnoteReference"/>
          <w:rtl w:val="1"/>
        </w:rPr>
        <w:footnoteRef/>
      </w:r>
      <w:r>
        <w:rPr>
          <w:rFonts w:ascii="Times New Roman" w:hAnsi="Times New Roman" w:cs="B Nazanin"/>
          <w:sz w:val="18"/>
          <w:szCs w:val="22"/>
          <w:rtl w:val="1"/>
        </w:rPr>
        <w:t xml:space="preserve"> International Law Commission (Koskenniemi, M.), Fragmentation of International Law, A/CN.4/L.682, 2006.</w:t>
      </w:r>
    </w:p>
  </w:footnote>
  <w:footnote w:id="15">
    <w:p>
      <w:pPr>
        <w:pStyle w:val="FootnoteText"/>
        <w:bidi w:val="1"/>
        <w:jc w:val="both"/>
      </w:pPr>
      <w:r>
        <w:rPr>
          <w:rStyle w:val="FootnoteReference"/>
          <w:rtl w:val="1"/>
        </w:rPr>
        <w:footnoteRef/>
      </w:r>
      <w:r>
        <w:rPr>
          <w:rFonts w:ascii="Times New Roman" w:hAnsi="Times New Roman" w:cs="B Nazanin"/>
          <w:sz w:val="18"/>
          <w:szCs w:val="22"/>
          <w:rtl w:val="1"/>
        </w:rPr>
        <w:t xml:space="preserve"> Aguila, Y. &amp; Viñuales, J.E. (eds.), A Global Pact for the Environment: Legal Foundations, 2019, SSRN 3285340.</w:t>
      </w:r>
    </w:p>
  </w:footnote>
  <w:footnote w:id="16">
    <w:p>
      <w:pPr>
        <w:pStyle w:val="FootnoteText"/>
        <w:bidi w:val="1"/>
        <w:jc w:val="both"/>
      </w:pPr>
      <w:r>
        <w:rPr>
          <w:rStyle w:val="FootnoteReference"/>
          <w:rtl w:val="1"/>
        </w:rPr>
        <w:footnoteRef/>
      </w:r>
      <w:r>
        <w:rPr>
          <w:rFonts w:ascii="Times New Roman" w:hAnsi="Times New Roman" w:cs="B Nazanin"/>
          <w:sz w:val="18"/>
          <w:szCs w:val="22"/>
          <w:rtl w:val="1"/>
        </w:rPr>
        <w:t xml:space="preserve"> برای بازاندیشی در جاه‌طلبی‌های پیمان و گزینه‌های جایگزین بنگرید به: Vidal, O., ‘Rethinking the Global Pact for the Environment: Ambitions, Realities and Alternatives’, Sustainability, 12(3), 2020, 877, DOI: 10.3390/su12030877.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B Nazani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B Nazani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B Nazani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Text"/>
    <w:pPr>
      <w:spacing w:after="0"/>
    </w:pPr>
    <w:rPr>
      <w:rFonts w:ascii="Times New Roman" w:hAnsi="Times New Roman"/>
      <w:sz w:val="18"/>
    </w:rPr>
  </w:style>
  <w:style w:type="character" w:customStyle="1" w:styleId="FootnoteReference">
    <w:name w:val="FootnoteReference"/>
    <w:rPr>
      <w:sz w:val="18"/>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