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hd w:val="clear" w:color="auto" w:fill="123a52"/>
        <w:pBdr>
          <w:top w:val="single" w:sz="2" w:space="10" w:color="123a52"/>
          <w:bottom w:val="single" w:sz="2" w:space="10" w:color="123a52"/>
          <w:left w:val="single" w:sz="2" w:space="10" w:color="123a52"/>
          <w:right w:val="single" w:sz="2" w:space="10" w:color="123a52"/>
        </w:pBdr>
        <w:bidi w:val="1"/>
        <w:spacing w:line="312" w:lineRule="auto" w:before="0" w:after="0"/>
        <w:jc w:val="center"/>
      </w:pPr>
      <w:r>
        <w:rPr>
          <w:rFonts w:ascii="Times New Roman" w:hAnsi="Times New Roman" w:cs="B Nazanin"/>
          <w:sz w:val="26"/>
          <w:szCs w:val="44"/>
          <w:rtl w:val="1"/>
          <w:b/>
          <w:bCs/>
          <w:color w:val="ffffff"/>
        </w:rPr>
        <w:t>گزارشِ تفصیلیِ تحلیل و هضمِ منابعِ کلیدیِ پژوهش</w:t>
      </w:r>
    </w:p>
    <w:p>
      <w:pPr>
        <w:shd w:val="clear" w:color="auto" w:fill="1c4a63"/>
        <w:pBdr>
          <w:top w:val="single" w:sz="2" w:space="10" w:color="1c4a63"/>
          <w:bottom w:val="single" w:sz="2" w:space="10" w:color="1c4a63"/>
          <w:left w:val="single" w:sz="2" w:space="10" w:color="1c4a63"/>
          <w:right w:val="single" w:sz="2" w:space="10" w:color="1c4a63"/>
        </w:pBdr>
        <w:bidi w:val="1"/>
        <w:spacing w:line="312" w:lineRule="auto" w:before="0" w:after="0"/>
        <w:jc w:val="center"/>
      </w:pPr>
      <w:r>
        <w:rPr>
          <w:rFonts w:ascii="Times New Roman" w:hAnsi="Times New Roman" w:cs="B Nazanin"/>
          <w:sz w:val="26"/>
          <w:szCs w:val="28"/>
          <w:rtl w:val="1"/>
          <w:b/>
          <w:bCs/>
          <w:color w:val="ffffff"/>
        </w:rPr>
        <w:t>شکل‌گیریِ پیمانِ جهانیِ محیط زیست و تأثیرات آن بر موافقت‌نامه‌های چندجانبهٔ محیط‌زیستی</w:t>
      </w:r>
    </w:p>
    <w:p>
      <w:pPr>
        <w:shd w:val="clear" w:color="auto" w:fill="b08d3f"/>
        <w:pBdr>
          <w:top w:val="single" w:sz="2" w:space="10" w:color="b08d3f"/>
          <w:bottom w:val="single" w:sz="2" w:space="10" w:color="b08d3f"/>
          <w:left w:val="single" w:sz="2" w:space="10" w:color="b08d3f"/>
          <w:right w:val="single" w:sz="2" w:space="10" w:color="b08d3f"/>
        </w:pBdr>
        <w:bidi w:val="1"/>
        <w:spacing w:line="312" w:lineRule="auto" w:before="0" w:after="120"/>
        <w:jc w:val="center"/>
      </w:pPr>
      <w:r>
        <w:rPr>
          <w:rFonts w:ascii="Times New Roman" w:hAnsi="Times New Roman" w:cs="B Nazanin"/>
          <w:sz w:val="26"/>
          <w:szCs w:val="26"/>
          <w:rtl w:val="1"/>
          <w:b/>
          <w:bCs/>
          <w:color w:val="1a1205"/>
        </w:rPr>
        <w:t>سندِ شفافیتِ استناد: از منبع تا نتیجه‌گیری</w:t>
      </w:r>
    </w:p>
    <w:p/>
    <w:p/>
    <w:p/>
    <w:p/>
    <w:p/>
    <w:p/>
    <w:p>
      <w:pPr>
        <w:pBdr>
          <w:bottom w:val="single" w:sz="6" w:space="1" w:color="b08d3f"/>
        </w:pBdr>
        <w:bidi w:val="1"/>
        <w:spacing w:line="312" w:lineRule="auto" w:before="0" w:after="40"/>
        <w:jc w:val="right"/>
      </w:pPr>
    </w:p>
    <w:p>
      <w:pPr>
        <w:bidi w:val="1"/>
        <w:spacing w:line="312" w:lineRule="auto" w:before="0" w:after="80"/>
        <w:jc w:val="center"/>
      </w:pPr>
      <w:r>
        <w:rPr>
          <w:rFonts w:ascii="Times New Roman" w:hAnsi="Times New Roman" w:cs="B Nazanin"/>
          <w:sz w:val="24"/>
          <w:szCs w:val="24"/>
          <w:rtl w:val="1"/>
        </w:rPr>
        <w:t>تهیه‌شده توسطِ سامانهٔ هوشمندِ پژوهش (Project Brain)</w:t>
      </w:r>
    </w:p>
    <w:p>
      <w:pPr>
        <w:bidi w:val="1"/>
        <w:spacing w:line="312" w:lineRule="auto" w:before="0" w:after="80"/>
        <w:jc w:val="center"/>
      </w:pPr>
      <w:r>
        <w:rPr>
          <w:rFonts w:ascii="Times New Roman" w:hAnsi="Times New Roman" w:cs="B Nazanin"/>
          <w:sz w:val="24"/>
          <w:szCs w:val="22"/>
          <w:rtl w:val="1"/>
        </w:rPr>
        <w:t>HJR's Agentic Architecture @2026 — Dedicated for Dr. Masoud Ahsannejad</w:t>
      </w:r>
    </w:p>
    <w:p>
      <w:r>
        <w:br w:type="page"/>
      </w:r>
    </w:p>
    <w:p>
      <w:pPr>
        <w:shd w:val="clear" w:color="auto" w:fill="123a52"/>
        <w:pBdr>
          <w:top w:val="single" w:sz="2" w:space="6" w:color="123a52"/>
          <w:bottom w:val="single" w:sz="2" w:space="6" w:color="123a52"/>
          <w:left w:val="single" w:sz="2" w:space="6" w:color="123a52"/>
          <w:right w:val="single" w:sz="2" w:space="6" w:color="123a52"/>
        </w:pBdr>
        <w:bidi w:val="1"/>
        <w:spacing w:line="312" w:lineRule="auto" w:before="0" w:after="160"/>
        <w:ind w:right="57" w:left="57"/>
        <w:jc w:val="right"/>
      </w:pPr>
      <w:r>
        <w:rPr>
          <w:rFonts w:ascii="Times New Roman" w:hAnsi="Times New Roman" w:cs="B Nazanin"/>
          <w:sz w:val="24"/>
          <w:szCs w:val="32"/>
          <w:rtl w:val="1"/>
          <w:b/>
          <w:bCs/>
          <w:color w:val="ffffff"/>
        </w:rPr>
        <w:t>مقدمه: روشِ هضم و تحلیلِ منابع</w:t>
      </w:r>
    </w:p>
    <w:p>
      <w:pPr>
        <w:bidi w:val="1"/>
        <w:spacing w:line="312" w:lineRule="auto" w:before="0" w:after="120"/>
        <w:ind w:firstLine="340"/>
        <w:jc w:val="both"/>
      </w:pPr>
      <w:r>
        <w:rPr>
          <w:rFonts w:ascii="Times New Roman" w:hAnsi="Times New Roman" w:cs="B Nazanin"/>
          <w:sz w:val="22"/>
          <w:szCs w:val="28"/>
          <w:rtl w:val="1"/>
        </w:rPr>
        <w:t>این گزارش، حاصلِ «هضمِ» تحلیلیِ کاملِ منابعِ کلیدیِ آپلودی در سامانهٔ هوشمندِ پژوهش است. هر منبع به‌صورتِ مستقل واکاوی، نکاتِ راهبردیِ آن استخراج، و جایگاهِ دقیقِ آن در بدنهٔ رساله و در فرایندِ نتیجه‌گیری مشخص شده است. هدفِ این سند، شفاف‌سازیِ زنجیرهٔ استناد است: اینکه هر یافته از کجا آمده، در کدام فصل و کدام پرسشِ پژوهش به‌کار رفته، و چگونه به بهینه‌سازیِ نتیجه‌گیری در «سناریوی رسالهٔ ما» یاری رسانده است.</w:t>
      </w:r>
    </w:p>
    <w:p>
      <w:pPr>
        <w:bidi w:val="1"/>
        <w:spacing w:line="312" w:lineRule="auto" w:before="0" w:after="120"/>
        <w:ind w:firstLine="340"/>
        <w:jc w:val="both"/>
      </w:pPr>
      <w:r>
        <w:rPr>
          <w:rFonts w:ascii="Times New Roman" w:hAnsi="Times New Roman" w:cs="B Nazanin"/>
          <w:sz w:val="22"/>
          <w:szCs w:val="28"/>
          <w:rtl w:val="1"/>
        </w:rPr>
        <w:t>روشِ کار بدین‌گونه بوده است: نخست متنِ کاملِ هر منبع پردازش و دایجست شده؛ سپس یافتهٔ اصلی، نقاطِ قوت و ضعفِ روش‌شناختیِ منبع، و «یادداشتِ استناد» (اینکه در کدام فصل و ذیلِ کدام پرسش به‌کار می‌آید) ثبت شده است. منابعِ داوری‌نشده (پیش‌چاپ) به‌صراحت علامت‌گذاری شده‌اند تا اعتبارِ علمیِ استناد خدشه‌دار نشود. آنچه در پی می‌آید، برای هر منبع شاملِ چهار بخش است: (۱) شناسنامهٔ کتاب‌شناختی، (۲) دایجستِ کامل و نکاتِ استخراج‌شده، (۳) کجا و چگونه در پژوهش به‌کار رفت، و (۴) سهمِ آن در بهینه‌سازیِ نتیجه‌گیری و سناریو. در پایان نیز بخشی مستقل به «ارتقاهای عملیِ اعمال‌شده بر نتیجه‌گیری در پیِ این هضم» اختصاص یافته است.</w:t>
      </w:r>
    </w:p>
    <w:p/>
    <w:p>
      <w:pPr>
        <w:shd w:val="clear" w:color="auto" w:fill="eaf1f6"/>
        <w:pBdr>
          <w:right w:val="single" w:sz="24" w:space="6" w:color="b08d3f"/>
        </w:pBdr>
        <w:bidi w:val="1"/>
        <w:spacing w:line="312" w:lineRule="auto" w:before="200" w:after="120"/>
        <w:ind w:right="57"/>
        <w:jc w:val="right"/>
      </w:pPr>
      <w:r>
        <w:rPr>
          <w:rFonts w:ascii="Times New Roman" w:hAnsi="Times New Roman" w:cs="B Nazanin"/>
          <w:sz w:val="24"/>
          <w:szCs w:val="26"/>
          <w:rtl w:val="1"/>
          <w:b/>
          <w:bCs/>
          <w:color w:val="123a52"/>
        </w:rPr>
        <w:t>فهرستِ منابعِ بررسی‌شده</w:t>
      </w:r>
    </w:p>
    <w:p>
      <w:pPr>
        <w:pBdr>
          <w:bottom w:val="single" w:sz="4" w:space="3" w:color="dfe6ee"/>
        </w:pBdr>
        <w:bidi w:val="1"/>
        <w:spacing w:line="312" w:lineRule="auto" w:before="0" w:after="80"/>
        <w:ind w:right="113"/>
        <w:jc w:val="right"/>
      </w:pPr>
      <w:r>
        <w:rPr>
          <w:rFonts w:ascii="Times New Roman" w:hAnsi="Times New Roman" w:cs="B Nazanin"/>
          <w:sz w:val="24"/>
          <w:szCs w:val="28"/>
          <w:rtl w:val="1"/>
          <w:b/>
          <w:bCs/>
          <w:color w:val="b08d3f"/>
        </w:rPr>
        <w:t xml:space="preserve">۱. </w:t>
      </w:r>
      <w:r>
        <w:rPr>
          <w:rFonts w:ascii="Times New Roman" w:hAnsi="Times New Roman" w:cs="B Nazanin"/>
          <w:sz w:val="22"/>
          <w:szCs w:val="24"/>
          <w:rtl w:val="1"/>
        </w:rPr>
        <w:t>تیگره (۲۰۲۲) — تحولِ حقوق بین‌الملل محیط زیست در میانهٔ بن‌بستِ سیاسی: حقوقِ محیط‌زیستی همچون زمینهٔ مشترک</w:t>
      </w:r>
    </w:p>
    <w:p>
      <w:pPr>
        <w:pBdr>
          <w:bottom w:val="single" w:sz="4" w:space="3" w:color="dfe6ee"/>
        </w:pBdr>
        <w:bidi w:val="1"/>
        <w:spacing w:line="312" w:lineRule="auto" w:before="0" w:after="80"/>
        <w:ind w:right="113"/>
        <w:jc w:val="right"/>
      </w:pPr>
      <w:r>
        <w:rPr>
          <w:rFonts w:ascii="Times New Roman" w:hAnsi="Times New Roman" w:cs="B Nazanin"/>
          <w:sz w:val="24"/>
          <w:szCs w:val="28"/>
          <w:rtl w:val="1"/>
          <w:b/>
          <w:bCs/>
          <w:color w:val="b08d3f"/>
        </w:rPr>
        <w:t xml:space="preserve">۲. </w:t>
      </w:r>
      <w:r>
        <w:rPr>
          <w:rFonts w:ascii="Times New Roman" w:hAnsi="Times New Roman" w:cs="B Nazanin"/>
          <w:sz w:val="22"/>
          <w:szCs w:val="24"/>
          <w:rtl w:val="1"/>
        </w:rPr>
        <w:t>تیلر (۲۰۱۸) — آیا اهدافِ پیمانِ جهانیِ پیشنهادیِ محیط زیست مطلوب‌اند و آیا پیمان ارزش‌افزوده‌ای به حقوق بین‌الملل محیط زیست می‌افزاید؟</w:t>
      </w:r>
    </w:p>
    <w:p>
      <w:pPr>
        <w:pBdr>
          <w:bottom w:val="single" w:sz="4" w:space="3" w:color="dfe6ee"/>
        </w:pBdr>
        <w:bidi w:val="1"/>
        <w:spacing w:line="312" w:lineRule="auto" w:before="0" w:after="80"/>
        <w:ind w:right="113"/>
        <w:jc w:val="right"/>
      </w:pPr>
      <w:r>
        <w:rPr>
          <w:rFonts w:ascii="Times New Roman" w:hAnsi="Times New Roman" w:cs="B Nazanin"/>
          <w:sz w:val="24"/>
          <w:szCs w:val="28"/>
          <w:rtl w:val="1"/>
          <w:b/>
          <w:bCs/>
          <w:color w:val="b08d3f"/>
        </w:rPr>
        <w:t xml:space="preserve">۳. </w:t>
      </w:r>
      <w:r>
        <w:rPr>
          <w:rFonts w:ascii="Times New Roman" w:hAnsi="Times New Roman" w:cs="B Nazanin"/>
          <w:sz w:val="22"/>
          <w:szCs w:val="24"/>
          <w:rtl w:val="1"/>
        </w:rPr>
        <w:t>چاباسون و اِژه (۲۰۱۹) — شکستِ پیمانِ جهانیِ محیط زیست: فرصتی ازدست‌رفته یا تیری ازکنارگذشته؟</w:t>
      </w:r>
    </w:p>
    <w:p>
      <w:pPr>
        <w:pBdr>
          <w:bottom w:val="single" w:sz="4" w:space="3" w:color="dfe6ee"/>
        </w:pBdr>
        <w:bidi w:val="1"/>
        <w:spacing w:line="312" w:lineRule="auto" w:before="0" w:after="80"/>
        <w:ind w:right="113"/>
        <w:jc w:val="right"/>
      </w:pPr>
      <w:r>
        <w:rPr>
          <w:rFonts w:ascii="Times New Roman" w:hAnsi="Times New Roman" w:cs="B Nazanin"/>
          <w:sz w:val="24"/>
          <w:szCs w:val="28"/>
          <w:rtl w:val="1"/>
          <w:b/>
          <w:bCs/>
          <w:color w:val="b08d3f"/>
        </w:rPr>
        <w:t xml:space="preserve">۴. </w:t>
      </w:r>
      <w:r>
        <w:rPr>
          <w:rFonts w:ascii="Times New Roman" w:hAnsi="Times New Roman" w:cs="B Nazanin"/>
          <w:sz w:val="22"/>
          <w:szCs w:val="24"/>
          <w:rtl w:val="1"/>
        </w:rPr>
        <w:t>کمیسیون حقوق بین‌الملل (کوسکِنیِمی) (۲۰۰۶) — نتیجه‌گیریِ کارِ گروهِ مطالعاتیِ چندپارگیِ حقوق بین‌الملل: دشواری‌های ناشی از تنوع و گسترشِ حقوق بین‌الملل</w:t>
      </w:r>
    </w:p>
    <w:p>
      <w:pPr>
        <w:pBdr>
          <w:bottom w:val="single" w:sz="4" w:space="3" w:color="dfe6ee"/>
        </w:pBdr>
        <w:bidi w:val="1"/>
        <w:spacing w:line="312" w:lineRule="auto" w:before="0" w:after="80"/>
        <w:ind w:right="113"/>
        <w:jc w:val="right"/>
      </w:pPr>
      <w:r>
        <w:rPr>
          <w:rFonts w:ascii="Times New Roman" w:hAnsi="Times New Roman" w:cs="B Nazanin"/>
          <w:sz w:val="24"/>
          <w:szCs w:val="28"/>
          <w:rtl w:val="1"/>
          <w:b/>
          <w:bCs/>
          <w:color w:val="b08d3f"/>
        </w:rPr>
        <w:t xml:space="preserve">۵. </w:t>
      </w:r>
      <w:r>
        <w:rPr>
          <w:rFonts w:ascii="Times New Roman" w:hAnsi="Times New Roman" w:cs="B Nazanin"/>
          <w:sz w:val="22"/>
          <w:szCs w:val="24"/>
          <w:rtl w:val="1"/>
        </w:rPr>
        <w:t>⚠ داموآ و همکاران (۲۰۲۶) — بن‌بست در انتروپوسن: معاهداتِ ناکارآمد و کشمکش بر سرِ حکمرانیِ سیّاره‌ای</w:t>
      </w:r>
    </w:p>
    <w:p>
      <w:pPr>
        <w:pBdr>
          <w:bottom w:val="single" w:sz="4" w:space="3" w:color="dfe6ee"/>
        </w:pBdr>
        <w:bidi w:val="1"/>
        <w:spacing w:line="312" w:lineRule="auto" w:before="0" w:after="80"/>
        <w:ind w:right="113"/>
        <w:jc w:val="right"/>
      </w:pPr>
      <w:r>
        <w:rPr>
          <w:rFonts w:ascii="Times New Roman" w:hAnsi="Times New Roman" w:cs="B Nazanin"/>
          <w:sz w:val="24"/>
          <w:szCs w:val="28"/>
          <w:rtl w:val="1"/>
          <w:b/>
          <w:bCs/>
          <w:color w:val="b08d3f"/>
        </w:rPr>
        <w:t xml:space="preserve">۶. </w:t>
      </w:r>
      <w:r>
        <w:rPr>
          <w:rFonts w:ascii="Times New Roman" w:hAnsi="Times New Roman" w:cs="B Nazanin"/>
          <w:sz w:val="22"/>
          <w:szCs w:val="24"/>
          <w:rtl w:val="1"/>
        </w:rPr>
        <w:t>پیش‌نویسِ پیمان (گروهِ حقوق‌دانان / IUCN) (۲۰۱۷) — پیش‌نویسِ پیمانِ جهانیِ محیط زیست — ۲۶ ماده</w:t>
      </w:r>
    </w:p>
    <w:p>
      <w:r>
        <w:br w:type="page"/>
      </w:r>
    </w:p>
    <w:p>
      <w:pPr>
        <w:shd w:val="clear" w:color="auto" w:fill="123a52"/>
        <w:pBdr>
          <w:top w:val="single" w:sz="2" w:space="6" w:color="123a52"/>
          <w:bottom w:val="single" w:sz="2" w:space="6" w:color="123a52"/>
          <w:left w:val="single" w:sz="2" w:space="6" w:color="123a52"/>
          <w:right w:val="single" w:sz="2" w:space="6" w:color="123a52"/>
        </w:pBdr>
        <w:bidi w:val="1"/>
        <w:spacing w:line="312" w:lineRule="auto" w:before="0" w:after="160"/>
        <w:ind w:right="57" w:left="57"/>
        <w:jc w:val="right"/>
      </w:pPr>
      <w:r>
        <w:rPr>
          <w:rFonts w:ascii="Times New Roman" w:hAnsi="Times New Roman" w:cs="B Nazanin"/>
          <w:sz w:val="24"/>
          <w:szCs w:val="30"/>
          <w:rtl w:val="1"/>
          <w:b/>
          <w:bCs/>
          <w:color w:val="ffffff"/>
        </w:rPr>
        <w:t>منبعِ ۱: تیگره (۲۰۲۲)</w:t>
      </w:r>
    </w:p>
    <w:p>
      <w:pPr>
        <w:shd w:val="clear" w:color="auto" w:fill="eaf1f6"/>
        <w:pBdr>
          <w:right w:val="single" w:sz="24" w:space="6" w:color="b08d3f"/>
        </w:pBdr>
        <w:bidi w:val="1"/>
        <w:spacing w:line="312" w:lineRule="auto" w:before="200" w:after="120"/>
        <w:ind w:right="57"/>
        <w:jc w:val="right"/>
      </w:pPr>
      <w:r>
        <w:rPr>
          <w:rFonts w:ascii="Times New Roman" w:hAnsi="Times New Roman" w:cs="B Nazanin"/>
          <w:sz w:val="24"/>
          <w:szCs w:val="26"/>
          <w:rtl w:val="1"/>
          <w:b/>
          <w:bCs/>
          <w:color w:val="123a52"/>
        </w:rPr>
        <w:t>الف) شناسنامهٔ کتاب‌شناختی</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عنوان (فارسی): </w:t>
      </w:r>
      <w:r>
        <w:rPr>
          <w:rFonts w:ascii="Times New Roman" w:hAnsi="Times New Roman" w:cs="B Nazanin"/>
          <w:sz w:val="22"/>
          <w:szCs w:val="24"/>
          <w:rtl w:val="1"/>
        </w:rPr>
        <w:t>تحولِ حقوق بین‌الملل محیط زیست در میانهٔ بن‌بستِ سیاسی: حقوقِ محیط‌زیستی همچون زمینهٔ مشترک</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عنوانِ اصلی (لاتین): </w:t>
      </w:r>
      <w:r>
        <w:rPr>
          <w:rFonts w:ascii="Times New Roman" w:hAnsi="Times New Roman" w:cs="B Nazanin"/>
          <w:sz w:val="22"/>
          <w:szCs w:val="24"/>
          <w:rtl w:val="1"/>
        </w:rPr>
        <w:t>The Evolution of International Environmental Law Amidst Political Gridlock: Environmental Rights as a Common Ground</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پدیدآور: </w:t>
      </w:r>
      <w:r>
        <w:rPr>
          <w:rFonts w:ascii="Times New Roman" w:hAnsi="Times New Roman" w:cs="B Nazanin"/>
          <w:sz w:val="22"/>
          <w:szCs w:val="24"/>
          <w:rtl w:val="1"/>
        </w:rPr>
        <w:t>Tigre, M. A.</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سالِ انتشار: </w:t>
      </w:r>
      <w:r>
        <w:rPr>
          <w:rFonts w:ascii="Times New Roman" w:hAnsi="Times New Roman" w:cs="B Nazanin"/>
          <w:sz w:val="22"/>
          <w:szCs w:val="24"/>
          <w:rtl w:val="1"/>
        </w:rPr>
        <w:t>۲۰۲۲</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محلِ انتشار: </w:t>
      </w:r>
      <w:r>
        <w:rPr>
          <w:rFonts w:ascii="Times New Roman" w:hAnsi="Times New Roman" w:cs="B Nazanin"/>
          <w:sz w:val="22"/>
          <w:szCs w:val="24"/>
          <w:rtl w:val="1"/>
        </w:rPr>
        <w:t>SJD Dissertation, Elisabeth Haub School of Law at Pace University, 260 pp. (open access)</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پایگاه: </w:t>
      </w:r>
      <w:r>
        <w:rPr>
          <w:rFonts w:ascii="Times New Roman" w:hAnsi="Times New Roman" w:cs="B Nazanin"/>
          <w:sz w:val="22"/>
          <w:szCs w:val="24"/>
          <w:rtl w:val="1"/>
        </w:rPr>
        <w:t>PACE Digital Commons</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درجهٔ ارتباط با رساله: </w:t>
      </w:r>
      <w:r>
        <w:rPr>
          <w:rFonts w:ascii="Times New Roman" w:hAnsi="Times New Roman" w:cs="B Nazanin"/>
          <w:sz w:val="22"/>
          <w:szCs w:val="24"/>
          <w:rtl w:val="1"/>
        </w:rPr>
        <w:t>۹۷ از ۱۰۰</w:t>
      </w:r>
    </w:p>
    <w:p>
      <w:pPr>
        <w:shd w:val="clear" w:color="auto" w:fill="eaf1f6"/>
        <w:pBdr>
          <w:right w:val="single" w:sz="24" w:space="6" w:color="b08d3f"/>
        </w:pBdr>
        <w:bidi w:val="1"/>
        <w:spacing w:line="312" w:lineRule="auto" w:before="200" w:after="120"/>
        <w:ind w:right="57"/>
        <w:jc w:val="right"/>
      </w:pPr>
      <w:r>
        <w:rPr>
          <w:rFonts w:ascii="Times New Roman" w:hAnsi="Times New Roman" w:cs="B Nazanin"/>
          <w:sz w:val="24"/>
          <w:szCs w:val="26"/>
          <w:rtl w:val="1"/>
          <w:b/>
          <w:bCs/>
          <w:color w:val="123a52"/>
        </w:rPr>
        <w:t>ب) دایجستِ کامل و نکاتِ استخراج‌شده</w:t>
      </w:r>
    </w:p>
    <w:p>
      <w:pPr>
        <w:bidi w:val="1"/>
        <w:spacing w:line="312" w:lineRule="auto" w:before="0" w:after="120"/>
        <w:ind w:firstLine="340"/>
        <w:jc w:val="both"/>
      </w:pPr>
      <w:r>
        <w:rPr>
          <w:rFonts w:ascii="Times New Roman" w:hAnsi="Times New Roman" w:cs="B Nazanin"/>
          <w:sz w:val="22"/>
          <w:szCs w:val="28"/>
          <w:rtl w:val="1"/>
        </w:rPr>
        <w:t>در شرایطِ بن‌بستِ سیاسیِ حقوق بین‌الملل محیط زیست، «حقوقِ محیط‌زیستی» (به‌ویژه حق بر محیط‌زیستِ سالم) می‌تواند زمینهٔ مشترکی برای پیشبردِ تدریجیِ نظام فراهم کند؛ توسعهٔ حقوق نه از راهِ یک معاهدهٔ فراگیرِ واحد، بلکه از مسیرِ رویه، آرای قضایی و شناساییِ حقوق پیش می‌رود.</w:t>
      </w:r>
    </w:p>
    <w:p>
      <w:pPr>
        <w:bidi w:val="1"/>
        <w:spacing w:line="312" w:lineRule="auto" w:before="0" w:after="60"/>
        <w:jc w:val="right"/>
      </w:pPr>
      <w:r>
        <w:rPr>
          <w:rFonts w:ascii="Times New Roman" w:hAnsi="Times New Roman" w:cs="B Nazanin"/>
          <w:sz w:val="22"/>
          <w:szCs w:val="26"/>
          <w:rtl w:val="1"/>
          <w:b/>
          <w:bCs/>
          <w:color w:val="123a52"/>
        </w:rPr>
        <w:t>نکاتِ کلیدیِ استخراج‌شده:</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در شرایطِ بن‌بستِ سیاسیِ حقوق بین‌الملل محیط زیست، «حقوقِ محیط‌زیستی» — به‌ویژه حق بر محیط‌زیستِ سالم — می‌تواند زمینهٔ مشترکِ پیشبردِ تدریجیِ نظام باشد.</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توسعهٔ حقوق نه از راهِ یک معاهدهٔ فراگیرِ واحد، بلکه از مسیرِ رویه، آرای قضایی و شناساییِ تدریجیِ حقوق پیش می‌رود.</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الگوی روش‌شناختیِ نتیجه‌گیری سه‌لایه است: سنتزِ یافته‌ها ← طرحِ گزینه‌های پیشِ‌رو ← چشم‌اندازِ دگرگونیِ بوم‌شناختی، با استنادِ متراکمِ درون‌متنی.</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پیوندِ مستقیمِ فرایندِ پیمان با قطعنامهٔ ۷۶/۳۰۰ مجمع عمومی (حق بر محیط‌زیستِ سالم) به‌مثابهٔ «دستاوردِ پنهانِ» ابتکار.</w:t>
      </w:r>
    </w:p>
    <w:p>
      <w:pPr>
        <w:bidi w:val="1"/>
        <w:spacing w:line="312" w:lineRule="auto" w:before="0" w:after="60"/>
        <w:jc w:val="right"/>
      </w:pPr>
      <w:r>
        <w:rPr>
          <w:rFonts w:ascii="Times New Roman" w:hAnsi="Times New Roman" w:cs="B Nazanin"/>
          <w:sz w:val="22"/>
          <w:szCs w:val="24"/>
          <w:rtl w:val="1"/>
          <w:b/>
          <w:bCs/>
          <w:color w:val="1e6b3a"/>
        </w:rPr>
        <w:t xml:space="preserve">نقطهٔ قوت: </w:t>
      </w:r>
      <w:r>
        <w:rPr>
          <w:rFonts w:ascii="Times New Roman" w:hAnsi="Times New Roman" w:cs="B Nazanin"/>
          <w:sz w:val="22"/>
          <w:szCs w:val="24"/>
          <w:rtl w:val="1"/>
        </w:rPr>
        <w:t>رسالهٔ دکتریِ روشمند و پرارجاع با روش‌شناسیِ نتیجه‌گیریِ الگو (تحلیلِ روند + سنجشِ گزینه‌ها + قضاوتِ متوازن)؛ منبعِ طلاییِ رساله برای الگوی نتیجه‌گیری و برای تبیینِ «دستاوردهای پنهانِ» فرایندِ پیمان.</w:t>
      </w:r>
    </w:p>
    <w:p>
      <w:pPr>
        <w:bidi w:val="1"/>
        <w:spacing w:line="312" w:lineRule="auto" w:before="0" w:after="60"/>
        <w:jc w:val="right"/>
      </w:pPr>
      <w:r>
        <w:rPr>
          <w:rFonts w:ascii="Times New Roman" w:hAnsi="Times New Roman" w:cs="B Nazanin"/>
          <w:sz w:val="22"/>
          <w:szCs w:val="24"/>
          <w:rtl w:val="1"/>
          <w:b/>
          <w:bCs/>
          <w:color w:val="b03a2e"/>
        </w:rPr>
        <w:t xml:space="preserve">نقطهٔ ضعف/ملاحظه: </w:t>
      </w:r>
      <w:r>
        <w:rPr>
          <w:rFonts w:ascii="Times New Roman" w:hAnsi="Times New Roman" w:cs="B Nazanin"/>
          <w:sz w:val="22"/>
          <w:szCs w:val="24"/>
          <w:rtl w:val="1"/>
        </w:rPr>
        <w:t>تمرکز بر رویکردِ حق‌محور؛ کمتر به پیامدهای فنیِ پیمان بر تک‌تکِ MEAها می‌پردازد.</w:t>
      </w:r>
    </w:p>
    <w:p>
      <w:pPr>
        <w:shd w:val="clear" w:color="auto" w:fill="eaf1f6"/>
        <w:pBdr>
          <w:right w:val="single" w:sz="24" w:space="6" w:color="b08d3f"/>
        </w:pBdr>
        <w:bidi w:val="1"/>
        <w:spacing w:line="312" w:lineRule="auto" w:before="200" w:after="120"/>
        <w:ind w:right="57"/>
        <w:jc w:val="right"/>
      </w:pPr>
      <w:r>
        <w:rPr>
          <w:rFonts w:ascii="Times New Roman" w:hAnsi="Times New Roman" w:cs="B Nazanin"/>
          <w:sz w:val="24"/>
          <w:szCs w:val="26"/>
          <w:rtl w:val="1"/>
          <w:b/>
          <w:bCs/>
          <w:color w:val="123a52"/>
        </w:rPr>
        <w:t>ج) کجا و چگونه در پژوهش به‌کار رفت</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فصولِ کاربرد: </w:t>
      </w:r>
      <w:r>
        <w:rPr>
          <w:rFonts w:ascii="Times New Roman" w:hAnsi="Times New Roman" w:cs="B Nazanin"/>
          <w:sz w:val="22"/>
          <w:szCs w:val="24"/>
          <w:rtl w:val="1"/>
        </w:rPr>
        <w:t>فصل۲، فصل۳، فصل۴، فصل۵</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پرسش‌های مرتبط: </w:t>
      </w:r>
      <w:r>
        <w:rPr>
          <w:rFonts w:ascii="Times New Roman" w:hAnsi="Times New Roman" w:cs="B Nazanin"/>
          <w:sz w:val="22"/>
          <w:szCs w:val="24"/>
          <w:rtl w:val="1"/>
        </w:rPr>
        <w:t>اصلی، فرعی۱، فرعی۲</w:t>
      </w:r>
    </w:p>
    <w:p>
      <w:pPr>
        <w:bidi w:val="1"/>
        <w:spacing w:line="312" w:lineRule="auto" w:before="0" w:after="120"/>
        <w:ind w:firstLine="340"/>
        <w:jc w:val="both"/>
      </w:pPr>
      <w:r>
        <w:rPr>
          <w:rFonts w:ascii="Times New Roman" w:hAnsi="Times New Roman" w:cs="B Nazanin"/>
          <w:sz w:val="22"/>
          <w:szCs w:val="28"/>
          <w:rtl w:val="1"/>
        </w:rPr>
        <w:t>این رساله، به‌سببِ روش‌شناسیِ دقیق و پرارجاعِ خود، منبعِ طلاییِ الگوی نتیجه‌گیری بوده است. یافته‌های آن در فصلِ دوم (سیر تحولِ حقوق و ظهورِ گفتمانِ حق‌محور)، فصلِ سوم (تحلیلِ اصولِ پیمان)، فصلِ چهارم (پیامدهای شکست و مسیرِ جایگزین) و فصلِ پنجم (الگوی نتیجه‌گیری) به‌کار رفته و به پرسشِ اصلی و دو پرسشِ فرعیِ نخست پاسخ می‌دهد.</w:t>
      </w:r>
    </w:p>
    <w:p>
      <w:pPr>
        <w:shd w:val="clear" w:color="auto" w:fill="eaf1f6"/>
        <w:pBdr>
          <w:right w:val="single" w:sz="24" w:space="6" w:color="b08d3f"/>
        </w:pBdr>
        <w:bidi w:val="1"/>
        <w:spacing w:line="312" w:lineRule="auto" w:before="200" w:after="120"/>
        <w:ind w:right="57"/>
        <w:jc w:val="right"/>
      </w:pPr>
      <w:r>
        <w:rPr>
          <w:rFonts w:ascii="Times New Roman" w:hAnsi="Times New Roman" w:cs="B Nazanin"/>
          <w:sz w:val="24"/>
          <w:szCs w:val="26"/>
          <w:rtl w:val="1"/>
          <w:b/>
          <w:bCs/>
          <w:color w:val="123a52"/>
        </w:rPr>
        <w:t>د) سهمِ آن در بهینه‌سازیِ نتیجه‌گیری و سناریو</w:t>
      </w:r>
    </w:p>
    <w:p>
      <w:pPr>
        <w:bidi w:val="1"/>
        <w:spacing w:line="312" w:lineRule="auto" w:before="0" w:after="120"/>
        <w:ind w:firstLine="340"/>
        <w:jc w:val="both"/>
      </w:pPr>
      <w:r>
        <w:rPr>
          <w:rFonts w:ascii="Times New Roman" w:hAnsi="Times New Roman" w:cs="B Nazanin"/>
          <w:sz w:val="22"/>
          <w:szCs w:val="28"/>
          <w:rtl w:val="1"/>
        </w:rPr>
        <w:t>الگوی «استنادِ متراکمِ درون‌متنی» و ساختارِ «سنتز ← گزینه‌ها» مستقیماً از تیگره وام گرفته شد و به نتیجه‌گیریِ رساله سطحِ استانداردِ دکتری بخشید. مهم‌تر آنکه این منبع کمک کرد نتیجه‌گیریِ ما از «روایتِ شکستِ صِرف» فراتر رود و به تحلیلِ «دستاوردهای پنهانِ فرایندِ پیمان» (تثبیتِ حق بر محیط‌زیستِ سالم در قطعنامهٔ ۷۶/۳۰۰) برسد. ستونِ یکم و پنجمِ نقشهٔ راهِ جایگزین (توسعهٔ رویهٔ قضایی و حقوق نرم) مستقیماً بر تزِ این منبع استوار شده‌اند.</w:t>
      </w:r>
    </w:p>
    <w:p>
      <w:pPr>
        <w:bidi w:val="1"/>
        <w:spacing w:line="312" w:lineRule="auto" w:before="0" w:after="60"/>
        <w:jc w:val="right"/>
      </w:pPr>
      <w:r>
        <w:rPr>
          <w:rFonts w:ascii="Times New Roman" w:hAnsi="Times New Roman" w:cs="B Nazanin"/>
          <w:sz w:val="22"/>
          <w:szCs w:val="24"/>
          <w:rtl w:val="1"/>
          <w:b/>
          <w:bCs/>
          <w:color w:val="5a4a8a"/>
        </w:rPr>
        <w:t xml:space="preserve">یادداشتِ استناد: </w:t>
      </w:r>
      <w:r>
        <w:rPr>
          <w:rFonts w:ascii="Times New Roman" w:hAnsi="Times New Roman" w:cs="B Nazanin"/>
          <w:sz w:val="22"/>
          <w:szCs w:val="24"/>
          <w:rtl w:val="1"/>
        </w:rPr>
        <w:t>الگوی روش‌شناختیِ نتیجه‌گیریِ رساله (فصل۵) و مبنای تحلیلِ «حق بر محیط‌زیستِ سالم» به‌مثابهٔ دستاوردِ پنهانِ فرایندِ پیمان (قطعنامهٔ ۷۶/۳۰۰ مجمع عمومی). دسترسی آزاد: digitalcommons.pace.edu/lawdissertations/33/.</w:t>
      </w:r>
    </w:p>
    <w:p>
      <w:pPr>
        <w:pBdr>
          <w:bottom w:val="single" w:sz="6" w:space="1" w:color="b08d3f"/>
        </w:pBdr>
        <w:bidi w:val="1"/>
        <w:spacing w:line="312" w:lineRule="auto" w:before="0" w:after="40"/>
        <w:jc w:val="right"/>
      </w:pPr>
    </w:p>
    <w:p>
      <w:r>
        <w:br w:type="page"/>
      </w:r>
    </w:p>
    <w:p>
      <w:pPr>
        <w:shd w:val="clear" w:color="auto" w:fill="123a52"/>
        <w:pBdr>
          <w:top w:val="single" w:sz="2" w:space="6" w:color="123a52"/>
          <w:bottom w:val="single" w:sz="2" w:space="6" w:color="123a52"/>
          <w:left w:val="single" w:sz="2" w:space="6" w:color="123a52"/>
          <w:right w:val="single" w:sz="2" w:space="6" w:color="123a52"/>
        </w:pBdr>
        <w:bidi w:val="1"/>
        <w:spacing w:line="312" w:lineRule="auto" w:before="0" w:after="160"/>
        <w:ind w:right="57" w:left="57"/>
        <w:jc w:val="right"/>
      </w:pPr>
      <w:r>
        <w:rPr>
          <w:rFonts w:ascii="Times New Roman" w:hAnsi="Times New Roman" w:cs="B Nazanin"/>
          <w:sz w:val="24"/>
          <w:szCs w:val="30"/>
          <w:rtl w:val="1"/>
          <w:b/>
          <w:bCs/>
          <w:color w:val="ffffff"/>
        </w:rPr>
        <w:t>منبعِ ۲: تیلر (۲۰۱۸)</w:t>
      </w:r>
    </w:p>
    <w:p>
      <w:pPr>
        <w:shd w:val="clear" w:color="auto" w:fill="eaf1f6"/>
        <w:pBdr>
          <w:right w:val="single" w:sz="24" w:space="6" w:color="b08d3f"/>
        </w:pBdr>
        <w:bidi w:val="1"/>
        <w:spacing w:line="312" w:lineRule="auto" w:before="200" w:after="120"/>
        <w:ind w:right="57"/>
        <w:jc w:val="right"/>
      </w:pPr>
      <w:r>
        <w:rPr>
          <w:rFonts w:ascii="Times New Roman" w:hAnsi="Times New Roman" w:cs="B Nazanin"/>
          <w:sz w:val="24"/>
          <w:szCs w:val="26"/>
          <w:rtl w:val="1"/>
          <w:b/>
          <w:bCs/>
          <w:color w:val="123a52"/>
        </w:rPr>
        <w:t>الف) شناسنامهٔ کتاب‌شناختی</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عنوان (فارسی): </w:t>
      </w:r>
      <w:r>
        <w:rPr>
          <w:rFonts w:ascii="Times New Roman" w:hAnsi="Times New Roman" w:cs="B Nazanin"/>
          <w:sz w:val="22"/>
          <w:szCs w:val="24"/>
          <w:rtl w:val="1"/>
        </w:rPr>
        <w:t>آیا اهدافِ پیمانِ جهانیِ پیشنهادیِ محیط زیست مطلوب‌اند و آیا پیمان ارزش‌افزوده‌ای به حقوق بین‌الملل محیط زیست می‌افزاید؟</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عنوانِ اصلی (لاتین): </w:t>
      </w:r>
      <w:r>
        <w:rPr>
          <w:rFonts w:ascii="Times New Roman" w:hAnsi="Times New Roman" w:cs="B Nazanin"/>
          <w:sz w:val="22"/>
          <w:szCs w:val="24"/>
          <w:rtl w:val="1"/>
        </w:rPr>
        <w:t>Are the Aims of the Proposed Global Pact for the Environment Desirable and Will the Pact Add Any Value to International Environmental Law?</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پدیدآور: </w:t>
      </w:r>
      <w:r>
        <w:rPr>
          <w:rFonts w:ascii="Times New Roman" w:hAnsi="Times New Roman" w:cs="B Nazanin"/>
          <w:sz w:val="22"/>
          <w:szCs w:val="24"/>
          <w:rtl w:val="1"/>
        </w:rPr>
        <w:t>Tiller, D.</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سالِ انتشار: </w:t>
      </w:r>
      <w:r>
        <w:rPr>
          <w:rFonts w:ascii="Times New Roman" w:hAnsi="Times New Roman" w:cs="B Nazanin"/>
          <w:sz w:val="22"/>
          <w:szCs w:val="24"/>
          <w:rtl w:val="1"/>
        </w:rPr>
        <w:t>۲۰۱۸</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محلِ انتشار: </w:t>
      </w:r>
      <w:r>
        <w:rPr>
          <w:rFonts w:ascii="Times New Roman" w:hAnsi="Times New Roman" w:cs="B Nazanin"/>
          <w:sz w:val="22"/>
          <w:szCs w:val="24"/>
          <w:rtl w:val="1"/>
        </w:rPr>
        <w:t>LLB(Hons) Research Paper, Victoria University of Wellington, Faculty of Law</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پایگاه: </w:t>
      </w:r>
      <w:r>
        <w:rPr>
          <w:rFonts w:ascii="Times New Roman" w:hAnsi="Times New Roman" w:cs="B Nazanin"/>
          <w:sz w:val="22"/>
          <w:szCs w:val="24"/>
          <w:rtl w:val="1"/>
        </w:rPr>
        <w:t>Victoria University of Wellington</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درجهٔ ارتباط با رساله: </w:t>
      </w:r>
      <w:r>
        <w:rPr>
          <w:rFonts w:ascii="Times New Roman" w:hAnsi="Times New Roman" w:cs="B Nazanin"/>
          <w:sz w:val="22"/>
          <w:szCs w:val="24"/>
          <w:rtl w:val="1"/>
        </w:rPr>
        <w:t>۹۰ از ۱۰۰</w:t>
      </w:r>
    </w:p>
    <w:p>
      <w:pPr>
        <w:shd w:val="clear" w:color="auto" w:fill="eaf1f6"/>
        <w:pBdr>
          <w:right w:val="single" w:sz="24" w:space="6" w:color="b08d3f"/>
        </w:pBdr>
        <w:bidi w:val="1"/>
        <w:spacing w:line="312" w:lineRule="auto" w:before="200" w:after="120"/>
        <w:ind w:right="57"/>
        <w:jc w:val="right"/>
      </w:pPr>
      <w:r>
        <w:rPr>
          <w:rFonts w:ascii="Times New Roman" w:hAnsi="Times New Roman" w:cs="B Nazanin"/>
          <w:sz w:val="24"/>
          <w:szCs w:val="26"/>
          <w:rtl w:val="1"/>
          <w:b/>
          <w:bCs/>
          <w:color w:val="123a52"/>
        </w:rPr>
        <w:t>ب) دایجستِ کامل و نکاتِ استخراج‌شده</w:t>
      </w:r>
    </w:p>
    <w:p>
      <w:pPr>
        <w:bidi w:val="1"/>
        <w:spacing w:line="312" w:lineRule="auto" w:before="0" w:after="120"/>
        <w:ind w:firstLine="340"/>
        <w:jc w:val="both"/>
      </w:pPr>
      <w:r>
        <w:rPr>
          <w:rFonts w:ascii="Times New Roman" w:hAnsi="Times New Roman" w:cs="B Nazanin"/>
          <w:sz w:val="22"/>
          <w:szCs w:val="28"/>
          <w:rtl w:val="1"/>
        </w:rPr>
        <w:t>اهدافِ پیمان (تحکیم و انسجام‌بخشیِ اصول) مطلوب‌اند، اما ارزش‌افزودهٔ عملیِ آن به‌سببِ ضعفِ سازوکارِ اجرا و خطرِ تضعیفِ رژیم‌های تخصصیِ موجود محدود است؛ داوریِ متوازن: «هدف درست، ابزار محلِ تردید».</w:t>
      </w:r>
    </w:p>
    <w:p>
      <w:pPr>
        <w:bidi w:val="1"/>
        <w:spacing w:line="312" w:lineRule="auto" w:before="0" w:after="60"/>
        <w:jc w:val="right"/>
      </w:pPr>
      <w:r>
        <w:rPr>
          <w:rFonts w:ascii="Times New Roman" w:hAnsi="Times New Roman" w:cs="B Nazanin"/>
          <w:sz w:val="22"/>
          <w:szCs w:val="26"/>
          <w:rtl w:val="1"/>
          <w:b/>
          <w:bCs/>
          <w:color w:val="123a52"/>
        </w:rPr>
        <w:t>نکاتِ کلیدیِ استخراج‌شده:</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اهدافِ پیمان (تحکیم و انسجام‌بخشیِ اصول) مطلوب‌اند؛ اما ارزش‌افزودهٔ عملیِ آن محدود است.</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علتِ محدودیت: ضعفِ سازوکارِ اجرا و خطرِ تضعیفِ رژیم‌های تخصصیِ موجود (MEAها).</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داوریِ نهایی به‌صورتِ گزارهٔ متوازن: «هدف درست است، اما ابزار محلِ تردید».</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پرسشِ پژوهشِ این اثر (مطلوبیتِ اهداف + سنجشِ ارزش‌افزوده) تقریباً منطبق بر پرسش‌های رسالهٔ ماست.</w:t>
      </w:r>
    </w:p>
    <w:p>
      <w:pPr>
        <w:bidi w:val="1"/>
        <w:spacing w:line="312" w:lineRule="auto" w:before="0" w:after="60"/>
        <w:jc w:val="right"/>
      </w:pPr>
      <w:r>
        <w:rPr>
          <w:rFonts w:ascii="Times New Roman" w:hAnsi="Times New Roman" w:cs="B Nazanin"/>
          <w:sz w:val="22"/>
          <w:szCs w:val="24"/>
          <w:rtl w:val="1"/>
          <w:b/>
          <w:bCs/>
          <w:color w:val="1e6b3a"/>
        </w:rPr>
        <w:t xml:space="preserve">نقطهٔ قوت: </w:t>
      </w:r>
      <w:r>
        <w:rPr>
          <w:rFonts w:ascii="Times New Roman" w:hAnsi="Times New Roman" w:cs="B Nazanin"/>
          <w:sz w:val="22"/>
          <w:szCs w:val="24"/>
          <w:rtl w:val="1"/>
        </w:rPr>
        <w:t>پرسشِ پژوهشِ آن دقیقاً منطبق بر پرسش‌های رسالهٔ ماست (مطلوبیتِ اهداف + ارزش‌افزوده)؛ الگوی داوریِ متوازن برای فصل۵.</w:t>
      </w:r>
    </w:p>
    <w:p>
      <w:pPr>
        <w:bidi w:val="1"/>
        <w:spacing w:line="312" w:lineRule="auto" w:before="0" w:after="60"/>
        <w:jc w:val="right"/>
      </w:pPr>
      <w:r>
        <w:rPr>
          <w:rFonts w:ascii="Times New Roman" w:hAnsi="Times New Roman" w:cs="B Nazanin"/>
          <w:sz w:val="22"/>
          <w:szCs w:val="24"/>
          <w:rtl w:val="1"/>
          <w:b/>
          <w:bCs/>
          <w:color w:val="b03a2e"/>
        </w:rPr>
        <w:t xml:space="preserve">نقطهٔ ضعف/ملاحظه: </w:t>
      </w:r>
      <w:r>
        <w:rPr>
          <w:rFonts w:ascii="Times New Roman" w:hAnsi="Times New Roman" w:cs="B Nazanin"/>
          <w:sz w:val="22"/>
          <w:szCs w:val="24"/>
          <w:rtl w:val="1"/>
        </w:rPr>
        <w:t>پایان‌نامهٔ کارشناسیِ حقوق (LLB Hons)؛ عمقِ نظریِ محدودتر نسبت به منابعِ دکتری — در کنارِ منابعِ قوی‌تر استناد می‌شود.</w:t>
      </w:r>
    </w:p>
    <w:p>
      <w:pPr>
        <w:shd w:val="clear" w:color="auto" w:fill="eaf1f6"/>
        <w:pBdr>
          <w:right w:val="single" w:sz="24" w:space="6" w:color="b08d3f"/>
        </w:pBdr>
        <w:bidi w:val="1"/>
        <w:spacing w:line="312" w:lineRule="auto" w:before="200" w:after="120"/>
        <w:ind w:right="57"/>
        <w:jc w:val="right"/>
      </w:pPr>
      <w:r>
        <w:rPr>
          <w:rFonts w:ascii="Times New Roman" w:hAnsi="Times New Roman" w:cs="B Nazanin"/>
          <w:sz w:val="24"/>
          <w:szCs w:val="26"/>
          <w:rtl w:val="1"/>
          <w:b/>
          <w:bCs/>
          <w:color w:val="123a52"/>
        </w:rPr>
        <w:t>ج) کجا و چگونه در پژوهش به‌کار رفت</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فصولِ کاربرد: </w:t>
      </w:r>
      <w:r>
        <w:rPr>
          <w:rFonts w:ascii="Times New Roman" w:hAnsi="Times New Roman" w:cs="B Nazanin"/>
          <w:sz w:val="22"/>
          <w:szCs w:val="24"/>
          <w:rtl w:val="1"/>
        </w:rPr>
        <w:t>فصل۳، فصل۴، فصل۵</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پرسش‌های مرتبط: </w:t>
      </w:r>
      <w:r>
        <w:rPr>
          <w:rFonts w:ascii="Times New Roman" w:hAnsi="Times New Roman" w:cs="B Nazanin"/>
          <w:sz w:val="22"/>
          <w:szCs w:val="24"/>
          <w:rtl w:val="1"/>
        </w:rPr>
        <w:t>اصلی، فرعی۱، فرعی۲</w:t>
      </w:r>
    </w:p>
    <w:p>
      <w:pPr>
        <w:bidi w:val="1"/>
        <w:spacing w:line="312" w:lineRule="auto" w:before="0" w:after="120"/>
        <w:ind w:firstLine="340"/>
        <w:jc w:val="both"/>
      </w:pPr>
      <w:r>
        <w:rPr>
          <w:rFonts w:ascii="Times New Roman" w:hAnsi="Times New Roman" w:cs="B Nazanin"/>
          <w:sz w:val="22"/>
          <w:szCs w:val="28"/>
          <w:rtl w:val="1"/>
        </w:rPr>
        <w:t>این پژوهش در فصلِ سوم (گفتارِ «مطلوبیتِ اهداف و ارزش‌افزوده»)، فصلِ چهارم (اثرِ پیمان بر MEAها) و فصلِ پنجم (داوریِ متوازنِ نتیجه‌گیری) به‌کار رفت و به هر سه پرسشِ پژوهش مربوط می‌شود. از آنجا که پرسشِ محوریِ آن آینهٔ پرسشِ رسالهٔ ماست، به‌مثابهٔ نقطهٔ اتکای مقایسه‌ای عمل کرد.</w:t>
      </w:r>
    </w:p>
    <w:p>
      <w:pPr>
        <w:shd w:val="clear" w:color="auto" w:fill="eaf1f6"/>
        <w:pBdr>
          <w:right w:val="single" w:sz="24" w:space="6" w:color="b08d3f"/>
        </w:pBdr>
        <w:bidi w:val="1"/>
        <w:spacing w:line="312" w:lineRule="auto" w:before="200" w:after="120"/>
        <w:ind w:right="57"/>
        <w:jc w:val="right"/>
      </w:pPr>
      <w:r>
        <w:rPr>
          <w:rFonts w:ascii="Times New Roman" w:hAnsi="Times New Roman" w:cs="B Nazanin"/>
          <w:sz w:val="24"/>
          <w:szCs w:val="26"/>
          <w:rtl w:val="1"/>
          <w:b/>
          <w:bCs/>
          <w:color w:val="123a52"/>
        </w:rPr>
        <w:t>د) سهمِ آن در بهینه‌سازیِ نتیجه‌گیری و سناریو</w:t>
      </w:r>
    </w:p>
    <w:p>
      <w:pPr>
        <w:bidi w:val="1"/>
        <w:spacing w:line="312" w:lineRule="auto" w:before="0" w:after="120"/>
        <w:ind w:firstLine="340"/>
        <w:jc w:val="both"/>
      </w:pPr>
      <w:r>
        <w:rPr>
          <w:rFonts w:ascii="Times New Roman" w:hAnsi="Times New Roman" w:cs="B Nazanin"/>
          <w:sz w:val="22"/>
          <w:szCs w:val="28"/>
          <w:rtl w:val="1"/>
        </w:rPr>
        <w:t>منطقِ «داوریِ متعادل و مشروط» در بخشِ ۵-۳ نتیجه‌گیری مستقیماً از الگوی تیلر الهام گرفت. این منبع به ما کمک کرد از قضاوتِ صفر-و-یکی پرهیز کنیم و به گزارهٔ دقیقِ «هدفِ انسجام‌بخشی درست بود، اما ابزارِ معاهدهٔ چترِ واحد در بسترِ فعلی ناکارآمد است» برسیم. هشدارِ صریحِ این منبع دربارهٔ «خطرِ تضعیفِ رژیم‌های موجود» به‌طورِ مستقیم مبنای ستونِ چهارمِ نقشهٔ راه (هم‌افزایی به‌جای افزودنِ لایهٔ هنجاریِ نو) و پاسخِ ستونِ ششم به تردیدِ ارزش‌افزوده شد.</w:t>
      </w:r>
    </w:p>
    <w:p>
      <w:pPr>
        <w:bidi w:val="1"/>
        <w:spacing w:line="312" w:lineRule="auto" w:before="0" w:after="60"/>
        <w:jc w:val="right"/>
      </w:pPr>
      <w:r>
        <w:rPr>
          <w:rFonts w:ascii="Times New Roman" w:hAnsi="Times New Roman" w:cs="B Nazanin"/>
          <w:sz w:val="22"/>
          <w:szCs w:val="24"/>
          <w:rtl w:val="1"/>
          <w:b/>
          <w:bCs/>
          <w:color w:val="5a4a8a"/>
        </w:rPr>
        <w:t xml:space="preserve">یادداشتِ استناد: </w:t>
      </w:r>
      <w:r>
        <w:rPr>
          <w:rFonts w:ascii="Times New Roman" w:hAnsi="Times New Roman" w:cs="B Nazanin"/>
          <w:sz w:val="22"/>
          <w:szCs w:val="24"/>
          <w:rtl w:val="1"/>
        </w:rPr>
        <w:t>مبنای گفتارِ «مطلوبیتِ اهداف و ارزش‌افزوده» (فصل۳) و داوریِ متوازنِ نتیجه‌گیری (فصل۵-۳).</w:t>
      </w:r>
    </w:p>
    <w:p>
      <w:pPr>
        <w:pBdr>
          <w:bottom w:val="single" w:sz="6" w:space="1" w:color="b08d3f"/>
        </w:pBdr>
        <w:bidi w:val="1"/>
        <w:spacing w:line="312" w:lineRule="auto" w:before="0" w:after="40"/>
        <w:jc w:val="right"/>
      </w:pPr>
    </w:p>
    <w:p>
      <w:r>
        <w:br w:type="page"/>
      </w:r>
    </w:p>
    <w:p>
      <w:pPr>
        <w:shd w:val="clear" w:color="auto" w:fill="123a52"/>
        <w:pBdr>
          <w:top w:val="single" w:sz="2" w:space="6" w:color="123a52"/>
          <w:bottom w:val="single" w:sz="2" w:space="6" w:color="123a52"/>
          <w:left w:val="single" w:sz="2" w:space="6" w:color="123a52"/>
          <w:right w:val="single" w:sz="2" w:space="6" w:color="123a52"/>
        </w:pBdr>
        <w:bidi w:val="1"/>
        <w:spacing w:line="312" w:lineRule="auto" w:before="0" w:after="160"/>
        <w:ind w:right="57" w:left="57"/>
        <w:jc w:val="right"/>
      </w:pPr>
      <w:r>
        <w:rPr>
          <w:rFonts w:ascii="Times New Roman" w:hAnsi="Times New Roman" w:cs="B Nazanin"/>
          <w:sz w:val="24"/>
          <w:szCs w:val="30"/>
          <w:rtl w:val="1"/>
          <w:b/>
          <w:bCs/>
          <w:color w:val="ffffff"/>
        </w:rPr>
        <w:t>منبعِ ۳: چاباسون و اِژه (۲۰۱۹)</w:t>
      </w:r>
    </w:p>
    <w:p>
      <w:pPr>
        <w:shd w:val="clear" w:color="auto" w:fill="eaf1f6"/>
        <w:pBdr>
          <w:right w:val="single" w:sz="24" w:space="6" w:color="b08d3f"/>
        </w:pBdr>
        <w:bidi w:val="1"/>
        <w:spacing w:line="312" w:lineRule="auto" w:before="200" w:after="120"/>
        <w:ind w:right="57"/>
        <w:jc w:val="right"/>
      </w:pPr>
      <w:r>
        <w:rPr>
          <w:rFonts w:ascii="Times New Roman" w:hAnsi="Times New Roman" w:cs="B Nazanin"/>
          <w:sz w:val="24"/>
          <w:szCs w:val="26"/>
          <w:rtl w:val="1"/>
          <w:b/>
          <w:bCs/>
          <w:color w:val="123a52"/>
        </w:rPr>
        <w:t>الف) شناسنامهٔ کتاب‌شناختی</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عنوان (فارسی): </w:t>
      </w:r>
      <w:r>
        <w:rPr>
          <w:rFonts w:ascii="Times New Roman" w:hAnsi="Times New Roman" w:cs="B Nazanin"/>
          <w:sz w:val="22"/>
          <w:szCs w:val="24"/>
          <w:rtl w:val="1"/>
        </w:rPr>
        <w:t>شکستِ پیمانِ جهانیِ محیط زیست: فرصتی ازدست‌رفته یا تیری ازکنارگذشته؟</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عنوانِ اصلی (لاتین): </w:t>
      </w:r>
      <w:r>
        <w:rPr>
          <w:rFonts w:ascii="Times New Roman" w:hAnsi="Times New Roman" w:cs="B Nazanin"/>
          <w:sz w:val="22"/>
          <w:szCs w:val="24"/>
          <w:rtl w:val="1"/>
        </w:rPr>
        <w:t>Failure of the Global Pact for the Environment: a missed opportunity or a bullet dodged?</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پدیدآور: </w:t>
      </w:r>
      <w:r>
        <w:rPr>
          <w:rFonts w:ascii="Times New Roman" w:hAnsi="Times New Roman" w:cs="B Nazanin"/>
          <w:sz w:val="22"/>
          <w:szCs w:val="24"/>
          <w:rtl w:val="1"/>
        </w:rPr>
        <w:t>Chabason, L. &amp; Hege, E.</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سالِ انتشار: </w:t>
      </w:r>
      <w:r>
        <w:rPr>
          <w:rFonts w:ascii="Times New Roman" w:hAnsi="Times New Roman" w:cs="B Nazanin"/>
          <w:sz w:val="22"/>
          <w:szCs w:val="24"/>
          <w:rtl w:val="1"/>
        </w:rPr>
        <w:t>۲۰۱۹</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محلِ انتشار: </w:t>
      </w:r>
      <w:r>
        <w:rPr>
          <w:rFonts w:ascii="Times New Roman" w:hAnsi="Times New Roman" w:cs="B Nazanin"/>
          <w:sz w:val="22"/>
          <w:szCs w:val="24"/>
          <w:rtl w:val="1"/>
        </w:rPr>
        <w:t>IDDRI (Institut du développement durable et des relations internationales) — Blog Post, 28 May 2019</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پایگاه: </w:t>
      </w:r>
      <w:r>
        <w:rPr>
          <w:rFonts w:ascii="Times New Roman" w:hAnsi="Times New Roman" w:cs="B Nazanin"/>
          <w:sz w:val="22"/>
          <w:szCs w:val="24"/>
          <w:rtl w:val="1"/>
        </w:rPr>
        <w:t>IDDRI</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درجهٔ ارتباط با رساله: </w:t>
      </w:r>
      <w:r>
        <w:rPr>
          <w:rFonts w:ascii="Times New Roman" w:hAnsi="Times New Roman" w:cs="B Nazanin"/>
          <w:sz w:val="22"/>
          <w:szCs w:val="24"/>
          <w:rtl w:val="1"/>
        </w:rPr>
        <w:t>۸۸ از ۱۰۰</w:t>
      </w:r>
    </w:p>
    <w:p>
      <w:pPr>
        <w:shd w:val="clear" w:color="auto" w:fill="eaf1f6"/>
        <w:pBdr>
          <w:right w:val="single" w:sz="24" w:space="6" w:color="b08d3f"/>
        </w:pBdr>
        <w:bidi w:val="1"/>
        <w:spacing w:line="312" w:lineRule="auto" w:before="200" w:after="120"/>
        <w:ind w:right="57"/>
        <w:jc w:val="right"/>
      </w:pPr>
      <w:r>
        <w:rPr>
          <w:rFonts w:ascii="Times New Roman" w:hAnsi="Times New Roman" w:cs="B Nazanin"/>
          <w:sz w:val="24"/>
          <w:szCs w:val="26"/>
          <w:rtl w:val="1"/>
          <w:b/>
          <w:bCs/>
          <w:color w:val="123a52"/>
        </w:rPr>
        <w:t>ب) دایجستِ کامل و نکاتِ استخراج‌شده</w:t>
      </w:r>
    </w:p>
    <w:p>
      <w:pPr>
        <w:bidi w:val="1"/>
        <w:spacing w:line="312" w:lineRule="auto" w:before="0" w:after="120"/>
        <w:ind w:firstLine="340"/>
        <w:jc w:val="both"/>
      </w:pPr>
      <w:r>
        <w:rPr>
          <w:rFonts w:ascii="Times New Roman" w:hAnsi="Times New Roman" w:cs="B Nazanin"/>
          <w:sz w:val="22"/>
          <w:szCs w:val="28"/>
          <w:rtl w:val="1"/>
        </w:rPr>
        <w:t>ناکامیِ مذاکراتِ پیمان جهانی را می‌توان هم «فرصتی ازدست‌رفته» و هم «تیرِ ازکنارگذشته» دانست؛ نویسندگان علل شکست را در نبودِ ارادهٔ سیاسی، بیمِ دولت‌ها از الزام‌آورشدنِ اصول، و رقابتِ نهادی می‌بینند و نتیجهٔ ملموسِ فرایند را قطعنامهٔ ۷۲/۲۷۷ و روندِ «به‌سوی یک پیمان جهانی» می‌دانند.</w:t>
      </w:r>
    </w:p>
    <w:p>
      <w:pPr>
        <w:bidi w:val="1"/>
        <w:spacing w:line="312" w:lineRule="auto" w:before="0" w:after="60"/>
        <w:jc w:val="right"/>
      </w:pPr>
      <w:r>
        <w:rPr>
          <w:rFonts w:ascii="Times New Roman" w:hAnsi="Times New Roman" w:cs="B Nazanin"/>
          <w:sz w:val="22"/>
          <w:szCs w:val="26"/>
          <w:rtl w:val="1"/>
          <w:b/>
          <w:bCs/>
          <w:color w:val="123a52"/>
        </w:rPr>
        <w:t>نکاتِ کلیدیِ استخراج‌شده:</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ناکامیِ مذاکراتِ پیمان را هم‌زمان می‌توان «فرصتی ازدست‌رفته» و هم «تیرِ ازکنارگذشته» خواند.</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علل شکست: نبودِ ارادهٔ سیاسی، بیمِ دولت‌ها از الزام‌آورشدنِ اصول، و رقابتِ نهادی میان بازیگران.</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نتیجهٔ ملموسِ فرایند: قطعنامهٔ ۷۲/۲۷۷ و روندِ رسمیِ «به‌سوی یک پیمان جهانی برای محیط زیست».</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تحلیلِ دستِ‌اول از مواضعِ بازیگرانِ کلیدی و صف‌بندیِ ژئوپلیتیکِ مذاکرات.</w:t>
      </w:r>
    </w:p>
    <w:p>
      <w:pPr>
        <w:bidi w:val="1"/>
        <w:spacing w:line="312" w:lineRule="auto" w:before="0" w:after="60"/>
        <w:jc w:val="right"/>
      </w:pPr>
      <w:r>
        <w:rPr>
          <w:rFonts w:ascii="Times New Roman" w:hAnsi="Times New Roman" w:cs="B Nazanin"/>
          <w:sz w:val="22"/>
          <w:szCs w:val="24"/>
          <w:rtl w:val="1"/>
          <w:b/>
          <w:bCs/>
          <w:color w:val="1e6b3a"/>
        </w:rPr>
        <w:t xml:space="preserve">نقطهٔ قوت: </w:t>
      </w:r>
      <w:r>
        <w:rPr>
          <w:rFonts w:ascii="Times New Roman" w:hAnsi="Times New Roman" w:cs="B Nazanin"/>
          <w:sz w:val="22"/>
          <w:szCs w:val="24"/>
          <w:rtl w:val="1"/>
        </w:rPr>
        <w:t>تحلیلِ سیاسیِ دقیق و دستِ‌اول از علل شکست و مواضعِ بازیگران؛ مستقیماً به کارِ فصل۴ (علل ناکامی و مواضعِ ژئوپلیتیک) می‌آید.</w:t>
      </w:r>
    </w:p>
    <w:p>
      <w:pPr>
        <w:bidi w:val="1"/>
        <w:spacing w:line="312" w:lineRule="auto" w:before="0" w:after="60"/>
        <w:jc w:val="right"/>
      </w:pPr>
      <w:r>
        <w:rPr>
          <w:rFonts w:ascii="Times New Roman" w:hAnsi="Times New Roman" w:cs="B Nazanin"/>
          <w:sz w:val="22"/>
          <w:szCs w:val="24"/>
          <w:rtl w:val="1"/>
          <w:b/>
          <w:bCs/>
          <w:color w:val="b03a2e"/>
        </w:rPr>
        <w:t xml:space="preserve">نقطهٔ ضعف/ملاحظه: </w:t>
      </w:r>
      <w:r>
        <w:rPr>
          <w:rFonts w:ascii="Times New Roman" w:hAnsi="Times New Roman" w:cs="B Nazanin"/>
          <w:sz w:val="22"/>
          <w:szCs w:val="24"/>
          <w:rtl w:val="1"/>
        </w:rPr>
        <w:t>یادداشتِ تحلیلیِ کوتاه (نه مقالهٔ داوری‌شدهٔ بلند)؛ منظرِ نهادیِ IDDRI.</w:t>
      </w:r>
    </w:p>
    <w:p>
      <w:pPr>
        <w:shd w:val="clear" w:color="auto" w:fill="eaf1f6"/>
        <w:pBdr>
          <w:right w:val="single" w:sz="24" w:space="6" w:color="b08d3f"/>
        </w:pBdr>
        <w:bidi w:val="1"/>
        <w:spacing w:line="312" w:lineRule="auto" w:before="200" w:after="120"/>
        <w:ind w:right="57"/>
        <w:jc w:val="right"/>
      </w:pPr>
      <w:r>
        <w:rPr>
          <w:rFonts w:ascii="Times New Roman" w:hAnsi="Times New Roman" w:cs="B Nazanin"/>
          <w:sz w:val="24"/>
          <w:szCs w:val="26"/>
          <w:rtl w:val="1"/>
          <w:b/>
          <w:bCs/>
          <w:color w:val="123a52"/>
        </w:rPr>
        <w:t>ج) کجا و چگونه در پژوهش به‌کار رفت</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فصولِ کاربرد: </w:t>
      </w:r>
      <w:r>
        <w:rPr>
          <w:rFonts w:ascii="Times New Roman" w:hAnsi="Times New Roman" w:cs="B Nazanin"/>
          <w:sz w:val="22"/>
          <w:szCs w:val="24"/>
          <w:rtl w:val="1"/>
        </w:rPr>
        <w:t>فصل۲، فصل۳، فصل۴</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پرسش‌های مرتبط: </w:t>
      </w:r>
      <w:r>
        <w:rPr>
          <w:rFonts w:ascii="Times New Roman" w:hAnsi="Times New Roman" w:cs="B Nazanin"/>
          <w:sz w:val="22"/>
          <w:szCs w:val="24"/>
          <w:rtl w:val="1"/>
        </w:rPr>
        <w:t>اصلی، فرعی۲</w:t>
      </w:r>
    </w:p>
    <w:p>
      <w:pPr>
        <w:bidi w:val="1"/>
        <w:spacing w:line="312" w:lineRule="auto" w:before="0" w:after="120"/>
        <w:ind w:firstLine="340"/>
        <w:jc w:val="both"/>
      </w:pPr>
      <w:r>
        <w:rPr>
          <w:rFonts w:ascii="Times New Roman" w:hAnsi="Times New Roman" w:cs="B Nazanin"/>
          <w:sz w:val="22"/>
          <w:szCs w:val="28"/>
          <w:rtl w:val="1"/>
        </w:rPr>
        <w:t>این یادداشتِ تحلیلی منبعِ اصلیِ تحلیلِ «علل شکست و مواضعِ ژئوپلیتیک» در فصلِ چهارم و پشتوانهٔ بخشِ نتیجه‌گیریِ متوازن در فصلِ پنجم بود. یافته‌های آن به پرسشِ اصلی و پرسشِ فرعیِ دوم پاسخ می‌دهد.</w:t>
      </w:r>
    </w:p>
    <w:p>
      <w:pPr>
        <w:shd w:val="clear" w:color="auto" w:fill="eaf1f6"/>
        <w:pBdr>
          <w:right w:val="single" w:sz="24" w:space="6" w:color="b08d3f"/>
        </w:pBdr>
        <w:bidi w:val="1"/>
        <w:spacing w:line="312" w:lineRule="auto" w:before="200" w:after="120"/>
        <w:ind w:right="57"/>
        <w:jc w:val="right"/>
      </w:pPr>
      <w:r>
        <w:rPr>
          <w:rFonts w:ascii="Times New Roman" w:hAnsi="Times New Roman" w:cs="B Nazanin"/>
          <w:sz w:val="24"/>
          <w:szCs w:val="26"/>
          <w:rtl w:val="1"/>
          <w:b/>
          <w:bCs/>
          <w:color w:val="123a52"/>
        </w:rPr>
        <w:t>د) سهمِ آن در بهینه‌سازیِ نتیجه‌گیری و سناریو</w:t>
      </w:r>
    </w:p>
    <w:p>
      <w:pPr>
        <w:bidi w:val="1"/>
        <w:spacing w:line="312" w:lineRule="auto" w:before="0" w:after="120"/>
        <w:ind w:firstLine="340"/>
        <w:jc w:val="both"/>
      </w:pPr>
      <w:r>
        <w:rPr>
          <w:rFonts w:ascii="Times New Roman" w:hAnsi="Times New Roman" w:cs="B Nazanin"/>
          <w:sz w:val="22"/>
          <w:szCs w:val="28"/>
          <w:rtl w:val="1"/>
        </w:rPr>
        <w:t>این منبع نتیجه‌گیری را از یک نگاهِ تک‌بُعدی نجات داد: به‌جای آنکه شکستِ پیمان را صرفاً «ناکامی» بدانیم، چارچوبِ دوگانهٔ «فرصتِ ازدست‌رفته / تیرِ ازکنارگذشته» را وارد کردیم و نشان دادیم فرایندِ شکست‌خورده، خود، دستاوردِ حقوقیِ ماندگار داشت. تحلیلِ سه‌گانهٔ علل شکست (حقوقی/اقتصادی/ژئوپلیتیک) و به‌ویژه «رقابتِ نهادی» مستقیماً مبنای ستونِ دومِ نقشهٔ راه (تقویتِ نهادیِ یونپ) و «بازدهِ نرمِ فرایند» مبنای ستونِ پنجم شد.</w:t>
      </w:r>
    </w:p>
    <w:p>
      <w:pPr>
        <w:bidi w:val="1"/>
        <w:spacing w:line="312" w:lineRule="auto" w:before="0" w:after="60"/>
        <w:jc w:val="right"/>
      </w:pPr>
      <w:r>
        <w:rPr>
          <w:rFonts w:ascii="Times New Roman" w:hAnsi="Times New Roman" w:cs="B Nazanin"/>
          <w:sz w:val="22"/>
          <w:szCs w:val="24"/>
          <w:rtl w:val="1"/>
          <w:b/>
          <w:bCs/>
          <w:color w:val="5a4a8a"/>
        </w:rPr>
        <w:t xml:space="preserve">یادداشتِ استناد: </w:t>
      </w:r>
      <w:r>
        <w:rPr>
          <w:rFonts w:ascii="Times New Roman" w:hAnsi="Times New Roman" w:cs="B Nazanin"/>
          <w:sz w:val="22"/>
          <w:szCs w:val="24"/>
          <w:rtl w:val="1"/>
        </w:rPr>
        <w:t>منبعِ اصلیِ تحلیلِ علل شکست و مواضعِ دولت‌ها (فصل۴، گفتار مواضعِ ژئوپلیتیک) و بخشِ نتیجه‌گیریِ متوازن (فصل۵).</w:t>
      </w:r>
    </w:p>
    <w:p>
      <w:pPr>
        <w:pBdr>
          <w:bottom w:val="single" w:sz="6" w:space="1" w:color="b08d3f"/>
        </w:pBdr>
        <w:bidi w:val="1"/>
        <w:spacing w:line="312" w:lineRule="auto" w:before="0" w:after="40"/>
        <w:jc w:val="right"/>
      </w:pPr>
    </w:p>
    <w:p>
      <w:r>
        <w:br w:type="page"/>
      </w:r>
    </w:p>
    <w:p>
      <w:pPr>
        <w:shd w:val="clear" w:color="auto" w:fill="123a52"/>
        <w:pBdr>
          <w:top w:val="single" w:sz="2" w:space="6" w:color="123a52"/>
          <w:bottom w:val="single" w:sz="2" w:space="6" w:color="123a52"/>
          <w:left w:val="single" w:sz="2" w:space="6" w:color="123a52"/>
          <w:right w:val="single" w:sz="2" w:space="6" w:color="123a52"/>
        </w:pBdr>
        <w:bidi w:val="1"/>
        <w:spacing w:line="312" w:lineRule="auto" w:before="0" w:after="160"/>
        <w:ind w:right="57" w:left="57"/>
        <w:jc w:val="right"/>
      </w:pPr>
      <w:r>
        <w:rPr>
          <w:rFonts w:ascii="Times New Roman" w:hAnsi="Times New Roman" w:cs="B Nazanin"/>
          <w:sz w:val="24"/>
          <w:szCs w:val="30"/>
          <w:rtl w:val="1"/>
          <w:b/>
          <w:bCs/>
          <w:color w:val="ffffff"/>
        </w:rPr>
        <w:t>منبعِ ۴: کمیسیون حقوق بین‌الملل (کوسکِنیِمی) (۲۰۰۶)</w:t>
      </w:r>
    </w:p>
    <w:p>
      <w:pPr>
        <w:shd w:val="clear" w:color="auto" w:fill="eaf1f6"/>
        <w:pBdr>
          <w:right w:val="single" w:sz="24" w:space="6" w:color="b08d3f"/>
        </w:pBdr>
        <w:bidi w:val="1"/>
        <w:spacing w:line="312" w:lineRule="auto" w:before="200" w:after="120"/>
        <w:ind w:right="57"/>
        <w:jc w:val="right"/>
      </w:pPr>
      <w:r>
        <w:rPr>
          <w:rFonts w:ascii="Times New Roman" w:hAnsi="Times New Roman" w:cs="B Nazanin"/>
          <w:sz w:val="24"/>
          <w:szCs w:val="26"/>
          <w:rtl w:val="1"/>
          <w:b/>
          <w:bCs/>
          <w:color w:val="123a52"/>
        </w:rPr>
        <w:t>الف) شناسنامهٔ کتاب‌شناختی</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عنوان (فارسی): </w:t>
      </w:r>
      <w:r>
        <w:rPr>
          <w:rFonts w:ascii="Times New Roman" w:hAnsi="Times New Roman" w:cs="B Nazanin"/>
          <w:sz w:val="22"/>
          <w:szCs w:val="24"/>
          <w:rtl w:val="1"/>
        </w:rPr>
        <w:t>نتیجه‌گیریِ کارِ گروهِ مطالعاتیِ چندپارگیِ حقوق بین‌الملل: دشواری‌های ناشی از تنوع و گسترشِ حقوق بین‌الملل</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عنوانِ اصلی (لاتین): </w:t>
      </w:r>
      <w:r>
        <w:rPr>
          <w:rFonts w:ascii="Times New Roman" w:hAnsi="Times New Roman" w:cs="B Nazanin"/>
          <w:sz w:val="22"/>
          <w:szCs w:val="24"/>
          <w:rtl w:val="1"/>
        </w:rPr>
        <w:t>Conclusions of the work of the Study Group on the Fragmentation of International Law: Difficulties arising from the Diversification and Expansion of International Law</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پدیدآور: </w:t>
      </w:r>
      <w:r>
        <w:rPr>
          <w:rFonts w:ascii="Times New Roman" w:hAnsi="Times New Roman" w:cs="B Nazanin"/>
          <w:sz w:val="22"/>
          <w:szCs w:val="24"/>
          <w:rtl w:val="1"/>
        </w:rPr>
        <w:t>International Law Commission (Study Group; Koskenniemi, M., رئیس)</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سالِ انتشار: </w:t>
      </w:r>
      <w:r>
        <w:rPr>
          <w:rFonts w:ascii="Times New Roman" w:hAnsi="Times New Roman" w:cs="B Nazanin"/>
          <w:sz w:val="22"/>
          <w:szCs w:val="24"/>
          <w:rtl w:val="1"/>
        </w:rPr>
        <w:t>۲۰۰۶</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محلِ انتشار: </w:t>
      </w:r>
      <w:r>
        <w:rPr>
          <w:rFonts w:ascii="Times New Roman" w:hAnsi="Times New Roman" w:cs="B Nazanin"/>
          <w:sz w:val="22"/>
          <w:szCs w:val="24"/>
          <w:rtl w:val="1"/>
        </w:rPr>
        <w:t>Yearbook of the ILC 2006, vol. II, Part Two; A/61/10 (para. 251)</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پایگاه: </w:t>
      </w:r>
      <w:r>
        <w:rPr>
          <w:rFonts w:ascii="Times New Roman" w:hAnsi="Times New Roman" w:cs="B Nazanin"/>
          <w:sz w:val="22"/>
          <w:szCs w:val="24"/>
          <w:rtl w:val="1"/>
        </w:rPr>
        <w:t>United Nations (ILC)</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درجهٔ ارتباط با رساله: </w:t>
      </w:r>
      <w:r>
        <w:rPr>
          <w:rFonts w:ascii="Times New Roman" w:hAnsi="Times New Roman" w:cs="B Nazanin"/>
          <w:sz w:val="22"/>
          <w:szCs w:val="24"/>
          <w:rtl w:val="1"/>
        </w:rPr>
        <w:t>۹۵ از ۱۰۰</w:t>
      </w:r>
    </w:p>
    <w:p>
      <w:pPr>
        <w:shd w:val="clear" w:color="auto" w:fill="eaf1f6"/>
        <w:pBdr>
          <w:right w:val="single" w:sz="24" w:space="6" w:color="b08d3f"/>
        </w:pBdr>
        <w:bidi w:val="1"/>
        <w:spacing w:line="312" w:lineRule="auto" w:before="200" w:after="120"/>
        <w:ind w:right="57"/>
        <w:jc w:val="right"/>
      </w:pPr>
      <w:r>
        <w:rPr>
          <w:rFonts w:ascii="Times New Roman" w:hAnsi="Times New Roman" w:cs="B Nazanin"/>
          <w:sz w:val="24"/>
          <w:szCs w:val="26"/>
          <w:rtl w:val="1"/>
          <w:b/>
          <w:bCs/>
          <w:color w:val="123a52"/>
        </w:rPr>
        <w:t>ب) دایجستِ کامل و نکاتِ استخراج‌شده</w:t>
      </w:r>
    </w:p>
    <w:p>
      <w:pPr>
        <w:bidi w:val="1"/>
        <w:spacing w:line="312" w:lineRule="auto" w:before="0" w:after="120"/>
        <w:ind w:firstLine="340"/>
        <w:jc w:val="both"/>
      </w:pPr>
      <w:r>
        <w:rPr>
          <w:rFonts w:ascii="Times New Roman" w:hAnsi="Times New Roman" w:cs="B Nazanin"/>
          <w:sz w:val="22"/>
          <w:szCs w:val="28"/>
          <w:rtl w:val="1"/>
        </w:rPr>
        <w:t>نتیجه‌گیریِ رسمیِ کمیسیون حقوق بین‌الملل دربارهٔ چندپارگی: نظامِ حقوق بین‌الملل یک «نظامِ حقوقی» است و ابزارهایی چون قاعدهٔ خاصِ مقدم (lex specialis)، نظام‌های خودبسنده (self-contained regimes) و «یکپارچه‌سازیِ نظام‌مند» از رهگذرِ مادهٔ ۳۱(۳)(ج) کنوانسیون وین برای مدیریتِ تعارضِ هنجاری در دسترس است.</w:t>
      </w:r>
    </w:p>
    <w:p>
      <w:pPr>
        <w:bidi w:val="1"/>
        <w:spacing w:line="312" w:lineRule="auto" w:before="0" w:after="60"/>
        <w:jc w:val="right"/>
      </w:pPr>
      <w:r>
        <w:rPr>
          <w:rFonts w:ascii="Times New Roman" w:hAnsi="Times New Roman" w:cs="B Nazanin"/>
          <w:sz w:val="22"/>
          <w:szCs w:val="26"/>
          <w:rtl w:val="1"/>
          <w:b/>
          <w:bCs/>
          <w:color w:val="123a52"/>
        </w:rPr>
        <w:t>نکاتِ کلیدیِ استخراج‌شده:</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نظامِ حقوق بین‌الملل یک «نظامِ حقوقی» یکپارچه است، نه انبوهی از قواعدِ بی‌ارتباط.</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ابزارهای مدیریتِ تعارضِ هنجاری: قاعدهٔ خاصِ مقدم (lex specialis) و نظام‌های خودبسنده (self-contained regimes).</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«یکپارچه‌سازیِ نظام‌مند» از رهگذرِ مادهٔ ۳۱(۳)(ج) کنوانسیون وین، سازوکارِ کلیدیِ انسجام‌بخشی است.</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لنگرِ اصطلاح‌شناسیِ مستندِ رساله: همهٔ اصطلاحاتِ فنیِ تحلیلِ تعاملِ پیمان با MEAها از آن گرفته شده.</w:t>
      </w:r>
    </w:p>
    <w:p>
      <w:pPr>
        <w:bidi w:val="1"/>
        <w:spacing w:line="312" w:lineRule="auto" w:before="0" w:after="60"/>
        <w:jc w:val="right"/>
      </w:pPr>
      <w:r>
        <w:rPr>
          <w:rFonts w:ascii="Times New Roman" w:hAnsi="Times New Roman" w:cs="B Nazanin"/>
          <w:sz w:val="22"/>
          <w:szCs w:val="24"/>
          <w:rtl w:val="1"/>
          <w:b/>
          <w:bCs/>
          <w:color w:val="1e6b3a"/>
        </w:rPr>
        <w:t xml:space="preserve">نقطهٔ قوت: </w:t>
      </w:r>
      <w:r>
        <w:rPr>
          <w:rFonts w:ascii="Times New Roman" w:hAnsi="Times New Roman" w:cs="B Nazanin"/>
          <w:sz w:val="22"/>
          <w:szCs w:val="24"/>
          <w:rtl w:val="1"/>
        </w:rPr>
        <w:t>سندِ مرجعِ رسمی و لنگرِ اصطلاح‌شناسیِ مستندِ رساله؛ همهٔ اصطلاحاتِ فنیِ به‌کاررفته در تحلیلِ تعاملِ پیمان با MEAها از این سند و مطالعهٔ تحلیلیِ آن گرفته شده است.</w:t>
      </w:r>
    </w:p>
    <w:p>
      <w:pPr>
        <w:bidi w:val="1"/>
        <w:spacing w:line="312" w:lineRule="auto" w:before="0" w:after="60"/>
        <w:jc w:val="right"/>
      </w:pPr>
      <w:r>
        <w:rPr>
          <w:rFonts w:ascii="Times New Roman" w:hAnsi="Times New Roman" w:cs="B Nazanin"/>
          <w:sz w:val="22"/>
          <w:szCs w:val="24"/>
          <w:rtl w:val="1"/>
          <w:b/>
          <w:bCs/>
          <w:color w:val="b03a2e"/>
        </w:rPr>
        <w:t xml:space="preserve">نقطهٔ ضعف/ملاحظه: </w:t>
      </w:r>
      <w:r>
        <w:rPr>
          <w:rFonts w:ascii="Times New Roman" w:hAnsi="Times New Roman" w:cs="B Nazanin"/>
          <w:sz w:val="22"/>
          <w:szCs w:val="24"/>
          <w:rtl w:val="1"/>
        </w:rPr>
        <w:t>سندِ چارچوبی و کلی؛ کاربستِ آن بر موردِ خاصِ پیمان جهانی نیازمندِ تحلیلِ تکمیلی است.</w:t>
      </w:r>
    </w:p>
    <w:p>
      <w:pPr>
        <w:shd w:val="clear" w:color="auto" w:fill="eaf1f6"/>
        <w:pBdr>
          <w:right w:val="single" w:sz="24" w:space="6" w:color="b08d3f"/>
        </w:pBdr>
        <w:bidi w:val="1"/>
        <w:spacing w:line="312" w:lineRule="auto" w:before="200" w:after="120"/>
        <w:ind w:right="57"/>
        <w:jc w:val="right"/>
      </w:pPr>
      <w:r>
        <w:rPr>
          <w:rFonts w:ascii="Times New Roman" w:hAnsi="Times New Roman" w:cs="B Nazanin"/>
          <w:sz w:val="24"/>
          <w:szCs w:val="26"/>
          <w:rtl w:val="1"/>
          <w:b/>
          <w:bCs/>
          <w:color w:val="123a52"/>
        </w:rPr>
        <w:t>ج) کجا و چگونه در پژوهش به‌کار رفت</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فصولِ کاربرد: </w:t>
      </w:r>
      <w:r>
        <w:rPr>
          <w:rFonts w:ascii="Times New Roman" w:hAnsi="Times New Roman" w:cs="B Nazanin"/>
          <w:sz w:val="22"/>
          <w:szCs w:val="24"/>
          <w:rtl w:val="1"/>
        </w:rPr>
        <w:t>فصل۲، فصل۳، فصل۴</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پرسش‌های مرتبط: </w:t>
      </w:r>
      <w:r>
        <w:rPr>
          <w:rFonts w:ascii="Times New Roman" w:hAnsi="Times New Roman" w:cs="B Nazanin"/>
          <w:sz w:val="22"/>
          <w:szCs w:val="24"/>
          <w:rtl w:val="1"/>
        </w:rPr>
        <w:t>اصلی، فرعی۱</w:t>
      </w:r>
    </w:p>
    <w:p>
      <w:pPr>
        <w:bidi w:val="1"/>
        <w:spacing w:line="312" w:lineRule="auto" w:before="0" w:after="120"/>
        <w:ind w:firstLine="340"/>
        <w:jc w:val="both"/>
      </w:pPr>
      <w:r>
        <w:rPr>
          <w:rFonts w:ascii="Times New Roman" w:hAnsi="Times New Roman" w:cs="B Nazanin"/>
          <w:sz w:val="22"/>
          <w:szCs w:val="28"/>
          <w:rtl w:val="1"/>
        </w:rPr>
        <w:t>نتیجه‌گیریِ رسمیِ کمیسیون حقوق بین‌الملل (۲۰۰۶، سند A/61/10 بند ۲۵۱) لنگرِ نظری و اصطلاح‌شناختیِ رساله است. در واژه‌نامه، در فصلِ دوم و سوم (چندپارگی و ابزارهای انسجام‌بخشی) و در فصلِ چهارم (سازوکارِ حقوقیِ اثرِ پیمان بر MEAها) به‌کار رفت و به پرسشِ اصلی و پرسشِ فرعیِ نخست پاسخ می‌دهد.</w:t>
      </w:r>
    </w:p>
    <w:p>
      <w:pPr>
        <w:shd w:val="clear" w:color="auto" w:fill="eaf1f6"/>
        <w:pBdr>
          <w:right w:val="single" w:sz="24" w:space="6" w:color="b08d3f"/>
        </w:pBdr>
        <w:bidi w:val="1"/>
        <w:spacing w:line="312" w:lineRule="auto" w:before="200" w:after="120"/>
        <w:ind w:right="57"/>
        <w:jc w:val="right"/>
      </w:pPr>
      <w:r>
        <w:rPr>
          <w:rFonts w:ascii="Times New Roman" w:hAnsi="Times New Roman" w:cs="B Nazanin"/>
          <w:sz w:val="24"/>
          <w:szCs w:val="26"/>
          <w:rtl w:val="1"/>
          <w:b/>
          <w:bCs/>
          <w:color w:val="123a52"/>
        </w:rPr>
        <w:t>د) سهمِ آن در بهینه‌سازیِ نتیجه‌گیری و سناریو</w:t>
      </w:r>
    </w:p>
    <w:p>
      <w:pPr>
        <w:bidi w:val="1"/>
        <w:spacing w:line="312" w:lineRule="auto" w:before="0" w:after="120"/>
        <w:ind w:firstLine="340"/>
        <w:jc w:val="both"/>
      </w:pPr>
      <w:r>
        <w:rPr>
          <w:rFonts w:ascii="Times New Roman" w:hAnsi="Times New Roman" w:cs="B Nazanin"/>
          <w:sz w:val="22"/>
          <w:szCs w:val="28"/>
          <w:rtl w:val="1"/>
        </w:rPr>
        <w:t>این سند به نتیجه‌گیری پشتوانهٔ نظریِ رسمی بخشید. استدلالِ محوریِ رساله — اینکه اثرِ پیمان بر MEAها باید از رهگذرِ «تفسیرِ هماهنگ» و مادهٔ ۳۱(۳)(ج) وین تحلیل شود، نه صرفاً توصیف — مستقیماً از این چارچوب برخاست و به ستونِ ششمِ نقشهٔ راه (یکسان‌سازیِ تفسیرِ اصول) بدل شد. همین سند مبنای گزارهٔ کلیدیِ نتیجه‌گیری شد که چرا «معاهدهٔ چترِ واحد» با سرشتِ چندپاره و بخشیِ این نظام در تنش است.</w:t>
      </w:r>
    </w:p>
    <w:p>
      <w:pPr>
        <w:bidi w:val="1"/>
        <w:spacing w:line="312" w:lineRule="auto" w:before="0" w:after="60"/>
        <w:jc w:val="right"/>
      </w:pPr>
      <w:r>
        <w:rPr>
          <w:rFonts w:ascii="Times New Roman" w:hAnsi="Times New Roman" w:cs="B Nazanin"/>
          <w:sz w:val="22"/>
          <w:szCs w:val="24"/>
          <w:rtl w:val="1"/>
          <w:b/>
          <w:bCs/>
          <w:color w:val="5a4a8a"/>
        </w:rPr>
        <w:t xml:space="preserve">یادداشتِ استناد: </w:t>
      </w:r>
      <w:r>
        <w:rPr>
          <w:rFonts w:ascii="Times New Roman" w:hAnsi="Times New Roman" w:cs="B Nazanin"/>
          <w:sz w:val="22"/>
          <w:szCs w:val="24"/>
          <w:rtl w:val="1"/>
        </w:rPr>
        <w:t>لنگرِ اصطلاح‌شناسیِ مستند (واژه‌نامه) و مبنای تحلیلِ فصل۳/۴ دربارهٔ چندپارگی و ابزارهای انسجام‌بخشی. متمایز از DB22 (مطالعهٔ تحلیلیِ A/CN.4/L.682).</w:t>
      </w:r>
    </w:p>
    <w:p>
      <w:pPr>
        <w:pBdr>
          <w:bottom w:val="single" w:sz="6" w:space="1" w:color="b08d3f"/>
        </w:pBdr>
        <w:bidi w:val="1"/>
        <w:spacing w:line="312" w:lineRule="auto" w:before="0" w:after="40"/>
        <w:jc w:val="right"/>
      </w:pPr>
    </w:p>
    <w:p>
      <w:r>
        <w:br w:type="page"/>
      </w:r>
    </w:p>
    <w:p>
      <w:pPr>
        <w:shd w:val="clear" w:color="auto" w:fill="123a52"/>
        <w:pBdr>
          <w:top w:val="single" w:sz="2" w:space="6" w:color="123a52"/>
          <w:bottom w:val="single" w:sz="2" w:space="6" w:color="123a52"/>
          <w:left w:val="single" w:sz="2" w:space="6" w:color="123a52"/>
          <w:right w:val="single" w:sz="2" w:space="6" w:color="123a52"/>
        </w:pBdr>
        <w:bidi w:val="1"/>
        <w:spacing w:line="312" w:lineRule="auto" w:before="0" w:after="160"/>
        <w:ind w:right="57" w:left="57"/>
        <w:jc w:val="right"/>
      </w:pPr>
      <w:r>
        <w:rPr>
          <w:rFonts w:ascii="Times New Roman" w:hAnsi="Times New Roman" w:cs="B Nazanin"/>
          <w:sz w:val="24"/>
          <w:szCs w:val="30"/>
          <w:rtl w:val="1"/>
          <w:b/>
          <w:bCs/>
          <w:color w:val="ffffff"/>
        </w:rPr>
        <w:t>منبعِ ۵: داموآ و همکاران (۲۰۲۶)</w:t>
      </w:r>
    </w:p>
    <w:p>
      <w:pPr>
        <w:shd w:val="clear" w:color="auto" w:fill="eaf1f6"/>
        <w:pBdr>
          <w:right w:val="single" w:sz="24" w:space="6" w:color="b08d3f"/>
        </w:pBdr>
        <w:bidi w:val="1"/>
        <w:spacing w:line="312" w:lineRule="auto" w:before="200" w:after="120"/>
        <w:ind w:right="57"/>
        <w:jc w:val="right"/>
      </w:pPr>
      <w:r>
        <w:rPr>
          <w:rFonts w:ascii="Times New Roman" w:hAnsi="Times New Roman" w:cs="B Nazanin"/>
          <w:sz w:val="24"/>
          <w:szCs w:val="26"/>
          <w:rtl w:val="1"/>
          <w:b/>
          <w:bCs/>
          <w:color w:val="123a52"/>
        </w:rPr>
        <w:t>الف) شناسنامهٔ کتاب‌شناختی</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عنوان (فارسی): </w:t>
      </w:r>
      <w:r>
        <w:rPr>
          <w:rFonts w:ascii="Times New Roman" w:hAnsi="Times New Roman" w:cs="B Nazanin"/>
          <w:sz w:val="22"/>
          <w:szCs w:val="24"/>
          <w:rtl w:val="1"/>
        </w:rPr>
        <w:t>بن‌بست در انتروپوسن: معاهداتِ ناکارآمد و کشمکش بر سرِ حکمرانیِ سیّاره‌ای</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عنوانِ اصلی (لاتین): </w:t>
      </w:r>
      <w:r>
        <w:rPr>
          <w:rFonts w:ascii="Times New Roman" w:hAnsi="Times New Roman" w:cs="B Nazanin"/>
          <w:sz w:val="22"/>
          <w:szCs w:val="24"/>
          <w:rtl w:val="1"/>
        </w:rPr>
        <w:t>Stalemate in the Anthropocene: Ineffective Treaties and the Struggle for Planetary Governance</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پدیدآور: </w:t>
      </w:r>
      <w:r>
        <w:rPr>
          <w:rFonts w:ascii="Times New Roman" w:hAnsi="Times New Roman" w:cs="B Nazanin"/>
          <w:sz w:val="22"/>
          <w:szCs w:val="24"/>
          <w:rtl w:val="1"/>
        </w:rPr>
        <w:t>Damoah, B., Keengwe, J. S. &amp; Ofori, E.</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سالِ انتشار: </w:t>
      </w:r>
      <w:r>
        <w:rPr>
          <w:rFonts w:ascii="Times New Roman" w:hAnsi="Times New Roman" w:cs="B Nazanin"/>
          <w:sz w:val="22"/>
          <w:szCs w:val="24"/>
          <w:rtl w:val="1"/>
        </w:rPr>
        <w:t>۲۰۲۶</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محلِ انتشار: </w:t>
      </w:r>
      <w:r>
        <w:rPr>
          <w:rFonts w:ascii="Times New Roman" w:hAnsi="Times New Roman" w:cs="B Nazanin"/>
          <w:sz w:val="22"/>
          <w:szCs w:val="24"/>
          <w:rtl w:val="1"/>
        </w:rPr>
        <w:t>Preprints.org (پیش‌چاپ — داوری‌نشده / non-peer-reviewed preprint)</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پایگاه: </w:t>
      </w:r>
      <w:r>
        <w:rPr>
          <w:rFonts w:ascii="Times New Roman" w:hAnsi="Times New Roman" w:cs="B Nazanin"/>
          <w:sz w:val="22"/>
          <w:szCs w:val="24"/>
          <w:rtl w:val="1"/>
        </w:rPr>
        <w:t>Preprints.org</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DOI: </w:t>
      </w:r>
      <w:r>
        <w:rPr>
          <w:rFonts w:ascii="Times New Roman" w:hAnsi="Times New Roman" w:cs="B Nazanin"/>
          <w:sz w:val="22"/>
          <w:szCs w:val="24"/>
          <w:rtl w:val="1"/>
        </w:rPr>
        <w:t>10.20944/preprints202603.2371.v1</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درجهٔ ارتباط با رساله: </w:t>
      </w:r>
      <w:r>
        <w:rPr>
          <w:rFonts w:ascii="Times New Roman" w:hAnsi="Times New Roman" w:cs="B Nazanin"/>
          <w:sz w:val="22"/>
          <w:szCs w:val="24"/>
          <w:rtl w:val="1"/>
        </w:rPr>
        <w:t>۸۴ از ۱۰۰</w:t>
      </w:r>
    </w:p>
    <w:p>
      <w:pPr>
        <w:shd w:val="clear" w:color="auto" w:fill="fbeceb"/>
        <w:pBdr>
          <w:right w:val="single" w:sz="18" w:space="6" w:color="b03a2e"/>
        </w:pBdr>
        <w:bidi w:val="1"/>
        <w:spacing w:line="312" w:lineRule="auto" w:before="0" w:after="80"/>
        <w:ind w:right="170" w:left="170"/>
        <w:jc w:val="both"/>
      </w:pPr>
      <w:r>
        <w:rPr>
          <w:rFonts w:ascii="Times New Roman" w:hAnsi="Times New Roman" w:cs="B Nazanin"/>
          <w:sz w:val="22"/>
          <w:szCs w:val="26"/>
          <w:rtl w:val="1"/>
          <w:b/>
          <w:bCs/>
          <w:color w:val="b03a2e"/>
        </w:rPr>
        <w:t xml:space="preserve">⚠ هشدارِ اعتبار: </w:t>
      </w:r>
      <w:r>
        <w:rPr>
          <w:rFonts w:ascii="Times New Roman" w:hAnsi="Times New Roman" w:cs="B Nazanin"/>
          <w:sz w:val="22"/>
          <w:szCs w:val="26"/>
          <w:rtl w:val="1"/>
        </w:rPr>
        <w:t>این منبع پیش‌چاپِ داوری‌نشده (non-peer-reviewed preprint) است و با احتیاط و در کنارِ منابعِ داوری‌شده استناد شده است.</w:t>
      </w:r>
    </w:p>
    <w:p>
      <w:pPr>
        <w:shd w:val="clear" w:color="auto" w:fill="eaf1f6"/>
        <w:pBdr>
          <w:right w:val="single" w:sz="24" w:space="6" w:color="b08d3f"/>
        </w:pBdr>
        <w:bidi w:val="1"/>
        <w:spacing w:line="312" w:lineRule="auto" w:before="200" w:after="120"/>
        <w:ind w:right="57"/>
        <w:jc w:val="right"/>
      </w:pPr>
      <w:r>
        <w:rPr>
          <w:rFonts w:ascii="Times New Roman" w:hAnsi="Times New Roman" w:cs="B Nazanin"/>
          <w:sz w:val="24"/>
          <w:szCs w:val="26"/>
          <w:rtl w:val="1"/>
          <w:b/>
          <w:bCs/>
          <w:color w:val="123a52"/>
        </w:rPr>
        <w:t>ب) دایجستِ کامل و نکاتِ استخراج‌شده</w:t>
      </w:r>
    </w:p>
    <w:p>
      <w:pPr>
        <w:bidi w:val="1"/>
        <w:spacing w:line="312" w:lineRule="auto" w:before="0" w:after="120"/>
        <w:ind w:firstLine="340"/>
        <w:jc w:val="both"/>
      </w:pPr>
      <w:r>
        <w:rPr>
          <w:rFonts w:ascii="Times New Roman" w:hAnsi="Times New Roman" w:cs="B Nazanin"/>
          <w:sz w:val="22"/>
          <w:szCs w:val="28"/>
          <w:rtl w:val="1"/>
        </w:rPr>
        <w:t>در عصرِ انتروپوسن، معاهداتِ محیط‌زیستی به‌سببِ ساختارِ بخشی، ضعفِ اجرا و وابستگی به اجماع در «بن‌بست» گرفتار شده‌اند؛ حکمرانیِ سیّارهٔ زمین نیازمندِ بازاندیشیِ بنیادین در سازوکارهای الزام‌آورسازی و نظارت است.</w:t>
      </w:r>
    </w:p>
    <w:p>
      <w:pPr>
        <w:bidi w:val="1"/>
        <w:spacing w:line="312" w:lineRule="auto" w:before="0" w:after="60"/>
        <w:jc w:val="right"/>
      </w:pPr>
      <w:r>
        <w:rPr>
          <w:rFonts w:ascii="Times New Roman" w:hAnsi="Times New Roman" w:cs="B Nazanin"/>
          <w:sz w:val="22"/>
          <w:szCs w:val="26"/>
          <w:rtl w:val="1"/>
          <w:b/>
          <w:bCs/>
          <w:color w:val="123a52"/>
        </w:rPr>
        <w:t>نکاتِ کلیدیِ استخراج‌شده:</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در عصرِ انتروپوسن، معاهداتِ محیط‌زیستی به‌سببِ ساختارِ بخشی، ضعفِ اجرا و وابستگی به اجماع در «بن‌بست» گرفتار شده‌اند.</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حکمرانیِ سیّارهٔ زمین نیازمندِ بازاندیشیِ بنیادین در سازوکارهای الزام‌آورسازی و نظارت است.</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تبیینِ روشنِ چراییِ ناکارآمدیِ معاهداتِ پرشمار و پراکنده.</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الگوی نتیجه‌گیریِ اجرا-محور: سنتز ← دلالت‌های سیاستی ← پیشنهادِ پژوهشِ آینده.</w:t>
      </w:r>
    </w:p>
    <w:p>
      <w:pPr>
        <w:bidi w:val="1"/>
        <w:spacing w:line="312" w:lineRule="auto" w:before="0" w:after="60"/>
        <w:jc w:val="right"/>
      </w:pPr>
      <w:r>
        <w:rPr>
          <w:rFonts w:ascii="Times New Roman" w:hAnsi="Times New Roman" w:cs="B Nazanin"/>
          <w:sz w:val="22"/>
          <w:szCs w:val="24"/>
          <w:rtl w:val="1"/>
          <w:b/>
          <w:bCs/>
          <w:color w:val="1e6b3a"/>
        </w:rPr>
        <w:t xml:space="preserve">نقطهٔ قوت: </w:t>
      </w:r>
      <w:r>
        <w:rPr>
          <w:rFonts w:ascii="Times New Roman" w:hAnsi="Times New Roman" w:cs="B Nazanin"/>
          <w:sz w:val="22"/>
          <w:szCs w:val="24"/>
          <w:rtl w:val="1"/>
        </w:rPr>
        <w:t>تبیینِ روشنِ چرایی ناکارآمدیِ معاهداتِ پرشمار و پراکنده؛ به‌کارِ تحلیلِ «چرا ابزارِ معاهدهٔ فراگیرِ واحد با سرشتِ نظامِ حقوق بین‌الملل محیط زیست ناسازگار است» می‌آید (فصل۴ و فصل۵).</w:t>
      </w:r>
    </w:p>
    <w:p>
      <w:pPr>
        <w:bidi w:val="1"/>
        <w:spacing w:line="312" w:lineRule="auto" w:before="0" w:after="60"/>
        <w:jc w:val="right"/>
      </w:pPr>
      <w:r>
        <w:rPr>
          <w:rFonts w:ascii="Times New Roman" w:hAnsi="Times New Roman" w:cs="B Nazanin"/>
          <w:sz w:val="22"/>
          <w:szCs w:val="24"/>
          <w:rtl w:val="1"/>
          <w:b/>
          <w:bCs/>
          <w:color w:val="b03a2e"/>
        </w:rPr>
        <w:t xml:space="preserve">نقطهٔ ضعف/ملاحظه: </w:t>
      </w:r>
      <w:r>
        <w:rPr>
          <w:rFonts w:ascii="Times New Roman" w:hAnsi="Times New Roman" w:cs="B Nazanin"/>
          <w:sz w:val="22"/>
          <w:szCs w:val="24"/>
          <w:rtl w:val="1"/>
        </w:rPr>
        <w:t>⚠️ پیش‌چاپِ داوری‌نشده (Preprints.org)؛ باید با احتیاط و در کنارِ منابعِ داوری‌شده استناد شود و اعتبارِ آن به‌صراحت در متن قید گردد.</w:t>
      </w:r>
    </w:p>
    <w:p>
      <w:pPr>
        <w:shd w:val="clear" w:color="auto" w:fill="eaf1f6"/>
        <w:pBdr>
          <w:right w:val="single" w:sz="24" w:space="6" w:color="b08d3f"/>
        </w:pBdr>
        <w:bidi w:val="1"/>
        <w:spacing w:line="312" w:lineRule="auto" w:before="200" w:after="120"/>
        <w:ind w:right="57"/>
        <w:jc w:val="right"/>
      </w:pPr>
      <w:r>
        <w:rPr>
          <w:rFonts w:ascii="Times New Roman" w:hAnsi="Times New Roman" w:cs="B Nazanin"/>
          <w:sz w:val="24"/>
          <w:szCs w:val="26"/>
          <w:rtl w:val="1"/>
          <w:b/>
          <w:bCs/>
          <w:color w:val="123a52"/>
        </w:rPr>
        <w:t>ج) کجا و چگونه در پژوهش به‌کار رفت</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فصولِ کاربرد: </w:t>
      </w:r>
      <w:r>
        <w:rPr>
          <w:rFonts w:ascii="Times New Roman" w:hAnsi="Times New Roman" w:cs="B Nazanin"/>
          <w:sz w:val="22"/>
          <w:szCs w:val="24"/>
          <w:rtl w:val="1"/>
        </w:rPr>
        <w:t>فصل۲، فصل۴، فصل۵</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پرسش‌های مرتبط: </w:t>
      </w:r>
      <w:r>
        <w:rPr>
          <w:rFonts w:ascii="Times New Roman" w:hAnsi="Times New Roman" w:cs="B Nazanin"/>
          <w:sz w:val="22"/>
          <w:szCs w:val="24"/>
          <w:rtl w:val="1"/>
        </w:rPr>
        <w:t>اصلی، فرعی۲</w:t>
      </w:r>
    </w:p>
    <w:p>
      <w:pPr>
        <w:bidi w:val="1"/>
        <w:spacing w:line="312" w:lineRule="auto" w:before="0" w:after="120"/>
        <w:ind w:firstLine="340"/>
        <w:jc w:val="both"/>
      </w:pPr>
      <w:r>
        <w:rPr>
          <w:rFonts w:ascii="Times New Roman" w:hAnsi="Times New Roman" w:cs="B Nazanin"/>
          <w:sz w:val="22"/>
          <w:szCs w:val="28"/>
          <w:rtl w:val="1"/>
        </w:rPr>
        <w:t>این اثر در فصلِ دوم (زمینهٔ انتروپوسن)، فصلِ چهارم و پنجم (چراییِ ناکارآمدیِ معاهدات و دلالت‌های سیاستی) به‌کار رفت و به پرسشِ اصلی و پرسشِ فرعیِ دوم مربوط می‌شود. با توجه به ماهیتِ آن، همواره در کنارِ منابعِ داوری‌شده استناد شده است.</w:t>
      </w:r>
    </w:p>
    <w:p>
      <w:pPr>
        <w:shd w:val="clear" w:color="auto" w:fill="eaf1f6"/>
        <w:pBdr>
          <w:right w:val="single" w:sz="24" w:space="6" w:color="b08d3f"/>
        </w:pBdr>
        <w:bidi w:val="1"/>
        <w:spacing w:line="312" w:lineRule="auto" w:before="200" w:after="120"/>
        <w:ind w:right="57"/>
        <w:jc w:val="right"/>
      </w:pPr>
      <w:r>
        <w:rPr>
          <w:rFonts w:ascii="Times New Roman" w:hAnsi="Times New Roman" w:cs="B Nazanin"/>
          <w:sz w:val="24"/>
          <w:szCs w:val="26"/>
          <w:rtl w:val="1"/>
          <w:b/>
          <w:bCs/>
          <w:color w:val="123a52"/>
        </w:rPr>
        <w:t>د) سهمِ آن در بهینه‌سازیِ نتیجه‌گیری و سناریو</w:t>
      </w:r>
    </w:p>
    <w:p>
      <w:pPr>
        <w:bidi w:val="1"/>
        <w:spacing w:line="312" w:lineRule="auto" w:before="0" w:after="120"/>
        <w:ind w:firstLine="340"/>
        <w:jc w:val="both"/>
      </w:pPr>
      <w:r>
        <w:rPr>
          <w:rFonts w:ascii="Times New Roman" w:hAnsi="Times New Roman" w:cs="B Nazanin"/>
          <w:sz w:val="22"/>
          <w:szCs w:val="28"/>
          <w:rtl w:val="1"/>
        </w:rPr>
        <w:t>ساختارِ «دلالت‌های سیاستی + پیشنهادِ پژوهشِ آینده» در نتیجه‌گیری از این اثر گرفته شد و تشخیصِ «ضعفِ اجرا و پایبندی» به‌مثابه ریشهٔ بن‌بست، مبنای ستونِ سومِ نقشهٔ راه (بازنگریِ ادواریِ زیست‌محیطی به الگوی UPR) شد. با این‌همه، به‌سببِ داوری‌نشده‌بودن، وزنِ استنادیِ آن تعمداً محدود و همواره در کنارِ تیلر (داوری‌شده) به‌کار رفت.</w:t>
      </w:r>
    </w:p>
    <w:p>
      <w:pPr>
        <w:bidi w:val="1"/>
        <w:spacing w:line="312" w:lineRule="auto" w:before="0" w:after="60"/>
        <w:jc w:val="right"/>
      </w:pPr>
      <w:r>
        <w:rPr>
          <w:rFonts w:ascii="Times New Roman" w:hAnsi="Times New Roman" w:cs="B Nazanin"/>
          <w:sz w:val="22"/>
          <w:szCs w:val="24"/>
          <w:rtl w:val="1"/>
          <w:b/>
          <w:bCs/>
          <w:color w:val="5a4a8a"/>
        </w:rPr>
        <w:t xml:space="preserve">یادداشتِ استناد: </w:t>
      </w:r>
      <w:r>
        <w:rPr>
          <w:rFonts w:ascii="Times New Roman" w:hAnsi="Times New Roman" w:cs="B Nazanin"/>
          <w:sz w:val="22"/>
          <w:szCs w:val="24"/>
          <w:rtl w:val="1"/>
        </w:rPr>
        <w:t>استناد در فصل۲ (انتروپوسن) و فصل۴/۵ (چراییِ ناکارآمدیِ معاهدات) — همراه با تصریحِ داوری‌نشده‌بودنِ منبع. مجوز CC BY.</w:t>
      </w:r>
    </w:p>
    <w:p>
      <w:pPr>
        <w:pBdr>
          <w:bottom w:val="single" w:sz="6" w:space="1" w:color="b08d3f"/>
        </w:pBdr>
        <w:bidi w:val="1"/>
        <w:spacing w:line="312" w:lineRule="auto" w:before="0" w:after="40"/>
        <w:jc w:val="right"/>
      </w:pPr>
    </w:p>
    <w:p>
      <w:r>
        <w:br w:type="page"/>
      </w:r>
    </w:p>
    <w:p>
      <w:pPr>
        <w:shd w:val="clear" w:color="auto" w:fill="123a52"/>
        <w:pBdr>
          <w:top w:val="single" w:sz="2" w:space="6" w:color="123a52"/>
          <w:bottom w:val="single" w:sz="2" w:space="6" w:color="123a52"/>
          <w:left w:val="single" w:sz="2" w:space="6" w:color="123a52"/>
          <w:right w:val="single" w:sz="2" w:space="6" w:color="123a52"/>
        </w:pBdr>
        <w:bidi w:val="1"/>
        <w:spacing w:line="312" w:lineRule="auto" w:before="0" w:after="160"/>
        <w:ind w:right="57" w:left="57"/>
        <w:jc w:val="right"/>
      </w:pPr>
      <w:r>
        <w:rPr>
          <w:rFonts w:ascii="Times New Roman" w:hAnsi="Times New Roman" w:cs="B Nazanin"/>
          <w:sz w:val="24"/>
          <w:szCs w:val="30"/>
          <w:rtl w:val="1"/>
          <w:b/>
          <w:bCs/>
          <w:color w:val="ffffff"/>
        </w:rPr>
        <w:t>منبعِ ۶: پیش‌نویسِ پیمان (گروهِ حقوق‌دانان / IUCN) (۲۰۱۷)</w:t>
      </w:r>
    </w:p>
    <w:p>
      <w:pPr>
        <w:shd w:val="clear" w:color="auto" w:fill="eaf1f6"/>
        <w:pBdr>
          <w:right w:val="single" w:sz="24" w:space="6" w:color="b08d3f"/>
        </w:pBdr>
        <w:bidi w:val="1"/>
        <w:spacing w:line="312" w:lineRule="auto" w:before="200" w:after="120"/>
        <w:ind w:right="57"/>
        <w:jc w:val="right"/>
      </w:pPr>
      <w:r>
        <w:rPr>
          <w:rFonts w:ascii="Times New Roman" w:hAnsi="Times New Roman" w:cs="B Nazanin"/>
          <w:sz w:val="24"/>
          <w:szCs w:val="26"/>
          <w:rtl w:val="1"/>
          <w:b/>
          <w:bCs/>
          <w:color w:val="123a52"/>
        </w:rPr>
        <w:t>الف) شناسنامهٔ کتاب‌شناختی</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عنوان (فارسی): </w:t>
      </w:r>
      <w:r>
        <w:rPr>
          <w:rFonts w:ascii="Times New Roman" w:hAnsi="Times New Roman" w:cs="B Nazanin"/>
          <w:sz w:val="22"/>
          <w:szCs w:val="24"/>
          <w:rtl w:val="1"/>
        </w:rPr>
        <w:t>پیش‌نویسِ پیمانِ جهانیِ محیط زیست — ۲۶ ماده</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عنوانِ اصلی (لاتین): </w:t>
      </w:r>
      <w:r>
        <w:rPr>
          <w:rFonts w:ascii="Times New Roman" w:hAnsi="Times New Roman" w:cs="B Nazanin"/>
          <w:sz w:val="22"/>
          <w:szCs w:val="24"/>
          <w:rtl w:val="1"/>
        </w:rPr>
        <w:t>Draft Global Pact for the Environment (Projet de Pacte mondial pour l'environnement) — 26 Articles</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پدیدآور: </w:t>
      </w:r>
      <w:r>
        <w:rPr>
          <w:rFonts w:ascii="Times New Roman" w:hAnsi="Times New Roman" w:cs="B Nazanin"/>
          <w:sz w:val="22"/>
          <w:szCs w:val="24"/>
          <w:rtl w:val="1"/>
        </w:rPr>
        <w:t>Draft Global Pact for the Environment (پیش‌نویسِ گروهِ حقوق‌دانانِ بین‌المللی)</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سالِ انتشار: </w:t>
      </w:r>
      <w:r>
        <w:rPr>
          <w:rFonts w:ascii="Times New Roman" w:hAnsi="Times New Roman" w:cs="B Nazanin"/>
          <w:sz w:val="22"/>
          <w:szCs w:val="24"/>
          <w:rtl w:val="1"/>
        </w:rPr>
        <w:t>۲۰۱۷</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محلِ انتشار: </w:t>
      </w:r>
      <w:r>
        <w:rPr>
          <w:rFonts w:ascii="Times New Roman" w:hAnsi="Times New Roman" w:cs="B Nazanin"/>
          <w:sz w:val="22"/>
          <w:szCs w:val="24"/>
          <w:rtl w:val="1"/>
        </w:rPr>
        <w:t>Le Club des Juristes / IUCN — متنِ رسمیِ پیش‌نویس (Primary Source), 2017</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پایگاه: </w:t>
      </w:r>
      <w:r>
        <w:rPr>
          <w:rFonts w:ascii="Times New Roman" w:hAnsi="Times New Roman" w:cs="B Nazanin"/>
          <w:sz w:val="22"/>
          <w:szCs w:val="24"/>
          <w:rtl w:val="1"/>
        </w:rPr>
        <w:t>Primary Source (IUCN / Le Club des Juristes)</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درجهٔ ارتباط با رساله: </w:t>
      </w:r>
      <w:r>
        <w:rPr>
          <w:rFonts w:ascii="Times New Roman" w:hAnsi="Times New Roman" w:cs="B Nazanin"/>
          <w:sz w:val="22"/>
          <w:szCs w:val="24"/>
          <w:rtl w:val="1"/>
        </w:rPr>
        <w:t>۹۶ از ۱۰۰</w:t>
      </w:r>
    </w:p>
    <w:p>
      <w:pPr>
        <w:shd w:val="clear" w:color="auto" w:fill="eaf1f6"/>
        <w:pBdr>
          <w:right w:val="single" w:sz="24" w:space="6" w:color="b08d3f"/>
        </w:pBdr>
        <w:bidi w:val="1"/>
        <w:spacing w:line="312" w:lineRule="auto" w:before="200" w:after="120"/>
        <w:ind w:right="57"/>
        <w:jc w:val="right"/>
      </w:pPr>
      <w:r>
        <w:rPr>
          <w:rFonts w:ascii="Times New Roman" w:hAnsi="Times New Roman" w:cs="B Nazanin"/>
          <w:sz w:val="24"/>
          <w:szCs w:val="26"/>
          <w:rtl w:val="1"/>
          <w:b/>
          <w:bCs/>
          <w:color w:val="123a52"/>
        </w:rPr>
        <w:t>ب) دایجستِ کامل و نکاتِ استخراج‌شده</w:t>
      </w:r>
    </w:p>
    <w:p>
      <w:pPr>
        <w:bidi w:val="1"/>
        <w:spacing w:line="312" w:lineRule="auto" w:before="0" w:after="120"/>
        <w:ind w:firstLine="340"/>
        <w:jc w:val="both"/>
      </w:pPr>
      <w:r>
        <w:rPr>
          <w:rFonts w:ascii="Times New Roman" w:hAnsi="Times New Roman" w:cs="B Nazanin"/>
          <w:sz w:val="22"/>
          <w:szCs w:val="28"/>
          <w:rtl w:val="1"/>
        </w:rPr>
        <w:t>متنِ اصلیِ پیش‌نویسِ پیمان در ۲۶ ماده که اصولِ بنیادینِ حقوق بین‌الملل محیط زیست (پیشگیری، احتیاط، «آلوده‌ساز می‌پردازد»، عدالتِ بین‌نسلی، عدم‌پس‌رفت، حقِ محیط‌زیستِ سالم و ...) را در یک سندِ چترِ الزام‌آورِ واحد گرد می‌آورد.</w:t>
      </w:r>
    </w:p>
    <w:p>
      <w:pPr>
        <w:bidi w:val="1"/>
        <w:spacing w:line="312" w:lineRule="auto" w:before="0" w:after="60"/>
        <w:jc w:val="right"/>
      </w:pPr>
      <w:r>
        <w:rPr>
          <w:rFonts w:ascii="Times New Roman" w:hAnsi="Times New Roman" w:cs="B Nazanin"/>
          <w:sz w:val="22"/>
          <w:szCs w:val="26"/>
          <w:rtl w:val="1"/>
          <w:b/>
          <w:bCs/>
          <w:color w:val="123a52"/>
        </w:rPr>
        <w:t>نکاتِ کلیدیِ استخراج‌شده:</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متنِ اصلیِ پیش‌نویسِ پیمان در ۲۶ ماده که اصولِ بنیادینِ حقوق بین‌الملل محیط زیست را در یک سندِ چترِ الزام‌آورِ واحد گرد می‌آورد.</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اصولِ کلیدی: پیشگیری، احتیاط، «آلوده‌ساز می‌پردازد»، عدالتِ بین‌نسلی، عدم‌پس‌رفت، و حقِ محیط‌زیستِ سالم.</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هیچ‌گاه به معاهدهٔ لازم‌الاجرا تبدیل نشد و صرفاً به قطعنامهٔ ۷۲/۲۷۷ انجامید.</w:t>
      </w:r>
    </w:p>
    <w:p>
      <w:pPr>
        <w:bidi w:val="1"/>
        <w:spacing w:line="312" w:lineRule="auto" w:before="0" w:after="60"/>
        <w:jc w:val="right"/>
      </w:pPr>
      <w:r>
        <w:rPr>
          <w:rFonts w:ascii="Times New Roman" w:hAnsi="Times New Roman" w:cs="B Nazanin"/>
          <w:sz w:val="22"/>
          <w:szCs w:val="24"/>
          <w:rtl w:val="1"/>
          <w:b/>
          <w:bCs/>
          <w:color w:val="1e6b3a"/>
        </w:rPr>
        <w:t xml:space="preserve">نقطهٔ قوت: </w:t>
      </w:r>
      <w:r>
        <w:rPr>
          <w:rFonts w:ascii="Times New Roman" w:hAnsi="Times New Roman" w:cs="B Nazanin"/>
          <w:sz w:val="22"/>
          <w:szCs w:val="24"/>
          <w:rtl w:val="1"/>
        </w:rPr>
        <w:t>منبعِ دستِ‌اول و متنِ مبنای تحلیل؛ برای مقایسهٔ ماده‌به‌مادهٔ اصولِ پیمان با اصولِ مندرج در MEAها و اعلامیهٔ ریو ضروری است (فصل۳).</w:t>
      </w:r>
    </w:p>
    <w:p>
      <w:pPr>
        <w:bidi w:val="1"/>
        <w:spacing w:line="312" w:lineRule="auto" w:before="0" w:after="60"/>
        <w:jc w:val="right"/>
      </w:pPr>
      <w:r>
        <w:rPr>
          <w:rFonts w:ascii="Times New Roman" w:hAnsi="Times New Roman" w:cs="B Nazanin"/>
          <w:sz w:val="22"/>
          <w:szCs w:val="24"/>
          <w:rtl w:val="1"/>
          <w:b/>
          <w:bCs/>
          <w:color w:val="b03a2e"/>
        </w:rPr>
        <w:t xml:space="preserve">نقطهٔ ضعف/ملاحظه: </w:t>
      </w:r>
      <w:r>
        <w:rPr>
          <w:rFonts w:ascii="Times New Roman" w:hAnsi="Times New Roman" w:cs="B Nazanin"/>
          <w:sz w:val="22"/>
          <w:szCs w:val="24"/>
          <w:rtl w:val="1"/>
        </w:rPr>
        <w:t>پیش‌نویسِ غیررسمی (سندِ کاری)؛ هیچ‌گاه به معاهدهٔ لازم‌الاجرا تبدیل نشد و صرفاً به قطعنامهٔ ۷۲/۲۷۷ انجامید.</w:t>
      </w:r>
    </w:p>
    <w:p>
      <w:pPr>
        <w:shd w:val="clear" w:color="auto" w:fill="eaf1f6"/>
        <w:pBdr>
          <w:right w:val="single" w:sz="24" w:space="6" w:color="b08d3f"/>
        </w:pBdr>
        <w:bidi w:val="1"/>
        <w:spacing w:line="312" w:lineRule="auto" w:before="200" w:after="120"/>
        <w:ind w:right="57"/>
        <w:jc w:val="right"/>
      </w:pPr>
      <w:r>
        <w:rPr>
          <w:rFonts w:ascii="Times New Roman" w:hAnsi="Times New Roman" w:cs="B Nazanin"/>
          <w:sz w:val="24"/>
          <w:szCs w:val="26"/>
          <w:rtl w:val="1"/>
          <w:b/>
          <w:bCs/>
          <w:color w:val="123a52"/>
        </w:rPr>
        <w:t>ج) کجا و چگونه در پژوهش به‌کار رفت</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فصولِ کاربرد: </w:t>
      </w:r>
      <w:r>
        <w:rPr>
          <w:rFonts w:ascii="Times New Roman" w:hAnsi="Times New Roman" w:cs="B Nazanin"/>
          <w:sz w:val="22"/>
          <w:szCs w:val="24"/>
          <w:rtl w:val="1"/>
        </w:rPr>
        <w:t>فصل۳، فصل۴</w:t>
      </w:r>
    </w:p>
    <w:p>
      <w:pPr>
        <w:shd w:val="clear" w:color="auto" w:fill="f5f8fb"/>
        <w:bidi w:val="1"/>
        <w:spacing w:line="312" w:lineRule="auto" w:before="0" w:after="20"/>
        <w:ind w:right="170" w:left="170"/>
        <w:jc w:val="right"/>
      </w:pPr>
      <w:r>
        <w:rPr>
          <w:rFonts w:ascii="Times New Roman" w:hAnsi="Times New Roman" w:cs="B Nazanin"/>
          <w:sz w:val="22"/>
          <w:szCs w:val="24"/>
          <w:rtl w:val="1"/>
          <w:b/>
          <w:bCs/>
          <w:color w:val="14203a"/>
        </w:rPr>
        <w:t xml:space="preserve">پرسش‌های مرتبط: </w:t>
      </w:r>
      <w:r>
        <w:rPr>
          <w:rFonts w:ascii="Times New Roman" w:hAnsi="Times New Roman" w:cs="B Nazanin"/>
          <w:sz w:val="22"/>
          <w:szCs w:val="24"/>
          <w:rtl w:val="1"/>
        </w:rPr>
        <w:t>اصلی، فرعی۱</w:t>
      </w:r>
    </w:p>
    <w:p>
      <w:pPr>
        <w:bidi w:val="1"/>
        <w:spacing w:line="312" w:lineRule="auto" w:before="0" w:after="120"/>
        <w:ind w:firstLine="340"/>
        <w:jc w:val="both"/>
      </w:pPr>
      <w:r>
        <w:rPr>
          <w:rFonts w:ascii="Times New Roman" w:hAnsi="Times New Roman" w:cs="B Nazanin"/>
          <w:sz w:val="22"/>
          <w:szCs w:val="28"/>
          <w:rtl w:val="1"/>
        </w:rPr>
        <w:t>متنِ رسمیِ پیش‌نویس (۲۰۱۷، گروهِ حقوق‌دانان / IUCN) منبعِ دستِ‌اولِ تحلیلِ محتواییِ اصولِ پیمان در فصلِ سوم بود و برای مقایسهٔ ماده‌به‌مادهٔ اصولِ پیمان با اصولِ مندرج در MEAها و اعلامیهٔ ریو در فصلِ چهارم به‌کار رفت. (این سند جزوِ فایل‌های اصلیِ آپلودی نیست، اما به‌عنوانِ متنِ مبنا در تحلیل حضور دارد.)</w:t>
      </w:r>
    </w:p>
    <w:p>
      <w:pPr>
        <w:shd w:val="clear" w:color="auto" w:fill="eaf1f6"/>
        <w:pBdr>
          <w:right w:val="single" w:sz="24" w:space="6" w:color="b08d3f"/>
        </w:pBdr>
        <w:bidi w:val="1"/>
        <w:spacing w:line="312" w:lineRule="auto" w:before="200" w:after="120"/>
        <w:ind w:right="57"/>
        <w:jc w:val="right"/>
      </w:pPr>
      <w:r>
        <w:rPr>
          <w:rFonts w:ascii="Times New Roman" w:hAnsi="Times New Roman" w:cs="B Nazanin"/>
          <w:sz w:val="24"/>
          <w:szCs w:val="26"/>
          <w:rtl w:val="1"/>
          <w:b/>
          <w:bCs/>
          <w:color w:val="123a52"/>
        </w:rPr>
        <w:t>د) سهمِ آن در بهینه‌سازیِ نتیجه‌گیری و سناریو</w:t>
      </w:r>
    </w:p>
    <w:p>
      <w:pPr>
        <w:bidi w:val="1"/>
        <w:spacing w:line="312" w:lineRule="auto" w:before="0" w:after="120"/>
        <w:ind w:firstLine="340"/>
        <w:jc w:val="both"/>
      </w:pPr>
      <w:r>
        <w:rPr>
          <w:rFonts w:ascii="Times New Roman" w:hAnsi="Times New Roman" w:cs="B Nazanin"/>
          <w:sz w:val="22"/>
          <w:szCs w:val="28"/>
          <w:rtl w:val="1"/>
        </w:rPr>
        <w:t>دسترسی به متنِ دقیقِ ۲۶ ماده اجازه داد نتیجه‌گیری به‌جای احکامِ کلی، بر تحلیلِ مشخصِ محتوای هر اصل استوار شود؛ و همین امکانِ سنجشِ واقع‌بینانهٔ «ارزش‌افزوده در برابرِ خطرِ تضعیفِ رژیم‌های موجود» را فراهم کرد.</w:t>
      </w:r>
    </w:p>
    <w:p>
      <w:pPr>
        <w:bidi w:val="1"/>
        <w:spacing w:line="312" w:lineRule="auto" w:before="0" w:after="60"/>
        <w:jc w:val="right"/>
      </w:pPr>
      <w:r>
        <w:rPr>
          <w:rFonts w:ascii="Times New Roman" w:hAnsi="Times New Roman" w:cs="B Nazanin"/>
          <w:sz w:val="22"/>
          <w:szCs w:val="24"/>
          <w:rtl w:val="1"/>
          <w:b/>
          <w:bCs/>
          <w:color w:val="5a4a8a"/>
        </w:rPr>
        <w:t xml:space="preserve">یادداشتِ استناد: </w:t>
      </w:r>
      <w:r>
        <w:rPr>
          <w:rFonts w:ascii="Times New Roman" w:hAnsi="Times New Roman" w:cs="B Nazanin"/>
          <w:sz w:val="22"/>
          <w:szCs w:val="24"/>
          <w:rtl w:val="1"/>
        </w:rPr>
        <w:t>متنِ مبنای تحلیلِ محتواییِ اصولِ پیمان (فصل۳) و سنجشِ نسبتِ آن با MEAهای موجود (فصل۴).</w:t>
      </w:r>
    </w:p>
    <w:p>
      <w:pPr>
        <w:pBdr>
          <w:bottom w:val="single" w:sz="6" w:space="1" w:color="b08d3f"/>
        </w:pBdr>
        <w:bidi w:val="1"/>
        <w:spacing w:line="312" w:lineRule="auto" w:before="0" w:after="40"/>
        <w:jc w:val="right"/>
      </w:pPr>
    </w:p>
    <w:p>
      <w:r>
        <w:br w:type="page"/>
      </w:r>
    </w:p>
    <w:p>
      <w:pPr>
        <w:shd w:val="clear" w:color="auto" w:fill="123a52"/>
        <w:pBdr>
          <w:top w:val="single" w:sz="2" w:space="6" w:color="123a52"/>
          <w:bottom w:val="single" w:sz="2" w:space="6" w:color="123a52"/>
          <w:left w:val="single" w:sz="2" w:space="6" w:color="123a52"/>
          <w:right w:val="single" w:sz="2" w:space="6" w:color="123a52"/>
        </w:pBdr>
        <w:bidi w:val="1"/>
        <w:spacing w:line="312" w:lineRule="auto" w:before="0" w:after="160"/>
        <w:ind w:right="57" w:left="57"/>
        <w:jc w:val="right"/>
      </w:pPr>
      <w:r>
        <w:rPr>
          <w:rFonts w:ascii="Times New Roman" w:hAnsi="Times New Roman" w:cs="B Nazanin"/>
          <w:sz w:val="24"/>
          <w:szCs w:val="32"/>
          <w:rtl w:val="1"/>
          <w:b/>
          <w:bCs/>
          <w:color w:val="ffffff"/>
        </w:rPr>
        <w:t>جمع‌بندی: چگونه این منابع نتیجه‌گیریِ سناریوی ما را بهینه کردند</w:t>
      </w:r>
    </w:p>
    <w:p>
      <w:pPr>
        <w:bidi w:val="1"/>
        <w:spacing w:line="312" w:lineRule="auto" w:before="0" w:after="120"/>
        <w:ind w:firstLine="340"/>
        <w:jc w:val="both"/>
      </w:pPr>
      <w:r>
        <w:rPr>
          <w:rFonts w:ascii="Times New Roman" w:hAnsi="Times New Roman" w:cs="B Nazanin"/>
          <w:sz w:val="22"/>
          <w:szCs w:val="28"/>
          <w:rtl w:val="1"/>
        </w:rPr>
        <w:t>جمع‌بندیِ روش‌شناختی: نتیجه‌گیریِ رساله آگاهانه بر تلفیقِ سه الگوی شاخصِ هم‌موضوع بنا شده است. از تیگره (۲۰۲۲) سبکِ «استنادِ متراکمِ درون‌متنی» و ساختارِ «سنتز ← گزینه‌ها»؛ از داموآ و همکاران (۲۰۲۶، با احتیاطِ داوری‌نشده) ساختارِ «دلالت‌های سیاستی + پیشنهادِ پژوهشِ آینده»؛ و از تیلر (۲۰۱۸) منطقِ «داوریِ متعادل و مشروط». بر بسترِ سندِ پراکندگیِ کمیسیون حقوق بین‌الملل (۲۰۰۶) به‌مثابهٔ چارچوبِ نظری، این سه الگو با افزودنِ لایهٔ آینده‌پژوهی (سناریو + نقشهٔ راه) در هم آمیخته‌اند. همهٔ گزاره‌های نتیجه‌گیری یا به منبعِ معتبر یا به تحلیلِ فصولِ پیشین مستند شده‌اند.</w:t>
      </w:r>
    </w:p>
    <w:p>
      <w:pPr>
        <w:bidi w:val="1"/>
        <w:spacing w:line="312" w:lineRule="auto" w:before="0" w:after="120"/>
        <w:ind w:firstLine="340"/>
        <w:jc w:val="both"/>
      </w:pPr>
      <w:r>
        <w:rPr>
          <w:rFonts w:ascii="Times New Roman" w:hAnsi="Times New Roman" w:cs="B Nazanin"/>
          <w:sz w:val="22"/>
          <w:szCs w:val="28"/>
          <w:rtl w:val="1"/>
        </w:rPr>
        <w:t>چگونه این منابع سناریوی ما را بهینه کردند؟ سناریوی اولیهٔ نگارنده پنج خلأ داشت که این منابع در رفعِ آن‌ها نقشِ مستقیم داشتند: (۱) تنشِ زمانیِ پرسشِ اصلی (فعلِ «خواهد داشت» در برابرِ واقعیتِ شکستِ ۲۰۲۲) با کمکِ چارچوبِ دوگانهٔ چاباسون و اِژه بازقاب‌بندی شد به «تأثیر بالقوه + تحلیلِ خلافِ‌واقع + نقشهٔ راه»؛ (۲) تحلیلِ تطبیقیِ شکست‌ها با اتکا به یادداشتِ IDDRI از حدِ اشاره به یک گفتارِ مستقل ارتقا یافت؛ (۳) سازوکارِ حقوقیِ اثرِ پیمان بر MEAها با تکیه بر سند کمیسیون حقوق بین‌الملل و مادهٔ ۳۱(۳)(ج) وین از توصیف به تحلیلِ هنجاری عمق گرفت؛ (۴) راهکارِ جایگزینِ سازنده (نقشهٔ راهِ تدریجیِ گذارِ اصول از حقوق نرم به سند چتر) با الهام از رویکردِ حق‌محورِ تیگره پررنگ شد؛ و (۵) پیوندِ صریح با قطعنامهٔ حق بر محیط‌زیستِ سالم (۷۶/۳۰۰) به‌مثابهٔ میراثِ زندهٔ ابتکار افزوده شد.</w:t>
      </w:r>
    </w:p>
    <w:p>
      <w:pPr>
        <w:bidi w:val="1"/>
        <w:spacing w:line="312" w:lineRule="auto" w:before="0" w:after="120"/>
        <w:ind w:firstLine="340"/>
        <w:jc w:val="both"/>
      </w:pPr>
      <w:r>
        <w:rPr>
          <w:rFonts w:ascii="Times New Roman" w:hAnsi="Times New Roman" w:cs="B Nazanin"/>
          <w:sz w:val="22"/>
          <w:szCs w:val="28"/>
          <w:rtl w:val="1"/>
        </w:rPr>
        <w:t>نتیجهٔ نهایی: تلفیقِ این منابع به نتیجه‌گیریِ رساله اجازه داد از «روایتِ شکست» به «تحلیلِ دستاوردهای پنهانِ فرایند» گذر کند و به گزارهٔ متوازن و مستندِ زیر برسد: هدفِ انسجام‌بخشیِ اصول از رهگذرِ یک سندِ چتر مطلوب بود، اما ابزارِ «معاهدهٔ واحدِ اجماع‌محور» با سرشتِ واکنشی، بخشی و چندپارهٔ حقوق بین‌الملل محیط زیست ناسازگار است؛ ازاین‌رو مسیرِ واقع‌بینانه، گذارِ تدریجیِ اصول از حقوق نرم به الزامِ سخت، همراه با تقویتِ تفسیرِ هماهنگ میانِ رژیم‌ها، است.</w:t>
      </w:r>
    </w:p>
    <w:p/>
    <w:p>
      <w:pPr>
        <w:shd w:val="clear" w:color="auto" w:fill="123a52"/>
        <w:pBdr>
          <w:top w:val="single" w:sz="2" w:space="6" w:color="123a52"/>
          <w:bottom w:val="single" w:sz="2" w:space="6" w:color="123a52"/>
          <w:left w:val="single" w:sz="2" w:space="6" w:color="123a52"/>
          <w:right w:val="single" w:sz="2" w:space="6" w:color="123a52"/>
        </w:pBdr>
        <w:bidi w:val="1"/>
        <w:spacing w:line="312" w:lineRule="auto" w:before="280" w:after="160"/>
        <w:ind w:right="57" w:left="57"/>
        <w:jc w:val="right"/>
      </w:pPr>
      <w:r>
        <w:rPr>
          <w:rFonts w:ascii="Times New Roman" w:hAnsi="Times New Roman" w:cs="B Nazanin"/>
          <w:sz w:val="24"/>
          <w:szCs w:val="32"/>
          <w:rtl w:val="1"/>
          <w:b/>
          <w:bCs/>
          <w:color w:val="ffffff"/>
        </w:rPr>
        <w:t>ارتقاهای عملیِ اعمال‌شده بر نتیجه‌گیری در پیِ این هضم</w:t>
      </w:r>
    </w:p>
    <w:p>
      <w:pPr>
        <w:bidi w:val="1"/>
        <w:spacing w:line="312" w:lineRule="auto" w:before="0" w:after="120"/>
        <w:ind w:firstLine="340"/>
        <w:jc w:val="both"/>
      </w:pPr>
      <w:r>
        <w:rPr>
          <w:rFonts w:ascii="Times New Roman" w:hAnsi="Times New Roman" w:cs="B Nazanin"/>
          <w:sz w:val="22"/>
          <w:szCs w:val="28"/>
          <w:rtl w:val="1"/>
        </w:rPr>
        <w:t>در پیِ این هضم، به‌طورِ مشخص نتیجه‌گیریِ رساله بازبینی و تقویت شد تا هر پیشنهاد «مرجع‌محور» و همراه با «استدلالِ روشن» باشد. مهم‌ترین ارتقا، بازنویسیِ نقشهٔ راهِ شش‌ستونیِ جایگزین بود: پیش‌تر ستون‌ها فقط نام‌گذاری شده بودند، اما اکنون هر ستون به یک منبعِ معتبرِ مشخص گره خورده و توضیح می‌دهد که به کدام علتِ شکستِ پیمان پاسخ می‌دهد و چرا با سرشتِ حقوق بین‌الملل محیط زیست سازگار است:</w:t>
      </w:r>
    </w:p>
    <w:p>
      <w:pPr>
        <w:bidi w:val="1"/>
        <w:spacing w:line="312" w:lineRule="auto" w:before="0" w:after="80"/>
        <w:ind w:right="340"/>
        <w:jc w:val="both"/>
      </w:pPr>
      <w:r>
        <w:rPr>
          <w:rFonts w:ascii="Times New Roman" w:hAnsi="Times New Roman" w:cs="B Nazanin"/>
          <w:sz w:val="22"/>
          <w:szCs w:val="26"/>
          <w:rtl w:val="1"/>
          <w:b/>
          <w:bCs/>
          <w:color w:val="1e6b3a"/>
        </w:rPr>
        <w:t xml:space="preserve">✔ </w:t>
      </w:r>
      <w:r>
        <w:rPr>
          <w:rFonts w:ascii="Times New Roman" w:hAnsi="Times New Roman" w:cs="B Nazanin"/>
          <w:sz w:val="22"/>
          <w:szCs w:val="26"/>
          <w:rtl w:val="1"/>
        </w:rPr>
        <w:t>ستونِ یکم (توسعهٔ رویهٔ قضایی) ← بر تزِ تیگره (۲۰۲۲) و نظرِ مشورتیِ دیوان بین‌المللی دادگستری (۲۰۲۵) استوار شد؛ پاسخ به علتِ «اجماع‌گریزی».</w:t>
      </w:r>
    </w:p>
    <w:p>
      <w:pPr>
        <w:bidi w:val="1"/>
        <w:spacing w:line="312" w:lineRule="auto" w:before="0" w:after="80"/>
        <w:ind w:right="340"/>
        <w:jc w:val="both"/>
      </w:pPr>
      <w:r>
        <w:rPr>
          <w:rFonts w:ascii="Times New Roman" w:hAnsi="Times New Roman" w:cs="B Nazanin"/>
          <w:sz w:val="22"/>
          <w:szCs w:val="26"/>
          <w:rtl w:val="1"/>
          <w:b/>
          <w:bCs/>
          <w:color w:val="1e6b3a"/>
        </w:rPr>
        <w:t xml:space="preserve">✔ </w:t>
      </w:r>
      <w:r>
        <w:rPr>
          <w:rFonts w:ascii="Times New Roman" w:hAnsi="Times New Roman" w:cs="B Nazanin"/>
          <w:sz w:val="22"/>
          <w:szCs w:val="26"/>
          <w:rtl w:val="1"/>
        </w:rPr>
        <w:t>ستونِ دوم (تقویتِ نهادیِ یونپ) ← بر تحلیلِ چاباسون و اِژه (۲۰۱۹) از «رقابتِ نهادی» و خلأِ هماهنگیِ کمیسیون حقوق بین‌الملل (۲۰۰۶).</w:t>
      </w:r>
    </w:p>
    <w:p>
      <w:pPr>
        <w:bidi w:val="1"/>
        <w:spacing w:line="312" w:lineRule="auto" w:before="0" w:after="80"/>
        <w:ind w:right="340"/>
        <w:jc w:val="both"/>
      </w:pPr>
      <w:r>
        <w:rPr>
          <w:rFonts w:ascii="Times New Roman" w:hAnsi="Times New Roman" w:cs="B Nazanin"/>
          <w:sz w:val="22"/>
          <w:szCs w:val="26"/>
          <w:rtl w:val="1"/>
          <w:b/>
          <w:bCs/>
          <w:color w:val="1e6b3a"/>
        </w:rPr>
        <w:t xml:space="preserve">✔ </w:t>
      </w:r>
      <w:r>
        <w:rPr>
          <w:rFonts w:ascii="Times New Roman" w:hAnsi="Times New Roman" w:cs="B Nazanin"/>
          <w:sz w:val="22"/>
          <w:szCs w:val="26"/>
          <w:rtl w:val="1"/>
        </w:rPr>
        <w:t>ستونِ سوم (بازنگریِ ادواریِ زیست‌محیطی به الگوی UPR) ← بر تشخیصِ «ضعفِ اجرا» نزدِ تیلر (۲۰۱۸) و داموآ و همکاران (۲۰۲۶، با احتیاط).</w:t>
      </w:r>
    </w:p>
    <w:p>
      <w:pPr>
        <w:bidi w:val="1"/>
        <w:spacing w:line="312" w:lineRule="auto" w:before="0" w:after="80"/>
        <w:ind w:right="340"/>
        <w:jc w:val="both"/>
      </w:pPr>
      <w:r>
        <w:rPr>
          <w:rFonts w:ascii="Times New Roman" w:hAnsi="Times New Roman" w:cs="B Nazanin"/>
          <w:sz w:val="22"/>
          <w:szCs w:val="26"/>
          <w:rtl w:val="1"/>
          <w:b/>
          <w:bCs/>
          <w:color w:val="1e6b3a"/>
        </w:rPr>
        <w:t xml:space="preserve">✔ </w:t>
      </w:r>
      <w:r>
        <w:rPr>
          <w:rFonts w:ascii="Times New Roman" w:hAnsi="Times New Roman" w:cs="B Nazanin"/>
          <w:sz w:val="22"/>
          <w:szCs w:val="26"/>
          <w:rtl w:val="1"/>
        </w:rPr>
        <w:t>ستونِ چهارم (خوشه‌بندی و هم‌افزایی) ← بر هشدارِ تیلر (۲۰۱۸) دربارهٔ خطرِ تضعیفِ رژیم‌های موجود و الگوی بازل-روتردام-استکهلم.</w:t>
      </w:r>
    </w:p>
    <w:p>
      <w:pPr>
        <w:bidi w:val="1"/>
        <w:spacing w:line="312" w:lineRule="auto" w:before="0" w:after="80"/>
        <w:ind w:right="340"/>
        <w:jc w:val="both"/>
      </w:pPr>
      <w:r>
        <w:rPr>
          <w:rFonts w:ascii="Times New Roman" w:hAnsi="Times New Roman" w:cs="B Nazanin"/>
          <w:sz w:val="22"/>
          <w:szCs w:val="26"/>
          <w:rtl w:val="1"/>
          <w:b/>
          <w:bCs/>
          <w:color w:val="1e6b3a"/>
        </w:rPr>
        <w:t xml:space="preserve">✔ </w:t>
      </w:r>
      <w:r>
        <w:rPr>
          <w:rFonts w:ascii="Times New Roman" w:hAnsi="Times New Roman" w:cs="B Nazanin"/>
          <w:sz w:val="22"/>
          <w:szCs w:val="26"/>
          <w:rtl w:val="1"/>
        </w:rPr>
        <w:t>ستونِ پنجم (حقوق نرم) ← بر گزارهٔ چاباسون و اِژه (۲۰۱۹) که بازدهِ واقعیِ فرایند را قطعنامه‌های ۷۲/۲۷۷ و ۷۶/۳۰۰ می‌داند و بر تزِ تیگره.</w:t>
      </w:r>
    </w:p>
    <w:p>
      <w:pPr>
        <w:bidi w:val="1"/>
        <w:spacing w:line="312" w:lineRule="auto" w:before="0" w:after="80"/>
        <w:ind w:right="340"/>
        <w:jc w:val="both"/>
      </w:pPr>
      <w:r>
        <w:rPr>
          <w:rFonts w:ascii="Times New Roman" w:hAnsi="Times New Roman" w:cs="B Nazanin"/>
          <w:sz w:val="22"/>
          <w:szCs w:val="26"/>
          <w:rtl w:val="1"/>
          <w:b/>
          <w:bCs/>
          <w:color w:val="1e6b3a"/>
        </w:rPr>
        <w:t xml:space="preserve">✔ </w:t>
      </w:r>
      <w:r>
        <w:rPr>
          <w:rFonts w:ascii="Times New Roman" w:hAnsi="Times New Roman" w:cs="B Nazanin"/>
          <w:sz w:val="22"/>
          <w:szCs w:val="26"/>
          <w:rtl w:val="1"/>
        </w:rPr>
        <w:t>ستونِ ششم (یکسان‌سازیِ تفسیر با مادهٔ ۳۱(۳)(ج) وین) ← بر سندِ کمیسیون حقوق بین‌الملل (۲۰۰۶) و در پاسخِ مستقیم به تردیدِ تیلر (۲۰۱۸).</w:t>
      </w:r>
    </w:p>
    <w:p>
      <w:pPr>
        <w:bidi w:val="1"/>
        <w:spacing w:line="312" w:lineRule="auto" w:before="0" w:after="120"/>
        <w:ind w:firstLine="340"/>
        <w:jc w:val="both"/>
      </w:pPr>
      <w:r>
        <w:rPr>
          <w:rFonts w:ascii="Times New Roman" w:hAnsi="Times New Roman" w:cs="B Nazanin"/>
          <w:sz w:val="22"/>
          <w:szCs w:val="28"/>
          <w:rtl w:val="1"/>
        </w:rPr>
        <w:t>افزون بر این، بندِ پایانیِ «جمع‌بندیِ یافته‌ها» (۵-۱) با یک گزارهٔ سومِ متوازن تقویت شد — نه «ناکامیِ محض» و نه «کامیابیِ پنهان» — و بندِ «پیشنهادها و نقشهٔ راهِ عملی» (۵-۴) نیز بازنویسی شد تا هر یک از شش پیشنهاد، لنگرِ مرجعیِ خود را به‌همراه داشته باشد. این ارتقاها در نسخهٔ به‌روزِ فایلِ Word و PDF رساله و در بخشِ «نتیجه‌گیری» و «سناریو»ی سایت بازتاب یافته است. سناریوی پنج‌فصلیِ نگارنده حفظ شد و صرفاً همین ارتقاهای هدف‌مند بر آن اعمال گردید؛ نیازی به بازنویسیِ ساختارِ سناریو یا اصلاحِ بدنهٔ رساله فراتر از این نبود.</w:t>
      </w:r>
    </w:p>
    <w:p/>
    <w:p>
      <w:pPr>
        <w:pBdr>
          <w:bottom w:val="single" w:sz="6" w:space="1" w:color="b08d3f"/>
        </w:pBdr>
        <w:bidi w:val="1"/>
        <w:spacing w:line="312" w:lineRule="auto" w:before="0" w:after="40"/>
        <w:jc w:val="right"/>
      </w:pPr>
    </w:p>
    <w:p>
      <w:pPr>
        <w:bidi w:val="1"/>
        <w:spacing w:line="312" w:lineRule="auto" w:before="0" w:after="80"/>
        <w:jc w:val="center"/>
      </w:pPr>
      <w:r>
        <w:rPr>
          <w:rFonts w:ascii="Times New Roman" w:hAnsi="Times New Roman" w:cs="B Nazanin"/>
          <w:sz w:val="24"/>
          <w:szCs w:val="22"/>
          <w:rtl w:val="1"/>
        </w:rPr>
        <w:t>HJR's Agentic Architecture @2026 — Dedicated for Dr. Masoud Ahsannejad</w:t>
      </w:r>
    </w:p>
    <w:sectPr w:rsidR="00FC693F" w:rsidRPr="0006063C" w:rsidSect="00034616">
      <w:pgSz w:w="11906" w:h="16838"/>
      <w:pgMar w:top="1701" w:right="1587" w:bottom="1587" w:left="158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B Nazanin"/>
      <w:sz w:val="28"/>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otnoteText">
    <w:name w:val="FootnoteText"/>
    <w:pPr>
      <w:spacing w:after="0"/>
    </w:pPr>
    <w:rPr>
      <w:rFonts w:ascii="Times New Roman" w:hAnsi="Times New Roman"/>
      <w:sz w:val="22"/>
    </w:rPr>
  </w:style>
  <w:style w:type="character" w:customStyle="1" w:styleId="FootnoteReference">
    <w:name w:val="FootnoteReference"/>
    <w:rPr>
      <w:sz w:val="22"/>
      <w:vertAlign w:val="superscript"/>
    </w:rPr>
  </w:style>
  <w:style w:type="paragraph" w:customStyle="1" w:styleId="GPEHeading1">
    <w:name w:val="GPEHeading1"/>
    <w:basedOn w:val="Normal"/>
    <w:next w:val="Normal"/>
    <w:pPr>
      <w:keepNext/>
      <w:bidi w:val="1"/>
      <w:jc w:val="right"/>
    </w:pPr>
    <w:rPr>
      <w:rtl w:val="1"/>
      <w:b/>
      <w:bCs/>
    </w:rPr>
  </w:style>
  <w:style w:type="paragraph" w:customStyle="1" w:styleId="GPEHeading2">
    <w:name w:val="GPEHeading2"/>
    <w:basedOn w:val="Normal"/>
    <w:next w:val="Normal"/>
    <w:pPr>
      <w:keepNext/>
      <w:bidi w:val="1"/>
      <w:jc w:val="right"/>
    </w:pPr>
    <w:rPr>
      <w:rtl w:val="1"/>
      <w:b/>
      <w:bCs/>
    </w:rPr>
  </w:style>
  <w:style w:type="paragraph" w:customStyle="1" w:styleId="GPEHeading3">
    <w:name w:val="GPEHeading3"/>
    <w:basedOn w:val="Normal"/>
    <w:next w:val="Normal"/>
    <w:pPr>
      <w:keepNext/>
      <w:bidi w:val="1"/>
      <w:jc w:val="right"/>
    </w:pPr>
    <w:rPr>
      <w:rtl w:val="1"/>
      <w:b/>
      <w:bCs/>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