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bidi w:val="1"/>
        <w:spacing w:line="312" w:lineRule="auto" w:before="0" w:after="200"/>
        <w:jc w:val="center"/>
      </w:pPr>
      <w:r>
        <w:rPr>
          <w:rFonts w:ascii="Times New Roman" w:hAnsi="Times New Roman" w:cs="B Nazanin"/>
          <w:sz w:val="24"/>
          <w:szCs w:val="44"/>
          <w:rtl w:val="1"/>
          <w:b/>
          <w:bCs/>
        </w:rPr>
        <w:t>گزارشِ تفصیلیِ تحلیل و هضمِ منابعِ کلیدیِ پژوهش</w:t>
      </w:r>
    </w:p>
    <w:p>
      <w:pPr>
        <w:bidi w:val="1"/>
        <w:spacing w:line="312" w:lineRule="auto" w:before="0" w:after="160"/>
        <w:jc w:val="center"/>
      </w:pPr>
      <w:r>
        <w:rPr>
          <w:rFonts w:ascii="Times New Roman" w:hAnsi="Times New Roman" w:cs="B Nazanin"/>
          <w:sz w:val="24"/>
          <w:szCs w:val="30"/>
          <w:rtl w:val="1"/>
        </w:rPr>
        <w:t>شکل‌گیریِ پیمانِ جهانیِ محیط زیست و تأثیرات آن بر موافقت‌نامه‌های چندجانبهٔ محیط‌زیستی</w:t>
      </w:r>
    </w:p>
    <w:p>
      <w:pPr>
        <w:pBdr>
          <w:bottom w:val="single" w:sz="6" w:space="1" w:color="b08d3f"/>
        </w:pBdr>
        <w:spacing w:after="40"/>
      </w:pPr>
    </w:p>
    <w:p>
      <w:pPr>
        <w:bidi w:val="1"/>
        <w:spacing w:line="312" w:lineRule="auto" w:before="0" w:after="120"/>
        <w:jc w:val="center"/>
      </w:pPr>
      <w:r>
        <w:rPr>
          <w:rFonts w:ascii="Times New Roman" w:hAnsi="Times New Roman" w:cs="B Nazanin"/>
          <w:sz w:val="24"/>
          <w:szCs w:val="26"/>
          <w:rtl w:val="1"/>
        </w:rPr>
        <w:t>سندِ شفافیتِ استناد: از منبع تا نتیجه‌گیری</w:t>
      </w:r>
    </w:p>
    <w:p/>
    <w:p/>
    <w:p/>
    <w:p/>
    <w:p/>
    <w:p/>
    <w:p/>
    <w:p>
      <w:pPr>
        <w:bidi w:val="1"/>
        <w:spacing w:line="312" w:lineRule="auto" w:before="0" w:after="80"/>
        <w:jc w:val="center"/>
      </w:pPr>
      <w:r>
        <w:rPr>
          <w:rFonts w:ascii="Times New Roman" w:hAnsi="Times New Roman" w:cs="B Nazanin"/>
          <w:sz w:val="24"/>
          <w:szCs w:val="24"/>
          <w:rtl w:val="1"/>
        </w:rPr>
        <w:t>تهیه‌شده توسطِ سامانهٔ هوشمندِ پژوهش (Project Brain)</w:t>
      </w:r>
    </w:p>
    <w:p>
      <w:pPr>
        <w:bidi w:val="1"/>
        <w:spacing w:line="312" w:lineRule="auto" w:before="0" w:after="80"/>
        <w:jc w:val="center"/>
      </w:pPr>
      <w:r>
        <w:rPr>
          <w:rFonts w:ascii="Times New Roman" w:hAnsi="Times New Roman" w:cs="B Nazanin"/>
          <w:sz w:val="24"/>
          <w:szCs w:val="22"/>
          <w:rtl w:val="1"/>
        </w:rPr>
        <w:t>HJR's Agentic Architecture @2026 — Dedicated for Dr. Masoud Ahsannejad</w:t>
      </w:r>
    </w:p>
    <w:p>
      <w:r>
        <w:br w:type="page"/>
      </w:r>
    </w:p>
    <w:p>
      <w:pPr>
        <w:pStyle w:val="GPEHeading1"/>
        <w:bidi w:val="1"/>
        <w:spacing w:line="312" w:lineRule="auto" w:before="280" w:after="120"/>
        <w:jc w:val="right"/>
      </w:pPr>
      <w:r>
        <w:rPr>
          <w:rFonts w:ascii="Times New Roman" w:hAnsi="Times New Roman" w:cs="B Nazanin"/>
          <w:sz w:val="24"/>
          <w:szCs w:val="32"/>
          <w:rtl w:val="1"/>
          <w:b/>
          <w:bCs/>
          <w:color w:val="14203a"/>
        </w:rPr>
        <w:t>مقدمه: روشِ هضم و تحلیلِ منابع</w:t>
      </w:r>
    </w:p>
    <w:p>
      <w:pPr>
        <w:bidi w:val="1"/>
        <w:spacing w:line="312" w:lineRule="auto" w:before="0" w:after="120"/>
        <w:ind w:firstLine="340"/>
        <w:jc w:val="both"/>
      </w:pPr>
      <w:r>
        <w:rPr>
          <w:rFonts w:ascii="Times New Roman" w:hAnsi="Times New Roman" w:cs="B Nazanin"/>
          <w:sz w:val="22"/>
          <w:szCs w:val="28"/>
          <w:rtl w:val="1"/>
        </w:rPr>
        <w:t>این گزارش، حاصلِ «هضمِ» تحلیلیِ کاملِ منابعِ کلیدیِ آپلودی در سامانهٔ هوشمندِ پژوهش است. هر منبع به‌صورتِ مستقل واکاوی، نکاتِ راهبردیِ آن استخراج، و جایگاهِ دقیقِ آن در بدنهٔ رساله و در فرایندِ نتیجه‌گیری مشخص شده است. هدفِ این سند، شفاف‌سازیِ زنجیرهٔ استناد است: اینکه هر یافته از کجا آمده، در کدام فصل و کدام پرسشِ پژوهش به‌کار رفته، و چگونه به بهینه‌سازیِ نتیجه‌گیری در «سناریوی رسالهٔ ما» یاری رسانده است.</w:t>
      </w:r>
    </w:p>
    <w:p>
      <w:pPr>
        <w:bidi w:val="1"/>
        <w:spacing w:line="312" w:lineRule="auto" w:before="0" w:after="120"/>
        <w:ind w:firstLine="340"/>
        <w:jc w:val="both"/>
      </w:pPr>
      <w:r>
        <w:rPr>
          <w:rFonts w:ascii="Times New Roman" w:hAnsi="Times New Roman" w:cs="B Nazanin"/>
          <w:sz w:val="22"/>
          <w:szCs w:val="28"/>
          <w:rtl w:val="1"/>
        </w:rPr>
        <w:t>روشِ کار بدین‌گونه بوده است: نخست متنِ کاملِ هر منبع پردازش و دایجست شده؛ سپس یافتهٔ اصلی، نقاطِ قوت و ضعفِ روش‌شناختیِ منبع، و «یادداشتِ استناد» (اینکه در کدام فصل و ذیلِ کدام پرسش به‌کار می‌آید) ثبت شده است. منابعِ داوری‌نشده (پیش‌چاپ) به‌صراحت علامت‌گذاری شده‌اند تا اعتبارِ علمیِ استناد خدشه‌دار نشود. آنچه در پی می‌آید، برای هر منبع شاملِ چهار بخش است: (۱) شناسنامهٔ کتاب‌شناختی، (۲) دایجستِ کامل و نکاتِ استخراج‌شده، (۳) کجا و چگونه در پژوهش به‌کار رفت، و (۴) سهمِ آن در بهینه‌سازیِ نتیجه‌گیری و سناریو. در پایان نیز بخشی مستقل به «ارتقاهای عملیِ اعمال‌شده بر نتیجه‌گیری در پیِ این هضم» اختصاص یافته است.</w:t>
      </w:r>
    </w:p>
    <w:p/>
    <w:p>
      <w:pPr>
        <w:pStyle w:val="GPEHeading2"/>
        <w:bidi w:val="1"/>
        <w:spacing w:line="312" w:lineRule="auto" w:before="200" w:after="120"/>
        <w:jc w:val="right"/>
      </w:pPr>
      <w:r>
        <w:rPr>
          <w:rFonts w:ascii="Times New Roman" w:hAnsi="Times New Roman" w:cs="B Nazanin"/>
          <w:sz w:val="24"/>
          <w:szCs w:val="28"/>
          <w:rtl w:val="1"/>
          <w:b/>
          <w:bCs/>
          <w:color w:val="14203a"/>
        </w:rPr>
        <w:t>فهرستِ منابعِ بررسی‌شده</w:t>
      </w:r>
    </w:p>
    <w:p>
      <w:pPr>
        <w:bidi w:val="1"/>
        <w:spacing w:line="312" w:lineRule="auto" w:before="0" w:after="60"/>
        <w:jc w:val="right"/>
      </w:pPr>
      <w:r>
        <w:rPr>
          <w:rFonts w:ascii="Times New Roman" w:hAnsi="Times New Roman" w:cs="B Nazanin"/>
          <w:sz w:val="22"/>
          <w:szCs w:val="26"/>
          <w:rtl w:val="1"/>
          <w:b/>
          <w:bCs/>
          <w:color w:val="b08d3f"/>
        </w:rPr>
        <w:t xml:space="preserve">1. </w:t>
      </w:r>
      <w:r>
        <w:rPr>
          <w:rFonts w:ascii="Times New Roman" w:hAnsi="Times New Roman" w:cs="B Nazanin"/>
          <w:sz w:val="22"/>
          <w:szCs w:val="24"/>
          <w:rtl w:val="1"/>
        </w:rPr>
        <w:t>Tigre, M. A. (2022) — The Evolution of International Environmental Law Amidst Political Gridlock: Environmental Rights as a Common Ground</w:t>
      </w:r>
    </w:p>
    <w:p>
      <w:pPr>
        <w:bidi w:val="1"/>
        <w:spacing w:line="312" w:lineRule="auto" w:before="0" w:after="60"/>
        <w:jc w:val="right"/>
      </w:pPr>
      <w:r>
        <w:rPr>
          <w:rFonts w:ascii="Times New Roman" w:hAnsi="Times New Roman" w:cs="B Nazanin"/>
          <w:sz w:val="22"/>
          <w:szCs w:val="26"/>
          <w:rtl w:val="1"/>
          <w:b/>
          <w:bCs/>
          <w:color w:val="b08d3f"/>
        </w:rPr>
        <w:t xml:space="preserve">2. </w:t>
      </w:r>
      <w:r>
        <w:rPr>
          <w:rFonts w:ascii="Times New Roman" w:hAnsi="Times New Roman" w:cs="B Nazanin"/>
          <w:sz w:val="22"/>
          <w:szCs w:val="24"/>
          <w:rtl w:val="1"/>
        </w:rPr>
        <w:t>Tiller, D. (2018) — Are the Aims of the Proposed Global Pact for the Environment Desirable and Will the Pact Add Any Value to International Environmental Law?</w:t>
      </w:r>
    </w:p>
    <w:p>
      <w:pPr>
        <w:bidi w:val="1"/>
        <w:spacing w:line="312" w:lineRule="auto" w:before="0" w:after="60"/>
        <w:jc w:val="right"/>
      </w:pPr>
      <w:r>
        <w:rPr>
          <w:rFonts w:ascii="Times New Roman" w:hAnsi="Times New Roman" w:cs="B Nazanin"/>
          <w:sz w:val="22"/>
          <w:szCs w:val="26"/>
          <w:rtl w:val="1"/>
          <w:b/>
          <w:bCs/>
          <w:color w:val="b08d3f"/>
        </w:rPr>
        <w:t xml:space="preserve">3. </w:t>
      </w:r>
      <w:r>
        <w:rPr>
          <w:rFonts w:ascii="Times New Roman" w:hAnsi="Times New Roman" w:cs="B Nazanin"/>
          <w:sz w:val="22"/>
          <w:szCs w:val="24"/>
          <w:rtl w:val="1"/>
        </w:rPr>
        <w:t>Chabason, L. &amp; Hege, E. (2019) — Failure of the Global Pact for the Environment: a missed opportunity or a bullet dodged?</w:t>
      </w:r>
    </w:p>
    <w:p>
      <w:pPr>
        <w:bidi w:val="1"/>
        <w:spacing w:line="312" w:lineRule="auto" w:before="0" w:after="60"/>
        <w:jc w:val="right"/>
      </w:pPr>
      <w:r>
        <w:rPr>
          <w:rFonts w:ascii="Times New Roman" w:hAnsi="Times New Roman" w:cs="B Nazanin"/>
          <w:sz w:val="22"/>
          <w:szCs w:val="26"/>
          <w:rtl w:val="1"/>
          <w:b/>
          <w:bCs/>
          <w:color w:val="b08d3f"/>
        </w:rPr>
        <w:t xml:space="preserve">4. </w:t>
      </w:r>
      <w:r>
        <w:rPr>
          <w:rFonts w:ascii="Times New Roman" w:hAnsi="Times New Roman" w:cs="B Nazanin"/>
          <w:sz w:val="22"/>
          <w:szCs w:val="24"/>
          <w:rtl w:val="1"/>
        </w:rPr>
        <w:t>International Law Commission (Study Group; Koskenniemi, M., رئیس) (2006) — Conclusions of the work of the Study Group on the Fragmentation of International Law: Difficulties arising from the Diversification and Expansion of International Law</w:t>
      </w:r>
    </w:p>
    <w:p>
      <w:pPr>
        <w:bidi w:val="1"/>
        <w:spacing w:line="312" w:lineRule="auto" w:before="0" w:after="60"/>
        <w:jc w:val="right"/>
      </w:pPr>
      <w:r>
        <w:rPr>
          <w:rFonts w:ascii="Times New Roman" w:hAnsi="Times New Roman" w:cs="B Nazanin"/>
          <w:sz w:val="22"/>
          <w:szCs w:val="26"/>
          <w:rtl w:val="1"/>
          <w:b/>
          <w:bCs/>
          <w:color w:val="b08d3f"/>
        </w:rPr>
        <w:t xml:space="preserve">5. </w:t>
      </w:r>
      <w:r>
        <w:rPr>
          <w:rFonts w:ascii="Times New Roman" w:hAnsi="Times New Roman" w:cs="B Nazanin"/>
          <w:sz w:val="22"/>
          <w:szCs w:val="24"/>
          <w:rtl w:val="1"/>
        </w:rPr>
        <w:t>⚠ Damoah, B., Keengwe, J. S. &amp; Ofori, E. (2026) — Stalemate in the Anthropocene: Ineffective Treaties and the Struggle for Planetary Governance</w:t>
      </w:r>
    </w:p>
    <w:p>
      <w:pPr>
        <w:bidi w:val="1"/>
        <w:spacing w:line="312" w:lineRule="auto" w:before="0" w:after="60"/>
        <w:jc w:val="right"/>
      </w:pPr>
      <w:r>
        <w:rPr>
          <w:rFonts w:ascii="Times New Roman" w:hAnsi="Times New Roman" w:cs="B Nazanin"/>
          <w:sz w:val="22"/>
          <w:szCs w:val="26"/>
          <w:rtl w:val="1"/>
          <w:b/>
          <w:bCs/>
          <w:color w:val="b08d3f"/>
        </w:rPr>
        <w:t xml:space="preserve">6. </w:t>
      </w:r>
      <w:r>
        <w:rPr>
          <w:rFonts w:ascii="Times New Roman" w:hAnsi="Times New Roman" w:cs="B Nazanin"/>
          <w:sz w:val="22"/>
          <w:szCs w:val="24"/>
          <w:rtl w:val="1"/>
        </w:rPr>
        <w:t>Draft Global Pact for the Environment (پیش‌نویسِ گروهِ حقوق‌دانانِ بین‌المللی) (2017) — Draft Global Pact for the Environment (Projet de Pacte mondial pour l'environnement) — 26 Articles</w:t>
      </w: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1: The Evolution of International Environmental Law Amidst Political Gridlock: Environmental Rights as a Common Ground</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Tigre, M. A.</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2022</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SJD Dissertation, Elisabeth Haub School of Law at Pace University, 260 pp. (open access)</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PACE Digital Commons</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97 از ۱۰۰</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در شرایطِ بن‌بستِ سیاسیِ حقوق بین‌الملل محیط زیست، «حقوقِ محیط‌زیستی» (به‌ویژه حق بر محیط‌زیستِ سالم) می‌تواند زمینهٔ مشترکی برای پیشبردِ تدریجیِ نظام فراهم کند؛ توسعهٔ حقوق نه از راهِ یک معاهدهٔ فراگیرِ واحد، بلکه از مسیرِ رویه، آرای قضایی و شناساییِ حقوق پیش می‌رود.</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در شرایطِ بن‌بستِ سیاسیِ حقوق بین‌الملل محیط زیست، «حقوقِ محیط‌زیستی» — به‌ویژه حق بر محیط‌زیستِ سالم — می‌تواند زمینهٔ مشترکِ پیشبردِ تدریجیِ نظام باشد.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توسعهٔ حقوق نه از راهِ یک معاهدهٔ فراگیرِ واحد، بلکه از مسیرِ رویه، آرای قضایی و شناساییِ تدریجیِ حقوق پیش می‌رود.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الگوی روش‌شناختیِ نتیجه‌گیری سه‌لایه است: سنتزِ یافته‌ها ← طرحِ گزینه‌های پیشِ‌رو ← چشم‌اندازِ دگرگونیِ بوم‌شناختی، با استنادِ متراکمِ درون‌متنی.</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پیوندِ مستقیمِ فرایندِ پیمان با قطعنامهٔ ۷۶/۳۰۰ مجمع عمومی (حق بر محیط‌زیستِ سالم) به‌مثابهٔ «دستاوردِ پنهانِ» ابتکار.</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رسالهٔ دکتریِ روشمند و پرارجاع با روش‌شناسیِ نتیجه‌گیریِ الگو (تحلیلِ روند + سنجشِ گزینه‌ها + قضاوتِ متوازن)؛ منبعِ طلاییِ رساله برای الگوی نتیجه‌گیری و برای تبیینِ «دستاوردهای پنهانِ» فرایندِ پیمان.</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تمرکز بر رویکردِ حق‌محور؛ کمتر به پیامدهای فنیِ پیمان بر تک‌تکِ MEAها می‌پردازد.</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فصل۳، فصل۴، فصل۵</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 فرعی۲</w:t>
      </w:r>
    </w:p>
    <w:p>
      <w:pPr>
        <w:bidi w:val="1"/>
        <w:spacing w:line="312" w:lineRule="auto" w:before="0" w:after="120"/>
        <w:ind w:firstLine="340"/>
        <w:jc w:val="both"/>
      </w:pPr>
      <w:r>
        <w:rPr>
          <w:rFonts w:ascii="Times New Roman" w:hAnsi="Times New Roman" w:cs="B Nazanin"/>
          <w:sz w:val="22"/>
          <w:szCs w:val="28"/>
          <w:rtl w:val="1"/>
        </w:rPr>
        <w:t>این رساله، به‌سببِ روش‌شناسیِ دقیق و پرارجاعِ خود، منبعِ طلاییِ الگوی نتیجه‌گیری بوده است. یافته‌های آن در فصلِ دوم (سیر تحولِ حقوق و ظهورِ گفتمانِ حق‌محور)، فصلِ سوم (تحلیلِ اصولِ پیمان)، فصلِ چهارم (پیامدهای شکست و مسیرِ جایگزین) و فصلِ پنجم (الگوی نتیجه‌گیری) به‌کار رفته و به پرسشِ اصلی و دو پرسشِ فرعیِ نخست پاسخ می‌دهد.</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الگوی «استنادِ متراکمِ درون‌متنی» و ساختارِ «سنتز ← گزینه‌ها» مستقیماً از تیگره وام گرفته شد و به نتیجه‌گیریِ رساله سطحِ استانداردِ دکتری بخشید. مهم‌تر آنکه این منبع کمک کرد نتیجه‌گیریِ ما از «روایتِ شکستِ صِرف» فراتر رود و به تحلیلِ «دستاوردهای پنهانِ فرایندِ پیمان» (تثبیتِ حق بر محیط‌زیستِ سالم در قطعنامهٔ ۷۶/۳۰۰) برسد. ستونِ یکم و پنجمِ نقشهٔ راهِ جایگزین (توسعهٔ رویهٔ قضایی و حقوق نرم) مستقیماً بر تزِ این منبع استوار شده‌اند.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الگوی روش‌شناختیِ نتیجه‌گیریِ رساله (فصل۵) و مبنای تحلیلِ «حق بر محیط‌زیستِ سالم» به‌مثابهٔ دستاوردِ پنهانِ فرایندِ پیمان (قطعنامهٔ ۷۶/۳۰۰ مجمع عمومی). دسترسی آزاد: digitalcommons.pace.edu/lawdissertations/33/.</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2: Are the Aims of the Proposed Global Pact for the Environment Desirable and Will the Pact Add Any Value to International Environmental Law?</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Tiller, D.</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2018</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LLB(Hons) Research Paper, Victoria University of Wellington, Faculty of Law</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Victoria University of Wellington</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90 از ۱۰۰</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اهدافِ پیمان (تحکیم و انسجام‌بخشیِ اصول) مطلوب‌اند، اما ارزش‌افزودهٔ عملیِ آن به‌سببِ ضعفِ سازوکارِ اجرا و خطرِ تضعیفِ رژیم‌های تخصصیِ موجود محدود است؛ داوریِ متوازن: «هدف درست، ابزار محلِ تردید».</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اهدافِ پیمان (تحکیم و انسجام‌بخشیِ اصول) مطلوب‌اند؛ اما ارزش‌افزودهٔ عملیِ آن محدود است.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علتِ محدودیت: ضعفِ سازوکارِ اجرا و خطرِ تضعیفِ رژیم‌های تخصصیِ موجود (MEAها).</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داوریِ نهایی به‌صورتِ گزارهٔ متوازن: «هدف درست است، اما ابزار محلِ تردید».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پرسشِ پژوهشِ این اثر (مطلوبیتِ اهداف + سنجشِ ارزش‌افزوده) تقریباً منطبق بر پرسش‌های رسالهٔ ماست.</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پرسشِ پژوهشِ آن دقیقاً منطبق بر پرسش‌های رسالهٔ ماست (مطلوبیتِ اهداف + ارزش‌افزوده)؛ الگوی داوریِ متوازن برای فصل۵.</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پایان‌نامهٔ کارشناسیِ حقوق (LLB Hons)؛ عمقِ نظریِ محدودتر نسبت به منابعِ دکتری — در کنارِ منابعِ قوی‌تر استناد می‌شود.</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فصل۳، فصل۴، فصل۵</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 فرعی۲</w:t>
      </w:r>
    </w:p>
    <w:p>
      <w:pPr>
        <w:bidi w:val="1"/>
        <w:spacing w:line="312" w:lineRule="auto" w:before="0" w:after="120"/>
        <w:ind w:firstLine="340"/>
        <w:jc w:val="both"/>
      </w:pPr>
      <w:r>
        <w:rPr>
          <w:rFonts w:ascii="Times New Roman" w:hAnsi="Times New Roman" w:cs="B Nazanin"/>
          <w:sz w:val="22"/>
          <w:szCs w:val="28"/>
          <w:rtl w:val="1"/>
        </w:rPr>
        <w:t>این پژوهش در فصلِ سوم (گفتارِ «مطلوبیتِ اهداف و ارزش‌افزوده»)، فصلِ چهارم (اثرِ پیمان بر MEAها) و فصلِ پنجم (داوریِ متوازنِ نتیجه‌گیری) به‌کار رفت و به هر سه پرسشِ پژوهش مربوط می‌شود. از آنجا که پرسشِ محوریِ آن آینهٔ پرسشِ رسالهٔ ماست، به‌مثابهٔ نقطهٔ اتکای مقایسه‌ای عمل کرد.</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منطقِ «داوریِ متعادل و مشروط» در بخشِ ۵-۳ نتیجه‌گیری مستقیماً از الگوی تیلر الهام گرفت. این منبع به ما کمک کرد از قضاوتِ صفر-و-یکی پرهیز کنیم و به گزارهٔ دقیقِ «هدفِ انسجام‌بخشی درست بود، اما ابزارِ معاهدهٔ چترِ واحد در بسترِ فعلی ناکارآمد است» برسیم. هشدارِ صریحِ این منبع دربارهٔ «خطرِ تضعیفِ رژیم‌های موجود» به‌طورِ مستقیم مبنای ستونِ چهارمِ نقشهٔ راه (هم‌افزایی به‌جای افزودنِ لایهٔ هنجاریِ نو) و پاسخِ ستونِ ششم به تردیدِ ارزش‌افزوده شد.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مبنای گفتارِ «مطلوبیتِ اهداف و ارزش‌افزوده» (فصل۳) و داوریِ متوازنِ نتیجه‌گیری (فصل۵-۳).</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3: Failure of the Global Pact for the Environment: a missed opportunity or a bullet dodged?</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Chabason, L. &amp; Hege, E.</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2019</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IDDRI (Institut du développement durable et des relations internationales) — Blog Post, 28 May 2019</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IDDRI</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88 از ۱۰۰</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ناکامیِ مذاکراتِ پیمان جهانی را می‌توان هم «فرصتی ازدست‌رفته» و هم «تیرِ ازکنارگذشته» دانست؛ نویسندگان علل شکست را در نبودِ ارادهٔ سیاسی، بیمِ دولت‌ها از الزام‌آورشدنِ اصول، و رقابتِ نهادی می‌بینند و نتیجهٔ ملموسِ فرایند را قطعنامهٔ ۷۲/۲۷۷ و روندِ «به‌سوی یک پیمان جهانی» می‌دانند.</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ناکامیِ مذاکراتِ پیمان را هم‌زمان می‌توان «فرصتی ازدست‌رفته» و هم «تیرِ ازکنارگذشته» خواند.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علل شکست: نبودِ ارادهٔ سیاسی، بیمِ دولت‌ها از الزام‌آورشدنِ اصول، و رقابتِ نهادی میان بازیگران.</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نتیجهٔ ملموسِ فرایند: قطعنامهٔ ۷۲/۲۷۷ و روندِ رسمیِ «به‌سوی یک پیمان جهانی برای محیط زیست».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تحلیلِ دستِ‌اول از مواضعِ بازیگرانِ کلیدی و صف‌بندیِ ژئوپلیتیکِ مذاکرات.</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تحلیلِ سیاسیِ دقیق و دستِ‌اول از علل شکست و مواضعِ بازیگران؛ مستقیماً به کارِ فصل۴ (علل ناکامی و مواضعِ ژئوپلیتیک) می‌آید.</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یادداشتِ تحلیلیِ کوتاه (نه مقالهٔ داوری‌شدهٔ بلند)؛ منظرِ نهادیِ IDDRI.</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فصل۳، فصل۴</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فرعی۲</w:t>
      </w:r>
    </w:p>
    <w:p>
      <w:pPr>
        <w:bidi w:val="1"/>
        <w:spacing w:line="312" w:lineRule="auto" w:before="0" w:after="120"/>
        <w:ind w:firstLine="340"/>
        <w:jc w:val="both"/>
      </w:pPr>
      <w:r>
        <w:rPr>
          <w:rFonts w:ascii="Times New Roman" w:hAnsi="Times New Roman" w:cs="B Nazanin"/>
          <w:sz w:val="22"/>
          <w:szCs w:val="28"/>
          <w:rtl w:val="1"/>
        </w:rPr>
        <w:t>این یادداشتِ تحلیلی منبعِ اصلیِ تحلیلِ «علل شکست و مواضعِ ژئوپلیتیک» در فصلِ چهارم و پشتوانهٔ بخشِ نتیجه‌گیریِ متوازن در فصلِ پنجم بود. یافته‌های آن به پرسشِ اصلی و پرسشِ فرعیِ دوم پاسخ می‌دهد.</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این منبع نتیجه‌گیری را از یک نگاهِ تک‌بُعدی نجات داد: به‌جای آنکه شکستِ پیمان را صرفاً «ناکامی» بدانیم، چارچوبِ دوگانهٔ «فرصتِ ازدست‌رفته / تیرِ ازکنارگذشته» را وارد کردیم و نشان دادیم فرایندِ شکست‌خورده، خود، دستاوردِ حقوقیِ ماندگار داشت. تحلیلِ سه‌گانهٔ علل شکست (حقوقی/اقتصادی/ژئوپلیتیک) و به‌ویژه «رقابتِ نهادی» مستقیماً مبنای ستونِ دومِ نقشهٔ راه (تقویتِ نهادیِ یونپ) و «بازدهِ نرمِ فرایند» مبنای ستونِ پنجم شد.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منبعِ اصلیِ تحلیلِ علل شکست و مواضعِ دولت‌ها (فصل۴، گفتار مواضعِ ژئوپلیتیک) و بخشِ نتیجه‌گیریِ متوازن (فصل۵).</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4: Conclusions of the work of the Study Group on the Fragmentation of International Law: Difficulties arising from the Diversification and Expansion of International Law</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International Law Commission (Study Group; Koskenniemi, M., رئیس)</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2006</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Yearbook of the ILC 2006, vol. II, Part Two; A/61/10 (para. 251)</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United Nations (ILC)</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95 از ۱۰۰</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نتیجه‌گیریِ رسمیِ کمیسیون حقوق بین‌الملل دربارهٔ چندپارگی: نظامِ حقوق بین‌الملل یک «نظامِ حقوقی» است و ابزارهایی چون قاعدهٔ خاصِ مقدم (lex specialis)، نظام‌های خودبسنده (self-contained regimes) و «یکپارچه‌سازیِ نظام‌مند» از رهگذرِ مادهٔ ۳۱(۳)(ج) کنوانسیون وین برای مدیریتِ تعارضِ هنجاری در دسترس است.</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نظامِ حقوق بین‌الملل یک «نظامِ حقوقی» یکپارچه است، نه انبوهی از قواعدِ بی‌ارتباط.</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ابزارهای مدیریتِ تعارضِ هنجاری: قاعدهٔ خاصِ مقدم (lex specialis) و نظام‌های خودبسنده (self-contained regimes).</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«یکپارچه‌سازیِ نظام‌مند» از رهگذرِ مادهٔ ۳۱(۳)(ج) کنوانسیون وین، سازوکارِ کلیدیِ انسجام‌بخشی است.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لنگرِ اصطلاح‌شناسیِ مستندِ رساله: همهٔ اصطلاحاتِ فنیِ تحلیلِ تعاملِ پیمان با MEAها از آن گرفته شده.</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سندِ مرجعِ رسمی و لنگرِ اصطلاح‌شناسیِ مستندِ رساله؛ همهٔ اصطلاحاتِ فنیِ به‌کاررفته در تحلیلِ تعاملِ پیمان با MEAها از این سند و مطالعهٔ تحلیلیِ آن گرفته شده است.</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سندِ چارچوبی و کلی؛ کاربستِ آن بر موردِ خاصِ پیمان جهانی نیازمندِ تحلیلِ تکمیلی است.</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فصل۳، فصل۴</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w:t>
      </w:r>
    </w:p>
    <w:p>
      <w:pPr>
        <w:bidi w:val="1"/>
        <w:spacing w:line="312" w:lineRule="auto" w:before="0" w:after="120"/>
        <w:ind w:firstLine="340"/>
        <w:jc w:val="both"/>
      </w:pPr>
      <w:r>
        <w:rPr>
          <w:rFonts w:ascii="Times New Roman" w:hAnsi="Times New Roman" w:cs="B Nazanin"/>
          <w:sz w:val="22"/>
          <w:szCs w:val="28"/>
          <w:rtl w:val="1"/>
        </w:rPr>
        <w:t>نتیجه‌گیریِ رسمیِ کمیسیون حقوق بین‌الملل (۲۰۰۶، سند A/61/10 بند ۲۵۱) لنگرِ نظری و اصطلاح‌شناختیِ رساله است. در واژه‌نامه، در فصلِ دوم و سوم (چندپارگی و ابزارهای انسجام‌بخشی) و در فصلِ چهارم (سازوکارِ حقوقیِ اثرِ پیمان بر MEAها) به‌کار رفت و به پرسشِ اصلی و پرسشِ فرعیِ نخست پاسخ می‌دهد.</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این سند به نتیجه‌گیری پشتوانهٔ نظریِ رسمی بخشید. استدلالِ محوریِ رساله — اینکه اثرِ پیمان بر MEAها باید از رهگذرِ «تفسیرِ هماهنگ» و مادهٔ ۳۱(۳)(ج) وین تحلیل شود، نه صرفاً توصیف — مستقیماً از این چارچوب برخاست و به ستونِ ششمِ نقشهٔ راه (یکسان‌سازیِ تفسیرِ اصول) بدل شد. همین سند مبنای گزارهٔ کلیدیِ نتیجه‌گیری شد که چرا «معاهدهٔ چترِ واحد» با سرشتِ چندپاره و بخشیِ این نظام در تنش است.</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لنگرِ اصطلاح‌شناسیِ مستند (واژه‌نامه) و مبنای تحلیلِ فصل۳/۴ دربارهٔ چندپارگی و ابزارهای انسجام‌بخشی. متمایز از DB22 (مطالعهٔ تحلیلیِ A/CN.4/L.682).</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5: Stalemate in the Anthropocene: Ineffective Treaties and the Struggle for Planetary Governance</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Damoah, B., Keengwe, J. S. &amp; Ofori, E.</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2026</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Preprints.org (پیش‌چاپ — داوری‌نشده / non-peer-reviewed preprint)</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Preprints.org</w:t>
      </w:r>
    </w:p>
    <w:p>
      <w:pPr>
        <w:bidi w:val="1"/>
        <w:spacing w:line="312" w:lineRule="auto" w:before="0" w:after="60"/>
        <w:jc w:val="right"/>
      </w:pPr>
      <w:r>
        <w:rPr>
          <w:rFonts w:ascii="Times New Roman" w:hAnsi="Times New Roman" w:cs="B Nazanin"/>
          <w:sz w:val="22"/>
          <w:szCs w:val="24"/>
          <w:rtl w:val="1"/>
          <w:b/>
          <w:bCs/>
          <w:color w:val="14203a"/>
        </w:rPr>
        <w:t xml:space="preserve">DOI: </w:t>
      </w:r>
      <w:r>
        <w:rPr>
          <w:rFonts w:ascii="Times New Roman" w:hAnsi="Times New Roman" w:cs="B Nazanin"/>
          <w:sz w:val="22"/>
          <w:szCs w:val="24"/>
          <w:rtl w:val="1"/>
        </w:rPr>
        <w:t>10.20944/preprints202603.2371.v1</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84 از ۱۰۰</w:t>
      </w:r>
    </w:p>
    <w:p>
      <w:pPr>
        <w:bidi w:val="1"/>
        <w:spacing w:line="312" w:lineRule="auto" w:before="0" w:after="80"/>
        <w:jc w:val="both"/>
      </w:pPr>
      <w:r>
        <w:rPr>
          <w:rFonts w:ascii="Times New Roman" w:hAnsi="Times New Roman" w:cs="B Nazanin"/>
          <w:sz w:val="22"/>
          <w:szCs w:val="26"/>
          <w:rtl w:val="1"/>
          <w:b/>
          <w:bCs/>
          <w:color w:val="b03a2e"/>
        </w:rPr>
        <w:t xml:space="preserve">⚠ هشدارِ اعتبار: </w:t>
      </w:r>
      <w:r>
        <w:rPr>
          <w:rFonts w:ascii="Times New Roman" w:hAnsi="Times New Roman" w:cs="B Nazanin"/>
          <w:sz w:val="22"/>
          <w:szCs w:val="26"/>
          <w:rtl w:val="1"/>
        </w:rPr>
        <w:t>این منبع پیش‌چاپِ داوری‌نشده (non-peer-reviewed preprint) است و با احتیاط و در کنارِ منابعِ داوری‌شده استناد شده است.</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در عصرِ انتروپوسن، معاهداتِ محیط‌زیستی به‌سببِ ساختارِ بخشی، ضعفِ اجرا و وابستگی به اجماع در «بن‌بست» گرفتار شده‌اند؛ حکمرانیِ سیّارهٔ زمین نیازمندِ بازاندیشیِ بنیادین در سازوکارهای الزام‌آورسازی و نظارت است.</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در عصرِ انتروپوسن، معاهداتِ محیط‌زیستی به‌سببِ ساختارِ بخشی، ضعفِ اجرا و وابستگی به اجماع در «بن‌بست» گرفتار شده‌اند.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حکمرانیِ سیّارهٔ زمین نیازمندِ بازاندیشیِ بنیادین در سازوکارهای الزام‌آورسازی و نظارت است.</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تبیینِ روشنِ چراییِ ناکارآمدیِ معاهداتِ پرشمار و پراکنده.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الگوی نتیجه‌گیریِ اجرا-محور: سنتز ← دلالت‌های سیاستی ← پیشنهادِ پژوهشِ آینده.</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تبیینِ روشنِ چرایی ناکارآمدیِ معاهداتِ پرشمار و پراکنده؛ به‌کارِ تحلیلِ «چرا ابزارِ معاهدهٔ فراگیرِ واحد با سرشتِ نظامِ حقوق بین‌الملل محیط زیست ناسازگار است» می‌آید (فصل۴ و فصل۵).</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 پیش‌چاپِ داوری‌نشده (Preprints.org)؛ باید با احتیاط و در کنارِ منابعِ داوری‌شده استناد شود و اعتبارِ آن به‌صراحت در متن قید گردد.</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فصل۲، فصل۴، فصل۵</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فرعی۲</w:t>
      </w:r>
    </w:p>
    <w:p>
      <w:pPr>
        <w:bidi w:val="1"/>
        <w:spacing w:line="312" w:lineRule="auto" w:before="0" w:after="120"/>
        <w:ind w:firstLine="340"/>
        <w:jc w:val="both"/>
      </w:pPr>
      <w:r>
        <w:rPr>
          <w:rFonts w:ascii="Times New Roman" w:hAnsi="Times New Roman" w:cs="B Nazanin"/>
          <w:sz w:val="22"/>
          <w:szCs w:val="28"/>
          <w:rtl w:val="1"/>
        </w:rPr>
        <w:t>این اثر در فصلِ دوم (زمینهٔ انتروپوسن)، فصلِ چهارم و پنجم (چراییِ ناکارآمدیِ معاهدات و دلالت‌های سیاستی) به‌کار رفت و به پرسشِ اصلی و پرسشِ فرعیِ دوم مربوط می‌شود. با توجه به ماهیتِ آن، همواره در کنارِ منابعِ داوری‌شده استناد شده است.</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ساختارِ «دلالت‌های سیاستی + پیشنهادِ پژوهشِ آینده» در نتیجه‌گیری از این اثر گرفته شد و تشخیصِ «ضعفِ اجرا و پایبندی» به‌مثابه ریشهٔ بن‌بست، مبنای ستونِ سومِ نقشهٔ راه (بازنگریِ ادواریِ زیست‌محیطی به الگوی UPR) شد. با این‌همه، به‌سببِ داوری‌نشده‌بودن، وزنِ استنادیِ آن تعمداً محدود و همواره در کنارِ تیلر (داوری‌شده) به‌کار رفت.</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استناد در فصل۲ (انتروپوسن) و فصل۴/۵ (چراییِ ناکارآمدیِ معاهدات) — همراه با تصریحِ داوری‌نشده‌بودنِ منبع. مجوز CC BY.</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0"/>
          <w:rtl w:val="1"/>
          <w:b/>
          <w:bCs/>
          <w:color w:val="14203a"/>
        </w:rPr>
        <w:t>منبعِ 6: Draft Global Pact for the Environment (Projet de Pacte mondial pour l'environnement) — 26 Articles</w:t>
      </w:r>
    </w:p>
    <w:p>
      <w:pPr>
        <w:pStyle w:val="GPEHeading2"/>
        <w:bidi w:val="1"/>
        <w:spacing w:line="312" w:lineRule="auto" w:before="200" w:after="120"/>
        <w:jc w:val="right"/>
      </w:pPr>
      <w:r>
        <w:rPr>
          <w:rFonts w:ascii="Times New Roman" w:hAnsi="Times New Roman" w:cs="B Nazanin"/>
          <w:sz w:val="24"/>
          <w:szCs w:val="26"/>
          <w:rtl w:val="1"/>
          <w:b/>
          <w:bCs/>
          <w:color w:val="14203a"/>
        </w:rPr>
        <w:t>الف) شناسنامهٔ کتاب‌شناختی</w:t>
      </w:r>
    </w:p>
    <w:p>
      <w:pPr>
        <w:bidi w:val="1"/>
        <w:spacing w:line="312" w:lineRule="auto" w:before="0" w:after="60"/>
        <w:jc w:val="right"/>
      </w:pPr>
      <w:r>
        <w:rPr>
          <w:rFonts w:ascii="Times New Roman" w:hAnsi="Times New Roman" w:cs="B Nazanin"/>
          <w:sz w:val="22"/>
          <w:szCs w:val="24"/>
          <w:rtl w:val="1"/>
          <w:b/>
          <w:bCs/>
          <w:color w:val="14203a"/>
        </w:rPr>
        <w:t xml:space="preserve">پدیدآور: </w:t>
      </w:r>
      <w:r>
        <w:rPr>
          <w:rFonts w:ascii="Times New Roman" w:hAnsi="Times New Roman" w:cs="B Nazanin"/>
          <w:sz w:val="22"/>
          <w:szCs w:val="24"/>
          <w:rtl w:val="1"/>
        </w:rPr>
        <w:t>Draft Global Pact for the Environment (پیش‌نویسِ گروهِ حقوق‌دانانِ بین‌المللی)</w:t>
      </w:r>
    </w:p>
    <w:p>
      <w:pPr>
        <w:bidi w:val="1"/>
        <w:spacing w:line="312" w:lineRule="auto" w:before="0" w:after="60"/>
        <w:jc w:val="right"/>
      </w:pPr>
      <w:r>
        <w:rPr>
          <w:rFonts w:ascii="Times New Roman" w:hAnsi="Times New Roman" w:cs="B Nazanin"/>
          <w:sz w:val="22"/>
          <w:szCs w:val="24"/>
          <w:rtl w:val="1"/>
          <w:b/>
          <w:bCs/>
          <w:color w:val="14203a"/>
        </w:rPr>
        <w:t xml:space="preserve">سالِ انتشار: </w:t>
      </w:r>
      <w:r>
        <w:rPr>
          <w:rFonts w:ascii="Times New Roman" w:hAnsi="Times New Roman" w:cs="B Nazanin"/>
          <w:sz w:val="22"/>
          <w:szCs w:val="24"/>
          <w:rtl w:val="1"/>
        </w:rPr>
        <w:t>2017</w:t>
      </w:r>
    </w:p>
    <w:p>
      <w:pPr>
        <w:bidi w:val="1"/>
        <w:spacing w:line="312" w:lineRule="auto" w:before="0" w:after="60"/>
        <w:jc w:val="right"/>
      </w:pPr>
      <w:r>
        <w:rPr>
          <w:rFonts w:ascii="Times New Roman" w:hAnsi="Times New Roman" w:cs="B Nazanin"/>
          <w:sz w:val="22"/>
          <w:szCs w:val="24"/>
          <w:rtl w:val="1"/>
          <w:b/>
          <w:bCs/>
          <w:color w:val="14203a"/>
        </w:rPr>
        <w:t xml:space="preserve">محلِ انتشار: </w:t>
      </w:r>
      <w:r>
        <w:rPr>
          <w:rFonts w:ascii="Times New Roman" w:hAnsi="Times New Roman" w:cs="B Nazanin"/>
          <w:sz w:val="22"/>
          <w:szCs w:val="24"/>
          <w:rtl w:val="1"/>
        </w:rPr>
        <w:t>Le Club des Juristes / IUCN — متنِ رسمیِ پیش‌نویس (Primary Source), 2017</w:t>
      </w:r>
    </w:p>
    <w:p>
      <w:pPr>
        <w:bidi w:val="1"/>
        <w:spacing w:line="312" w:lineRule="auto" w:before="0" w:after="60"/>
        <w:jc w:val="right"/>
      </w:pPr>
      <w:r>
        <w:rPr>
          <w:rFonts w:ascii="Times New Roman" w:hAnsi="Times New Roman" w:cs="B Nazanin"/>
          <w:sz w:val="22"/>
          <w:szCs w:val="24"/>
          <w:rtl w:val="1"/>
          <w:b/>
          <w:bCs/>
          <w:color w:val="14203a"/>
        </w:rPr>
        <w:t xml:space="preserve">پایگاه: </w:t>
      </w:r>
      <w:r>
        <w:rPr>
          <w:rFonts w:ascii="Times New Roman" w:hAnsi="Times New Roman" w:cs="B Nazanin"/>
          <w:sz w:val="22"/>
          <w:szCs w:val="24"/>
          <w:rtl w:val="1"/>
        </w:rPr>
        <w:t>Primary Source (IUCN / Le Club des Juristes)</w:t>
      </w:r>
    </w:p>
    <w:p>
      <w:pPr>
        <w:bidi w:val="1"/>
        <w:spacing w:line="312" w:lineRule="auto" w:before="0" w:after="60"/>
        <w:jc w:val="right"/>
      </w:pPr>
      <w:r>
        <w:rPr>
          <w:rFonts w:ascii="Times New Roman" w:hAnsi="Times New Roman" w:cs="B Nazanin"/>
          <w:sz w:val="22"/>
          <w:szCs w:val="24"/>
          <w:rtl w:val="1"/>
          <w:b/>
          <w:bCs/>
          <w:color w:val="14203a"/>
        </w:rPr>
        <w:t xml:space="preserve">درجهٔ ارتباط با رساله: </w:t>
      </w:r>
      <w:r>
        <w:rPr>
          <w:rFonts w:ascii="Times New Roman" w:hAnsi="Times New Roman" w:cs="B Nazanin"/>
          <w:sz w:val="22"/>
          <w:szCs w:val="24"/>
          <w:rtl w:val="1"/>
        </w:rPr>
        <w:t>96 از ۱۰۰</w:t>
      </w:r>
    </w:p>
    <w:p>
      <w:pPr>
        <w:pStyle w:val="GPEHeading2"/>
        <w:bidi w:val="1"/>
        <w:spacing w:line="312" w:lineRule="auto" w:before="200" w:after="120"/>
        <w:jc w:val="right"/>
      </w:pPr>
      <w:r>
        <w:rPr>
          <w:rFonts w:ascii="Times New Roman" w:hAnsi="Times New Roman" w:cs="B Nazanin"/>
          <w:sz w:val="24"/>
          <w:szCs w:val="26"/>
          <w:rtl w:val="1"/>
          <w:b/>
          <w:bCs/>
          <w:color w:val="14203a"/>
        </w:rPr>
        <w:t>ب) دایجستِ کامل و نکاتِ استخراج‌شده</w:t>
      </w:r>
    </w:p>
    <w:p>
      <w:pPr>
        <w:bidi w:val="1"/>
        <w:spacing w:line="312" w:lineRule="auto" w:before="0" w:after="120"/>
        <w:ind w:firstLine="340"/>
        <w:jc w:val="both"/>
      </w:pPr>
      <w:r>
        <w:rPr>
          <w:rFonts w:ascii="Times New Roman" w:hAnsi="Times New Roman" w:cs="B Nazanin"/>
          <w:sz w:val="22"/>
          <w:szCs w:val="28"/>
          <w:rtl w:val="1"/>
        </w:rPr>
        <w:t>متنِ اصلیِ پیش‌نویسِ پیمان در ۲۶ ماده که اصولِ بنیادینِ حقوق بین‌الملل محیط زیست (پیشگیری، احتیاط، «آلوده‌ساز می‌پردازد»، عدالتِ بین‌نسلی، عدم‌پس‌رفت، حقِ محیط‌زیستِ سالم و ...) را در یک سندِ چترِ الزام‌آورِ واحد گرد می‌آورد.</w:t>
      </w:r>
    </w:p>
    <w:p>
      <w:pPr>
        <w:bidi w:val="1"/>
        <w:spacing w:line="312" w:lineRule="auto" w:before="0" w:after="60"/>
        <w:jc w:val="right"/>
      </w:pPr>
      <w:r>
        <w:rPr>
          <w:rFonts w:ascii="Times New Roman" w:hAnsi="Times New Roman" w:cs="B Nazanin"/>
          <w:sz w:val="22"/>
          <w:szCs w:val="26"/>
          <w:rtl w:val="1"/>
          <w:b/>
          <w:bCs/>
          <w:color w:val="14203a"/>
        </w:rPr>
        <w:t>نکاتِ کلیدیِ استخراج‌شده:</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متنِ اصلیِ پیش‌نویسِ پیمان در ۲۶ ماده که اصولِ بنیادینِ حقوق بین‌الملل محیط زیست را در یک سندِ چترِ الزام‌آورِ واحد گرد می‌آورد.</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اصولِ کلیدی: پیشگیری، احتیاط، «آلوده‌ساز می‌پردازد»، عدالتِ بین‌نسلی، عدم‌پس‌رفت، و حقِ محیط‌زیستِ سالم.</w:t>
      </w:r>
    </w:p>
    <w:p>
      <w:pPr>
        <w:bidi w:val="1"/>
        <w:spacing w:line="312" w:lineRule="auto" w:before="0" w:after="80"/>
        <w:ind w:right="340"/>
        <w:jc w:val="both"/>
      </w:pPr>
      <w:r>
        <w:rPr>
          <w:rFonts w:ascii="Times New Roman" w:hAnsi="Times New Roman" w:cs="B Nazanin"/>
          <w:sz w:val="22"/>
          <w:szCs w:val="26"/>
          <w:rtl w:val="1"/>
          <w:b/>
          <w:bCs/>
          <w:color w:val="b08d3f"/>
        </w:rPr>
        <w:t xml:space="preserve">◄ </w:t>
      </w:r>
      <w:r>
        <w:rPr>
          <w:rFonts w:ascii="Times New Roman" w:hAnsi="Times New Roman" w:cs="B Nazanin"/>
          <w:sz w:val="22"/>
          <w:szCs w:val="26"/>
          <w:rtl w:val="1"/>
        </w:rPr>
        <w:t>هیچ‌گاه به معاهدهٔ لازم‌الاجرا تبدیل نشد و صرفاً به قطعنامهٔ ۷۲/۲۷۷ انجامید.</w:t>
      </w:r>
    </w:p>
    <w:p>
      <w:pPr>
        <w:bidi w:val="1"/>
        <w:spacing w:line="312" w:lineRule="auto" w:before="0" w:after="60"/>
        <w:jc w:val="right"/>
      </w:pPr>
      <w:r>
        <w:rPr>
          <w:rFonts w:ascii="Times New Roman" w:hAnsi="Times New Roman" w:cs="B Nazanin"/>
          <w:sz w:val="22"/>
          <w:szCs w:val="24"/>
          <w:rtl w:val="1"/>
          <w:b/>
          <w:bCs/>
          <w:color w:val="1e6b3a"/>
        </w:rPr>
        <w:t xml:space="preserve">نقطهٔ قوت: </w:t>
      </w:r>
      <w:r>
        <w:rPr>
          <w:rFonts w:ascii="Times New Roman" w:hAnsi="Times New Roman" w:cs="B Nazanin"/>
          <w:sz w:val="22"/>
          <w:szCs w:val="24"/>
          <w:rtl w:val="1"/>
        </w:rPr>
        <w:t>منبعِ دستِ‌اول و متنِ مبنای تحلیل؛ برای مقایسهٔ ماده‌به‌مادهٔ اصولِ پیمان با اصولِ مندرج در MEAها و اعلامیهٔ ریو ضروری است (فصل۳).</w:t>
      </w:r>
    </w:p>
    <w:p>
      <w:pPr>
        <w:bidi w:val="1"/>
        <w:spacing w:line="312" w:lineRule="auto" w:before="0" w:after="60"/>
        <w:jc w:val="right"/>
      </w:pPr>
      <w:r>
        <w:rPr>
          <w:rFonts w:ascii="Times New Roman" w:hAnsi="Times New Roman" w:cs="B Nazanin"/>
          <w:sz w:val="22"/>
          <w:szCs w:val="24"/>
          <w:rtl w:val="1"/>
          <w:b/>
          <w:bCs/>
          <w:color w:val="b03a2e"/>
        </w:rPr>
        <w:t xml:space="preserve">نقطهٔ ضعف/ملاحظه: </w:t>
      </w:r>
      <w:r>
        <w:rPr>
          <w:rFonts w:ascii="Times New Roman" w:hAnsi="Times New Roman" w:cs="B Nazanin"/>
          <w:sz w:val="22"/>
          <w:szCs w:val="24"/>
          <w:rtl w:val="1"/>
        </w:rPr>
        <w:t>پیش‌نویسِ غیررسمی (سندِ کاری)؛ هیچ‌گاه به معاهدهٔ لازم‌الاجرا تبدیل نشد و صرفاً به قطعنامهٔ ۷۲/۲۷۷ انجامید.</w:t>
      </w:r>
    </w:p>
    <w:p>
      <w:pPr>
        <w:pStyle w:val="GPEHeading2"/>
        <w:bidi w:val="1"/>
        <w:spacing w:line="312" w:lineRule="auto" w:before="200" w:after="120"/>
        <w:jc w:val="right"/>
      </w:pPr>
      <w:r>
        <w:rPr>
          <w:rFonts w:ascii="Times New Roman" w:hAnsi="Times New Roman" w:cs="B Nazanin"/>
          <w:sz w:val="24"/>
          <w:szCs w:val="26"/>
          <w:rtl w:val="1"/>
          <w:b/>
          <w:bCs/>
          <w:color w:val="14203a"/>
        </w:rPr>
        <w:t>ج) کجا و چگونه در پژوهش به‌کار رفت</w:t>
      </w:r>
    </w:p>
    <w:p>
      <w:pPr>
        <w:bidi w:val="1"/>
        <w:spacing w:line="312" w:lineRule="auto" w:before="0" w:after="60"/>
        <w:jc w:val="right"/>
      </w:pPr>
      <w:r>
        <w:rPr>
          <w:rFonts w:ascii="Times New Roman" w:hAnsi="Times New Roman" w:cs="B Nazanin"/>
          <w:sz w:val="22"/>
          <w:szCs w:val="24"/>
          <w:rtl w:val="1"/>
          <w:b/>
          <w:bCs/>
          <w:color w:val="14203a"/>
        </w:rPr>
        <w:t xml:space="preserve">فصولِ کاربرد: </w:t>
      </w:r>
      <w:r>
        <w:rPr>
          <w:rFonts w:ascii="Times New Roman" w:hAnsi="Times New Roman" w:cs="B Nazanin"/>
          <w:sz w:val="22"/>
          <w:szCs w:val="24"/>
          <w:rtl w:val="1"/>
        </w:rPr>
        <w:t>فصل۳، فصل۴</w:t>
      </w:r>
    </w:p>
    <w:p>
      <w:pPr>
        <w:bidi w:val="1"/>
        <w:spacing w:line="312" w:lineRule="auto" w:before="0" w:after="60"/>
        <w:jc w:val="right"/>
      </w:pPr>
      <w:r>
        <w:rPr>
          <w:rFonts w:ascii="Times New Roman" w:hAnsi="Times New Roman" w:cs="B Nazanin"/>
          <w:sz w:val="22"/>
          <w:szCs w:val="24"/>
          <w:rtl w:val="1"/>
          <w:b/>
          <w:bCs/>
          <w:color w:val="14203a"/>
        </w:rPr>
        <w:t xml:space="preserve">پرسش‌های مرتبط: </w:t>
      </w:r>
      <w:r>
        <w:rPr>
          <w:rFonts w:ascii="Times New Roman" w:hAnsi="Times New Roman" w:cs="B Nazanin"/>
          <w:sz w:val="22"/>
          <w:szCs w:val="24"/>
          <w:rtl w:val="1"/>
        </w:rPr>
        <w:t>اصلی، فرعی۱</w:t>
      </w:r>
    </w:p>
    <w:p>
      <w:pPr>
        <w:bidi w:val="1"/>
        <w:spacing w:line="312" w:lineRule="auto" w:before="0" w:after="120"/>
        <w:ind w:firstLine="340"/>
        <w:jc w:val="both"/>
      </w:pPr>
      <w:r>
        <w:rPr>
          <w:rFonts w:ascii="Times New Roman" w:hAnsi="Times New Roman" w:cs="B Nazanin"/>
          <w:sz w:val="22"/>
          <w:szCs w:val="28"/>
          <w:rtl w:val="1"/>
        </w:rPr>
        <w:t>متنِ رسمیِ پیش‌نویس (۲۰۱۷، گروهِ حقوق‌دانان / IUCN) منبعِ دستِ‌اولِ تحلیلِ محتواییِ اصولِ پیمان در فصلِ سوم بود و برای مقایسهٔ ماده‌به‌مادهٔ اصولِ پیمان با اصولِ مندرج در MEAها و اعلامیهٔ ریو در فصلِ چهارم به‌کار رفت. (این سند جزوِ فایل‌های اصلیِ آپلودی نیست، اما به‌عنوانِ متنِ مبنا در تحلیل حضور دارد.)</w:t>
      </w:r>
    </w:p>
    <w:p>
      <w:pPr>
        <w:pStyle w:val="GPEHeading2"/>
        <w:bidi w:val="1"/>
        <w:spacing w:line="312" w:lineRule="auto" w:before="200" w:after="120"/>
        <w:jc w:val="right"/>
      </w:pPr>
      <w:r>
        <w:rPr>
          <w:rFonts w:ascii="Times New Roman" w:hAnsi="Times New Roman" w:cs="B Nazanin"/>
          <w:sz w:val="24"/>
          <w:szCs w:val="26"/>
          <w:rtl w:val="1"/>
          <w:b/>
          <w:bCs/>
          <w:color w:val="14203a"/>
        </w:rPr>
        <w:t>د) سهمِ آن در بهینه‌سازیِ نتیجه‌گیری و سناریو</w:t>
      </w:r>
    </w:p>
    <w:p>
      <w:pPr>
        <w:bidi w:val="1"/>
        <w:spacing w:line="312" w:lineRule="auto" w:before="0" w:after="120"/>
        <w:ind w:firstLine="340"/>
        <w:jc w:val="both"/>
      </w:pPr>
      <w:r>
        <w:rPr>
          <w:rFonts w:ascii="Times New Roman" w:hAnsi="Times New Roman" w:cs="B Nazanin"/>
          <w:sz w:val="22"/>
          <w:szCs w:val="28"/>
          <w:rtl w:val="1"/>
        </w:rPr>
        <w:t>دسترسی به متنِ دقیقِ ۲۶ ماده اجازه داد نتیجه‌گیری به‌جای احکامِ کلی، بر تحلیلِ مشخصِ محتوای هر اصل استوار شود؛ و همین امکانِ سنجشِ واقع‌بینانهٔ «ارزش‌افزوده در برابرِ خطرِ تضعیفِ رژیم‌های موجود» را فراهم کرد.</w:t>
      </w:r>
    </w:p>
    <w:p>
      <w:pPr>
        <w:bidi w:val="1"/>
        <w:spacing w:line="312" w:lineRule="auto" w:before="0" w:after="60"/>
        <w:jc w:val="right"/>
      </w:pPr>
      <w:r>
        <w:rPr>
          <w:rFonts w:ascii="Times New Roman" w:hAnsi="Times New Roman" w:cs="B Nazanin"/>
          <w:sz w:val="22"/>
          <w:szCs w:val="24"/>
          <w:rtl w:val="1"/>
          <w:b/>
          <w:bCs/>
          <w:color w:val="5a4a8a"/>
        </w:rPr>
        <w:t xml:space="preserve">یادداشتِ استناد: </w:t>
      </w:r>
      <w:r>
        <w:rPr>
          <w:rFonts w:ascii="Times New Roman" w:hAnsi="Times New Roman" w:cs="B Nazanin"/>
          <w:sz w:val="22"/>
          <w:szCs w:val="24"/>
          <w:rtl w:val="1"/>
        </w:rPr>
        <w:t>متنِ مبنای تحلیلِ محتواییِ اصولِ پیمان (فصل۳) و سنجشِ نسبتِ آن با MEAهای موجود (فصل۴).</w:t>
      </w:r>
    </w:p>
    <w:p>
      <w:pPr>
        <w:pBdr>
          <w:bottom w:val="single" w:sz="6" w:space="1" w:color="b08d3f"/>
        </w:pBdr>
        <w:spacing w:after="40"/>
      </w:pPr>
    </w:p>
    <w:p>
      <w:r>
        <w:br w:type="page"/>
      </w:r>
    </w:p>
    <w:p>
      <w:pPr>
        <w:pStyle w:val="GPEHeading1"/>
        <w:bidi w:val="1"/>
        <w:spacing w:line="312" w:lineRule="auto" w:before="280" w:after="120"/>
        <w:jc w:val="right"/>
      </w:pPr>
      <w:r>
        <w:rPr>
          <w:rFonts w:ascii="Times New Roman" w:hAnsi="Times New Roman" w:cs="B Nazanin"/>
          <w:sz w:val="24"/>
          <w:szCs w:val="32"/>
          <w:rtl w:val="1"/>
          <w:b/>
          <w:bCs/>
          <w:color w:val="14203a"/>
        </w:rPr>
        <w:t>جمع‌بندی: چگونه این منابع نتیجه‌گیریِ سناریوی ما را بهینه کردند</w:t>
      </w:r>
    </w:p>
    <w:p>
      <w:pPr>
        <w:bidi w:val="1"/>
        <w:spacing w:line="312" w:lineRule="auto" w:before="0" w:after="120"/>
        <w:ind w:firstLine="340"/>
        <w:jc w:val="both"/>
      </w:pPr>
      <w:r>
        <w:rPr>
          <w:rFonts w:ascii="Times New Roman" w:hAnsi="Times New Roman" w:cs="B Nazanin"/>
          <w:sz w:val="22"/>
          <w:szCs w:val="28"/>
          <w:rtl w:val="1"/>
        </w:rPr>
        <w:t>جمع‌بندیِ روش‌شناختی: نتیجه‌گیریِ رساله آگاهانه بر تلفیقِ سه الگوی شاخصِ هم‌موضوع بنا شده است. از تیگره (۲۰۲۲) سبکِ «استنادِ متراکمِ درون‌متنی» و ساختارِ «سنتز ← گزینه‌ها»؛ از داموآ و همکاران (۲۰۲۶، با احتیاطِ داوری‌نشده) ساختارِ «دلالت‌های سیاستی + پیشنهادِ پژوهشِ آینده»؛ و از تیلر (۲۰۱۸) منطقِ «داوریِ متعادل و مشروط». بر بسترِ سندِ پراکندگیِ کمیسیون حقوق بین‌الملل (۲۰۰۶) به‌مثابهٔ چارچوبِ نظری، این سه الگو با افزودنِ لایهٔ آینده‌پژوهی (سناریو + نقشهٔ راه) در هم آمیخته‌اند. همهٔ گزاره‌های نتیجه‌گیری یا به منبعِ معتبر یا به تحلیلِ فصولِ پیشین مستند شده‌اند.</w:t>
      </w:r>
    </w:p>
    <w:p>
      <w:pPr>
        <w:bidi w:val="1"/>
        <w:spacing w:line="312" w:lineRule="auto" w:before="0" w:after="120"/>
        <w:ind w:firstLine="340"/>
        <w:jc w:val="both"/>
      </w:pPr>
      <w:r>
        <w:rPr>
          <w:rFonts w:ascii="Times New Roman" w:hAnsi="Times New Roman" w:cs="B Nazanin"/>
          <w:sz w:val="22"/>
          <w:szCs w:val="28"/>
          <w:rtl w:val="1"/>
        </w:rPr>
        <w:t>چگونه این منابع سناریوی ما را بهینه کردند؟ سناریوی اولیهٔ نگارنده پنج خلأ داشت که این منابع در رفعِ آن‌ها نقشِ مستقیم داشتند: (۱) تنشِ زمانیِ پرسشِ اصلی (فعلِ «خواهد داشت» در برابرِ واقعیتِ شکستِ ۲۰۲۲) با کمکِ چارچوبِ دوگانهٔ چاباسون و اِژه بازقاب‌بندی شد به «تأثیر بالقوه + تحلیلِ خلافِ‌واقع + نقشهٔ راه»؛ (۲) تحلیلِ تطبیقیِ شکست‌ها با اتکا به یادداشتِ IDDRI از حدِ اشاره به یک گفتارِ مستقل ارتقا یافت؛ (۳) سازوکارِ حقوقیِ اثرِ پیمان بر MEAها با تکیه بر سند کمیسیون حقوق بین‌الملل و مادهٔ ۳۱(۳)(ج) وین از توصیف به تحلیلِ هنجاری عمق گرفت؛ (۴) راهکارِ جایگزینِ سازنده (نقشهٔ راهِ تدریجیِ گذارِ اصول از حقوق نرم به سند چتر) با الهام از رویکردِ حق‌محورِ تیگره پررنگ شد؛ و (۵) پیوندِ صریح با قطعنامهٔ حق بر محیط‌زیستِ سالم (۷۶/۳۰۰) به‌مثابهٔ میراثِ زندهٔ ابتکار افزوده شد.</w:t>
      </w:r>
    </w:p>
    <w:p>
      <w:pPr>
        <w:bidi w:val="1"/>
        <w:spacing w:line="312" w:lineRule="auto" w:before="0" w:after="120"/>
        <w:ind w:firstLine="340"/>
        <w:jc w:val="both"/>
      </w:pPr>
      <w:r>
        <w:rPr>
          <w:rFonts w:ascii="Times New Roman" w:hAnsi="Times New Roman" w:cs="B Nazanin"/>
          <w:sz w:val="22"/>
          <w:szCs w:val="28"/>
          <w:rtl w:val="1"/>
        </w:rPr>
        <w:t>نتیجهٔ نهایی: تلفیقِ این منابع به نتیجه‌گیریِ رساله اجازه داد از «روایتِ شکست» به «تحلیلِ دستاوردهای پنهانِ فرایند» گذر کند و به گزارهٔ متوازن و مستندِ زیر برسد: هدفِ انسجام‌بخشیِ اصول از رهگذرِ یک سندِ چتر مطلوب بود، اما ابزارِ «معاهدهٔ واحدِ اجماع‌محور» با سرشتِ واکنشی، بخشی و چندپارهٔ حقوق بین‌الملل محیط زیست ناسازگار است؛ ازاین‌رو مسیرِ واقع‌بینانه، گذارِ تدریجیِ اصول از حقوق نرم به الزامِ سخت، همراه با تقویتِ تفسیرِ هماهنگ میانِ رژیم‌ها، است.</w:t>
      </w:r>
    </w:p>
    <w:p/>
    <w:p>
      <w:pPr>
        <w:pStyle w:val="GPEHeading1"/>
        <w:bidi w:val="1"/>
        <w:spacing w:line="312" w:lineRule="auto" w:before="280" w:after="120"/>
        <w:jc w:val="right"/>
      </w:pPr>
      <w:r>
        <w:rPr>
          <w:rFonts w:ascii="Times New Roman" w:hAnsi="Times New Roman" w:cs="B Nazanin"/>
          <w:sz w:val="24"/>
          <w:szCs w:val="32"/>
          <w:rtl w:val="1"/>
          <w:b/>
          <w:bCs/>
          <w:color w:val="14203a"/>
        </w:rPr>
        <w:t>ارتقاهای عملیِ اعمال‌شده بر نتیجه‌گیری در پیِ این هضم</w:t>
      </w:r>
    </w:p>
    <w:p>
      <w:pPr>
        <w:bidi w:val="1"/>
        <w:spacing w:line="312" w:lineRule="auto" w:before="0" w:after="120"/>
        <w:ind w:firstLine="340"/>
        <w:jc w:val="both"/>
      </w:pPr>
      <w:r>
        <w:rPr>
          <w:rFonts w:ascii="Times New Roman" w:hAnsi="Times New Roman" w:cs="B Nazanin"/>
          <w:sz w:val="22"/>
          <w:szCs w:val="28"/>
          <w:rtl w:val="1"/>
        </w:rPr>
        <w:t>در پیِ این هضم، به‌طورِ مشخص نتیجه‌گیریِ رساله بازبینی و تقویت شد تا هر پیشنهاد «مرجع‌محور» و همراه با «استدلالِ روشن» باشد. مهم‌ترین ارتقا، بازنویسیِ نقشهٔ راهِ شش‌ستونیِ جایگزین بود: پیش‌تر ستون‌ها فقط نام‌گذاری شده بودند، اما اکنون هر ستون به یک منبعِ معتبرِ مشخص گره خورده و توضیح می‌دهد که به کدام علتِ شکستِ پیمان پاسخ می‌دهد و چرا با سرشتِ حقوق بین‌الملل محیط زیست سازگار است:</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یکم (توسعهٔ رویهٔ قضایی) ← بر تزِ تیگره (۲۰۲۲) و نظرِ مشورتیِ دیوان بین‌المللی دادگستری (۲۰۲۵) استوار شد؛ پاسخ به علتِ «اجماع‌گریزی».</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دوم (تقویتِ نهادیِ یونپ) ← بر تحلیلِ چاباسون و اِژه (۲۰۱۹) از «رقابتِ نهادی» و خلأِ هماهنگیِ کمیسیون حقوق بین‌الملل (۲۰۰۶).</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سوم (بازنگریِ ادواریِ زیست‌محیطی به الگوی UPR) ← بر تشخیصِ «ضعفِ اجرا» نزدِ تیلر (۲۰۱۸) و داموآ و همکاران (۲۰۲۶، با احتیاط).</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چهارم (خوشه‌بندی و هم‌افزایی) ← بر هشدارِ تیلر (۲۰۱۸) دربارهٔ خطرِ تضعیفِ رژیم‌های موجود و الگوی بازل-روتردام-استکهلم.</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پنجم (حقوق نرم) ← بر گزارهٔ چاباسون و اِژه (۲۰۱۹) که بازدهِ واقعیِ فرایند را قطعنامه‌های ۷۲/۲۷۷ و ۷۶/۳۰۰ می‌داند و بر تزِ تیگره.</w:t>
      </w:r>
    </w:p>
    <w:p>
      <w:pPr>
        <w:bidi w:val="1"/>
        <w:spacing w:line="312" w:lineRule="auto" w:before="0" w:after="80"/>
        <w:ind w:right="340"/>
        <w:jc w:val="both"/>
      </w:pPr>
      <w:r>
        <w:rPr>
          <w:rFonts w:ascii="Times New Roman" w:hAnsi="Times New Roman" w:cs="B Nazanin"/>
          <w:sz w:val="22"/>
          <w:szCs w:val="26"/>
          <w:rtl w:val="1"/>
          <w:b/>
          <w:bCs/>
          <w:color w:val="1e6b3a"/>
        </w:rPr>
        <w:t xml:space="preserve">✔ </w:t>
      </w:r>
      <w:r>
        <w:rPr>
          <w:rFonts w:ascii="Times New Roman" w:hAnsi="Times New Roman" w:cs="B Nazanin"/>
          <w:sz w:val="22"/>
          <w:szCs w:val="26"/>
          <w:rtl w:val="1"/>
        </w:rPr>
        <w:t>ستونِ ششم (یکسان‌سازیِ تفسیر با مادهٔ ۳۱(۳)(ج) وین) ← بر سندِ کمیسیون حقوق بین‌الملل (۲۰۰۶) و در پاسخِ مستقیم به تردیدِ تیلر (۲۰۱۸).</w:t>
      </w:r>
    </w:p>
    <w:p>
      <w:pPr>
        <w:bidi w:val="1"/>
        <w:spacing w:line="312" w:lineRule="auto" w:before="0" w:after="120"/>
        <w:ind w:firstLine="340"/>
        <w:jc w:val="both"/>
      </w:pPr>
      <w:r>
        <w:rPr>
          <w:rFonts w:ascii="Times New Roman" w:hAnsi="Times New Roman" w:cs="B Nazanin"/>
          <w:sz w:val="22"/>
          <w:szCs w:val="28"/>
          <w:rtl w:val="1"/>
        </w:rPr>
        <w:t>افزون بر این، بندِ پایانیِ «جمع‌بندیِ یافته‌ها» (۵-۱) با یک گزارهٔ سومِ متوازن تقویت شد — نه «ناکامیِ محض» و نه «کامیابیِ پنهان» — و بندِ «پیشنهادها و نقشهٔ راهِ عملی» (۵-۴) نیز بازنویسی شد تا هر یک از شش پیشنهاد، لنگرِ مرجعیِ خود را به‌همراه داشته باشد. این ارتقاها در نسخهٔ به‌روزِ فایلِ Word و PDF رساله و در بخشِ «نتیجه‌گیری» و «سناریو»ی سایت بازتاب یافته است. سناریوی پنج‌فصلیِ نگارنده حفظ شد و صرفاً همین ارتقاهای هدف‌مند بر آن اعمال گردید؛ نیازی به بازنویسیِ ساختارِ سناریو یا اصلاحِ بدنهٔ رساله فراتر از این نبود.</w:t>
      </w:r>
    </w:p>
    <w:p/>
    <w:p>
      <w:pPr>
        <w:pBdr>
          <w:bottom w:val="single" w:sz="6" w:space="1" w:color="b08d3f"/>
        </w:pBdr>
        <w:spacing w:after="40"/>
      </w:pPr>
    </w:p>
    <w:p>
      <w:pPr>
        <w:bidi w:val="1"/>
        <w:spacing w:line="312" w:lineRule="auto" w:before="0" w:after="80"/>
        <w:jc w:val="center"/>
      </w:pPr>
      <w:r>
        <w:rPr>
          <w:rFonts w:ascii="Times New Roman" w:hAnsi="Times New Roman" w:cs="B Nazanin"/>
          <w:sz w:val="24"/>
          <w:szCs w:val="22"/>
          <w:rtl w:val="1"/>
        </w:rPr>
        <w:t>HJR's Agentic Architecture @2026 — Dedicated for Dr. Masoud Ahsannejad</w:t>
      </w:r>
    </w:p>
    <w:sectPr w:rsidR="00FC693F" w:rsidRPr="0006063C" w:rsidSect="00034616">
      <w:pgSz w:w="11906" w:h="16838"/>
      <w:pgMar w:top="1701" w:right="1587" w:bottom="1587" w:left="158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B Nazanin"/>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Text"/>
    <w:pPr>
      <w:spacing w:after="0"/>
    </w:pPr>
    <w:rPr>
      <w:rFonts w:ascii="Times New Roman" w:hAnsi="Times New Roman"/>
      <w:sz w:val="22"/>
    </w:rPr>
  </w:style>
  <w:style w:type="character" w:customStyle="1" w:styleId="FootnoteReference">
    <w:name w:val="FootnoteReference"/>
    <w:rPr>
      <w:sz w:val="22"/>
      <w:vertAlign w:val="superscript"/>
    </w:rPr>
  </w:style>
  <w:style w:type="paragraph" w:customStyle="1" w:styleId="GPEHeading1">
    <w:name w:val="GPEHeading1"/>
    <w:basedOn w:val="Normal"/>
    <w:next w:val="Normal"/>
    <w:pPr>
      <w:keepNext/>
      <w:bidi w:val="1"/>
      <w:jc w:val="right"/>
    </w:pPr>
    <w:rPr>
      <w:rtl w:val="1"/>
      <w:b/>
      <w:bCs/>
    </w:rPr>
  </w:style>
  <w:style w:type="paragraph" w:customStyle="1" w:styleId="GPEHeading2">
    <w:name w:val="GPEHeading2"/>
    <w:basedOn w:val="Normal"/>
    <w:next w:val="Normal"/>
    <w:pPr>
      <w:keepNext/>
      <w:bidi w:val="1"/>
      <w:jc w:val="right"/>
    </w:pPr>
    <w:rPr>
      <w:rtl w:val="1"/>
      <w:b/>
      <w:bCs/>
    </w:rPr>
  </w:style>
  <w:style w:type="paragraph" w:customStyle="1" w:styleId="GPEHeading3">
    <w:name w:val="GPEHeading3"/>
    <w:basedOn w:val="Normal"/>
    <w:next w:val="Normal"/>
    <w:pPr>
      <w:keepNext/>
      <w:bidi w:val="1"/>
      <w:jc w:val="right"/>
    </w:pPr>
    <w:rPr>
      <w:rtl w:val="1"/>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