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hase-4-model-validation-summary"/>
    <w:p>
      <w:pPr>
        <w:pStyle w:val="Heading1"/>
      </w:pPr>
      <w:r>
        <w:t xml:space="preserve">Phase 4: Model Validation Summary</w:t>
      </w:r>
    </w:p>
    <w:bookmarkStart w:id="20" w:name="X7d8ff646bf22647c58141f2bbaec5761620ef85"/>
    <w:p>
      <w:pPr>
        <w:pStyle w:val="Heading2"/>
      </w:pPr>
      <w:r>
        <w:t xml:space="preserve">Comprehensive Validation and Robustness Analysis of Machine Learning Models</w:t>
      </w:r>
    </w:p>
    <w:p>
      <w:pPr>
        <w:pStyle w:val="FirstParagraph"/>
      </w:pPr>
      <w:r>
        <w:rPr>
          <w:bCs/>
          <w:b/>
        </w:rPr>
        <w:t xml:space="preserve">Date:</w:t>
      </w:r>
      <w:r>
        <w:t xml:space="preserve"> </w:t>
      </w:r>
      <w:r>
        <w:t xml:space="preserve">March 13, 2026</w:t>
      </w:r>
      <w:r>
        <w:t xml:space="preserve"> </w:t>
      </w:r>
      <w:r>
        <w:rPr>
          <w:bCs/>
          <w:b/>
        </w:rPr>
        <w:t xml:space="preserve">Project:</w:t>
      </w:r>
      <w:r>
        <w:t xml:space="preserve"> </w:t>
      </w:r>
      <w:r>
        <w:t xml:space="preserve">NOA Prediction System with Machine Learning</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Phase 4 included comprehensive validation of 15 machine learning models through 10 different validation methods. The main goal of this phase is to ensure the reliability, reproducibility, and robustness of the models for clinical use.</w:t>
      </w:r>
    </w:p>
    <w:p>
      <w:r>
        <w:pict>
          <v:rect style="width:0;height:1.5pt" o:hralign="center" o:hrstd="t" o:hr="t"/>
        </w:pict>
      </w:r>
    </w:p>
    <w:bookmarkEnd w:id="21"/>
    <w:bookmarkStart w:id="23" w:name="key-findings"/>
    <w:p>
      <w:pPr>
        <w:pStyle w:val="Heading2"/>
      </w:pPr>
      <w:r>
        <w:t xml:space="preserve">Key Findings</w:t>
      </w:r>
    </w:p>
    <w:bookmarkStart w:id="22" w:name="best-model-svm-support-vector-machine"/>
    <w:p>
      <w:pPr>
        <w:pStyle w:val="Heading3"/>
      </w:pPr>
      <w:r>
        <w:t xml:space="preserve">Best Model: SVM (Support Vector Machine)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rPr>
                <w:bCs/>
                <w:b/>
              </w:rPr>
              <w:t xml:space="preserve">Best AUC</w:t>
            </w:r>
          </w:p>
        </w:tc>
        <w:tc>
          <w:tcPr/>
          <w:p>
            <w:pPr>
              <w:pStyle w:val="Compact"/>
              <w:jc w:val="left"/>
            </w:pPr>
            <w:r>
              <w:t xml:space="preserve">0.984</w:t>
            </w:r>
          </w:p>
        </w:tc>
      </w:tr>
      <w:tr>
        <w:tc>
          <w:tcPr/>
          <w:p>
            <w:pPr>
              <w:pStyle w:val="Compact"/>
              <w:jc w:val="left"/>
            </w:pPr>
            <w:r>
              <w:rPr>
                <w:bCs/>
                <w:b/>
              </w:rPr>
              <w:t xml:space="preserve">95% Confidence Interval</w:t>
            </w:r>
          </w:p>
        </w:tc>
        <w:tc>
          <w:tcPr/>
          <w:p>
            <w:pPr>
              <w:pStyle w:val="Compact"/>
              <w:jc w:val="left"/>
            </w:pPr>
            <w:r>
              <w:t xml:space="preserve">[0.976 – 0.991]</w:t>
            </w:r>
          </w:p>
        </w:tc>
      </w:tr>
      <w:tr>
        <w:tc>
          <w:tcPr/>
          <w:p>
            <w:pPr>
              <w:pStyle w:val="Compact"/>
              <w:jc w:val="left"/>
            </w:pPr>
            <w:r>
              <w:rPr>
                <w:bCs/>
                <w:b/>
              </w:rPr>
              <w:t xml:space="preserve">Stability</w:t>
            </w:r>
          </w:p>
        </w:tc>
        <w:tc>
          <w:tcPr/>
          <w:p>
            <w:pPr>
              <w:pStyle w:val="Compact"/>
              <w:jc w:val="left"/>
            </w:pPr>
            <w:r>
              <w:t xml:space="preserve">High (CV: 0.08%)</w:t>
            </w:r>
          </w:p>
        </w:tc>
      </w:tr>
      <w:tr>
        <w:tc>
          <w:tcPr/>
          <w:p>
            <w:pPr>
              <w:pStyle w:val="Compact"/>
              <w:jc w:val="left"/>
            </w:pPr>
            <w:r>
              <w:rPr>
                <w:bCs/>
                <w:b/>
              </w:rPr>
              <w:t xml:space="preserve">Noise Robustness</w:t>
            </w:r>
          </w:p>
        </w:tc>
        <w:tc>
          <w:tcPr/>
          <w:p>
            <w:pPr>
              <w:pStyle w:val="Compact"/>
              <w:jc w:val="left"/>
            </w:pPr>
            <w:r>
              <w:t xml:space="preserve">High (-0.02%)</w:t>
            </w:r>
          </w:p>
        </w:tc>
      </w:tr>
    </w:tbl>
    <w:p>
      <w:r>
        <w:pict>
          <v:rect style="width:0;height:1.5pt" o:hralign="center" o:hrstd="t" o:hr="t"/>
        </w:pict>
      </w:r>
    </w:p>
    <w:bookmarkEnd w:id="22"/>
    <w:bookmarkEnd w:id="23"/>
    <w:bookmarkStart w:id="34" w:name="validation-methods"/>
    <w:p>
      <w:pPr>
        <w:pStyle w:val="Heading2"/>
      </w:pPr>
      <w:r>
        <w:t xml:space="preserve">Validation Methods</w:t>
      </w:r>
    </w:p>
    <w:bookmarkStart w:id="24" w:name="k-fold-cross-validation"/>
    <w:p>
      <w:pPr>
        <w:pStyle w:val="Heading3"/>
      </w:pPr>
      <w:r>
        <w:t xml:space="preserve">1. K-Fold Cross-Validation</w:t>
      </w:r>
    </w:p>
    <w:p>
      <w:pPr>
        <w:numPr>
          <w:ilvl w:val="0"/>
          <w:numId w:val="1001"/>
        </w:numPr>
        <w:pStyle w:val="Compact"/>
      </w:pPr>
      <w:r>
        <w:t xml:space="preserve">5 and 10 folds</w:t>
      </w:r>
    </w:p>
    <w:p>
      <w:pPr>
        <w:numPr>
          <w:ilvl w:val="0"/>
          <w:numId w:val="1001"/>
        </w:numPr>
        <w:pStyle w:val="Compact"/>
      </w:pPr>
      <w:r>
        <w:t xml:space="preserve">SVM showed the best performance with AUC 0.985</w:t>
      </w:r>
    </w:p>
    <w:bookmarkEnd w:id="24"/>
    <w:bookmarkStart w:id="25" w:name="stratified-analysis"/>
    <w:p>
      <w:pPr>
        <w:pStyle w:val="Heading3"/>
      </w:pPr>
      <w:r>
        <w:t xml:space="preserve">2. Stratified Analysis</w:t>
      </w:r>
    </w:p>
    <w:p>
      <w:pPr>
        <w:numPr>
          <w:ilvl w:val="0"/>
          <w:numId w:val="1002"/>
        </w:numPr>
        <w:pStyle w:val="Compact"/>
      </w:pPr>
      <w:r>
        <w:t xml:space="preserve">Coefficient of Variation (CV) computed for all models</w:t>
      </w:r>
    </w:p>
    <w:p>
      <w:pPr>
        <w:numPr>
          <w:ilvl w:val="0"/>
          <w:numId w:val="1002"/>
        </w:numPr>
        <w:pStyle w:val="Compact"/>
      </w:pPr>
      <w:r>
        <w:t xml:space="preserve">15/15 models demonstrated high stability</w:t>
      </w:r>
    </w:p>
    <w:bookmarkEnd w:id="25"/>
    <w:bookmarkStart w:id="26" w:name="loocv-50-fold-approximation"/>
    <w:p>
      <w:pPr>
        <w:pStyle w:val="Heading3"/>
      </w:pPr>
      <w:r>
        <w:t xml:space="preserve">3. LOOCV (50-fold approximation)</w:t>
      </w:r>
    </w:p>
    <w:p>
      <w:pPr>
        <w:numPr>
          <w:ilvl w:val="0"/>
          <w:numId w:val="1003"/>
        </w:numPr>
        <w:pStyle w:val="Compact"/>
      </w:pPr>
      <w:r>
        <w:t xml:space="preserve">Confirmed K-Fold results</w:t>
      </w:r>
    </w:p>
    <w:p>
      <w:pPr>
        <w:numPr>
          <w:ilvl w:val="0"/>
          <w:numId w:val="1003"/>
        </w:numPr>
        <w:pStyle w:val="Compact"/>
      </w:pPr>
      <w:r>
        <w:t xml:space="preserve">High agreement between methods</w:t>
      </w:r>
    </w:p>
    <w:bookmarkEnd w:id="26"/>
    <w:bookmarkStart w:id="27" w:name="repeated-k-fold-1010"/>
    <w:p>
      <w:pPr>
        <w:pStyle w:val="Heading3"/>
      </w:pPr>
      <w:r>
        <w:t xml:space="preserve">4. Repeated K-Fold (10×10)</w:t>
      </w:r>
    </w:p>
    <w:p>
      <w:pPr>
        <w:numPr>
          <w:ilvl w:val="0"/>
          <w:numId w:val="1004"/>
        </w:numPr>
        <w:pStyle w:val="Compact"/>
      </w:pPr>
      <w:r>
        <w:t xml:space="preserve">100 evaluations per model</w:t>
      </w:r>
    </w:p>
    <w:p>
      <w:pPr>
        <w:numPr>
          <w:ilvl w:val="0"/>
          <w:numId w:val="1004"/>
        </w:numPr>
        <w:pStyle w:val="Compact"/>
      </w:pPr>
      <w:r>
        <w:t xml:space="preserve">Tighter confidence intervals</w:t>
      </w:r>
    </w:p>
    <w:bookmarkEnd w:id="27"/>
    <w:bookmarkStart w:id="28" w:name="bootstrap-validation"/>
    <w:p>
      <w:pPr>
        <w:pStyle w:val="Heading3"/>
      </w:pPr>
      <w:r>
        <w:t xml:space="preserve">5. Bootstrap Validation</w:t>
      </w:r>
    </w:p>
    <w:p>
      <w:pPr>
        <w:numPr>
          <w:ilvl w:val="0"/>
          <w:numId w:val="1005"/>
        </w:numPr>
        <w:pStyle w:val="Compact"/>
      </w:pPr>
      <w:r>
        <w:t xml:space="preserve">50–100 iterations per model</w:t>
      </w:r>
    </w:p>
    <w:p>
      <w:pPr>
        <w:numPr>
          <w:ilvl w:val="0"/>
          <w:numId w:val="1005"/>
        </w:numPr>
        <w:pStyle w:val="Compact"/>
      </w:pPr>
      <w:r>
        <w:t xml:space="preserve">95% confidence intervals computed</w:t>
      </w:r>
    </w:p>
    <w:bookmarkEnd w:id="28"/>
    <w:bookmarkStart w:id="29" w:name="nested-cross-validation"/>
    <w:p>
      <w:pPr>
        <w:pStyle w:val="Heading3"/>
      </w:pPr>
      <w:r>
        <w:t xml:space="preserve">6. Nested Cross-Validation</w:t>
      </w:r>
    </w:p>
    <w:p>
      <w:pPr>
        <w:numPr>
          <w:ilvl w:val="0"/>
          <w:numId w:val="1006"/>
        </w:numPr>
        <w:pStyle w:val="Compact"/>
      </w:pPr>
      <w:r>
        <w:t xml:space="preserve">Separates hyperparameter tuning from evaluation</w:t>
      </w:r>
    </w:p>
    <w:p>
      <w:pPr>
        <w:numPr>
          <w:ilvl w:val="0"/>
          <w:numId w:val="1006"/>
        </w:numPr>
        <w:pStyle w:val="Compact"/>
      </w:pPr>
      <w:r>
        <w:t xml:space="preserve">Eliminates optimistic bias</w:t>
      </w:r>
    </w:p>
    <w:bookmarkEnd w:id="29"/>
    <w:bookmarkStart w:id="30" w:name="overfitting-detection"/>
    <w:p>
      <w:pPr>
        <w:pStyle w:val="Heading3"/>
      </w:pPr>
      <w:r>
        <w:t xml:space="preserve">7. Overfitting Detection</w:t>
      </w:r>
    </w:p>
    <w:p>
      <w:pPr>
        <w:numPr>
          <w:ilvl w:val="0"/>
          <w:numId w:val="1007"/>
        </w:numPr>
        <w:pStyle w:val="Compact"/>
      </w:pPr>
      <w:r>
        <w:t xml:space="preserve">12 models needed regularization tuning</w:t>
      </w:r>
    </w:p>
    <w:p>
      <w:pPr>
        <w:numPr>
          <w:ilvl w:val="0"/>
          <w:numId w:val="1007"/>
        </w:numPr>
        <w:pStyle w:val="Compact"/>
      </w:pPr>
      <w:r>
        <w:t xml:space="preserve">DecisionTree: severe overfitting (28.35%)</w:t>
      </w:r>
    </w:p>
    <w:bookmarkEnd w:id="30"/>
    <w:bookmarkStart w:id="31" w:name="learning-curves"/>
    <w:p>
      <w:pPr>
        <w:pStyle w:val="Heading3"/>
      </w:pPr>
      <w:r>
        <w:t xml:space="preserve">8. Learning Curves</w:t>
      </w:r>
    </w:p>
    <w:p>
      <w:pPr>
        <w:numPr>
          <w:ilvl w:val="0"/>
          <w:numId w:val="1008"/>
        </w:numPr>
        <w:pStyle w:val="Compact"/>
      </w:pPr>
      <w:r>
        <w:t xml:space="preserve">Bias-variance trade-off analysis</w:t>
      </w:r>
    </w:p>
    <w:p>
      <w:pPr>
        <w:numPr>
          <w:ilvl w:val="0"/>
          <w:numId w:val="1008"/>
        </w:numPr>
        <w:pStyle w:val="Compact"/>
      </w:pPr>
      <w:r>
        <w:t xml:space="preserve">Identification of optimal models</w:t>
      </w:r>
    </w:p>
    <w:bookmarkEnd w:id="31"/>
    <w:bookmarkStart w:id="32" w:name="stability-analysis-10-random-seeds"/>
    <w:p>
      <w:pPr>
        <w:pStyle w:val="Heading3"/>
      </w:pPr>
      <w:r>
        <w:t xml:space="preserve">9. Stability Analysis (10 random seeds)</w:t>
      </w:r>
    </w:p>
    <w:p>
      <w:pPr>
        <w:numPr>
          <w:ilvl w:val="0"/>
          <w:numId w:val="1009"/>
        </w:numPr>
        <w:pStyle w:val="Compact"/>
      </w:pPr>
      <w:r>
        <w:t xml:space="preserve">All models: CV &lt; 2%</w:t>
      </w:r>
    </w:p>
    <w:p>
      <w:pPr>
        <w:numPr>
          <w:ilvl w:val="0"/>
          <w:numId w:val="1009"/>
        </w:numPr>
        <w:pStyle w:val="Compact"/>
      </w:pPr>
      <w:r>
        <w:t xml:space="preserve">SVM: most stable (CV: 0.08%)</w:t>
      </w:r>
    </w:p>
    <w:bookmarkEnd w:id="32"/>
    <w:bookmarkStart w:id="33" w:name="robustness-test-noise-injection"/>
    <w:p>
      <w:pPr>
        <w:pStyle w:val="Heading3"/>
      </w:pPr>
      <w:r>
        <w:t xml:space="preserve">10. Robustness Test (noise injection)</w:t>
      </w:r>
    </w:p>
    <w:p>
      <w:pPr>
        <w:numPr>
          <w:ilvl w:val="0"/>
          <w:numId w:val="1010"/>
        </w:numPr>
        <w:pStyle w:val="Compact"/>
      </w:pPr>
      <w:r>
        <w:t xml:space="preserve">Noise levels: 1%, 5%, 10%</w:t>
      </w:r>
    </w:p>
    <w:p>
      <w:pPr>
        <w:numPr>
          <w:ilvl w:val="0"/>
          <w:numId w:val="1010"/>
        </w:numPr>
        <w:pStyle w:val="Compact"/>
      </w:pPr>
      <w:r>
        <w:t xml:space="preserve">13/15 models: high robustness</w:t>
      </w:r>
    </w:p>
    <w:p>
      <w:r>
        <w:pict>
          <v:rect style="width:0;height:1.5pt" o:hralign="center" o:hrstd="t" o:hr="t"/>
        </w:pict>
      </w:r>
    </w:p>
    <w:bookmarkEnd w:id="33"/>
    <w:bookmarkEnd w:id="34"/>
    <w:bookmarkStart w:id="35" w:name="model-ranking"/>
    <w:p>
      <w:pPr>
        <w:pStyle w:val="Heading2"/>
      </w:pPr>
      <w:r>
        <w:t xml:space="preserve">Model Ranking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Model</w:t>
            </w:r>
          </w:p>
        </w:tc>
        <w:tc>
          <w:tcPr/>
          <w:p>
            <w:pPr>
              <w:pStyle w:val="Compact"/>
              <w:jc w:val="left"/>
            </w:pPr>
            <w:r>
              <w:t xml:space="preserve">AUC</w:t>
            </w:r>
          </w:p>
        </w:tc>
        <w:tc>
          <w:tcPr/>
          <w:p>
            <w:pPr>
              <w:pStyle w:val="Compact"/>
              <w:jc w:val="left"/>
            </w:pPr>
            <w:r>
              <w:t xml:space="preserve">Confidence Interval</w:t>
            </w:r>
          </w:p>
        </w:tc>
      </w:tr>
      <w:tr>
        <w:tc>
          <w:tcPr/>
          <w:p>
            <w:pPr>
              <w:pStyle w:val="Compact"/>
              <w:jc w:val="left"/>
            </w:pPr>
            <w:r>
              <w:t xml:space="preserve">1</w:t>
            </w:r>
          </w:p>
        </w:tc>
        <w:tc>
          <w:tcPr/>
          <w:p>
            <w:pPr>
              <w:pStyle w:val="Compact"/>
              <w:jc w:val="left"/>
            </w:pPr>
            <w:r>
              <w:t xml:space="preserve">SVM</w:t>
            </w:r>
          </w:p>
        </w:tc>
        <w:tc>
          <w:tcPr/>
          <w:p>
            <w:pPr>
              <w:pStyle w:val="Compact"/>
              <w:jc w:val="left"/>
            </w:pPr>
            <w:r>
              <w:t xml:space="preserve">0.984</w:t>
            </w:r>
          </w:p>
        </w:tc>
        <w:tc>
          <w:tcPr/>
          <w:p>
            <w:pPr>
              <w:pStyle w:val="Compact"/>
              <w:jc w:val="left"/>
            </w:pPr>
            <w:r>
              <w:t xml:space="preserve">[0.976, 0.991]</w:t>
            </w:r>
          </w:p>
        </w:tc>
      </w:tr>
      <w:tr>
        <w:tc>
          <w:tcPr/>
          <w:p>
            <w:pPr>
              <w:pStyle w:val="Compact"/>
              <w:jc w:val="left"/>
            </w:pPr>
            <w:r>
              <w:t xml:space="preserve">2</w:t>
            </w:r>
          </w:p>
        </w:tc>
        <w:tc>
          <w:tcPr/>
          <w:p>
            <w:pPr>
              <w:pStyle w:val="Compact"/>
              <w:jc w:val="left"/>
            </w:pPr>
            <w:r>
              <w:t xml:space="preserve">MLP</w:t>
            </w:r>
          </w:p>
        </w:tc>
        <w:tc>
          <w:tcPr/>
          <w:p>
            <w:pPr>
              <w:pStyle w:val="Compact"/>
              <w:jc w:val="left"/>
            </w:pPr>
            <w:r>
              <w:t xml:space="preserve">0.976</w:t>
            </w:r>
          </w:p>
        </w:tc>
        <w:tc>
          <w:tcPr/>
          <w:p>
            <w:pPr>
              <w:pStyle w:val="Compact"/>
              <w:jc w:val="left"/>
            </w:pPr>
            <w:r>
              <w:t xml:space="preserve">[0.963, 0.985]</w:t>
            </w:r>
          </w:p>
        </w:tc>
      </w:tr>
      <w:tr>
        <w:tc>
          <w:tcPr/>
          <w:p>
            <w:pPr>
              <w:pStyle w:val="Compact"/>
              <w:jc w:val="left"/>
            </w:pPr>
            <w:r>
              <w:t xml:space="preserve">3</w:t>
            </w:r>
          </w:p>
        </w:tc>
        <w:tc>
          <w:tcPr/>
          <w:p>
            <w:pPr>
              <w:pStyle w:val="Compact"/>
              <w:jc w:val="left"/>
            </w:pPr>
            <w:r>
              <w:t xml:space="preserve">TabNet</w:t>
            </w:r>
          </w:p>
        </w:tc>
        <w:tc>
          <w:tcPr/>
          <w:p>
            <w:pPr>
              <w:pStyle w:val="Compact"/>
              <w:jc w:val="left"/>
            </w:pPr>
            <w:r>
              <w:t xml:space="preserve">0.975</w:t>
            </w:r>
          </w:p>
        </w:tc>
        <w:tc>
          <w:tcPr/>
          <w:p>
            <w:pPr>
              <w:pStyle w:val="Compact"/>
              <w:jc w:val="left"/>
            </w:pPr>
            <w:r>
              <w:t xml:space="preserve">[0.963, 0.985]</w:t>
            </w:r>
          </w:p>
        </w:tc>
      </w:tr>
      <w:tr>
        <w:tc>
          <w:tcPr/>
          <w:p>
            <w:pPr>
              <w:pStyle w:val="Compact"/>
              <w:jc w:val="left"/>
            </w:pPr>
            <w:r>
              <w:t xml:space="preserve">4</w:t>
            </w:r>
          </w:p>
        </w:tc>
        <w:tc>
          <w:tcPr/>
          <w:p>
            <w:pPr>
              <w:pStyle w:val="Compact"/>
              <w:jc w:val="left"/>
            </w:pPr>
            <w:r>
              <w:t xml:space="preserve">CatBoost</w:t>
            </w:r>
          </w:p>
        </w:tc>
        <w:tc>
          <w:tcPr/>
          <w:p>
            <w:pPr>
              <w:pStyle w:val="Compact"/>
              <w:jc w:val="left"/>
            </w:pPr>
            <w:r>
              <w:t xml:space="preserve">0.970</w:t>
            </w:r>
          </w:p>
        </w:tc>
        <w:tc>
          <w:tcPr/>
          <w:p>
            <w:pPr>
              <w:pStyle w:val="Compact"/>
              <w:jc w:val="left"/>
            </w:pPr>
            <w:r>
              <w:t xml:space="preserve">[0.961, 0.980]</w:t>
            </w:r>
          </w:p>
        </w:tc>
      </w:tr>
      <w:tr>
        <w:tc>
          <w:tcPr/>
          <w:p>
            <w:pPr>
              <w:pStyle w:val="Compact"/>
              <w:jc w:val="left"/>
            </w:pPr>
            <w:r>
              <w:t xml:space="preserve">5</w:t>
            </w:r>
          </w:p>
        </w:tc>
        <w:tc>
          <w:tcPr/>
          <w:p>
            <w:pPr>
              <w:pStyle w:val="Compact"/>
              <w:jc w:val="left"/>
            </w:pPr>
            <w:r>
              <w:t xml:space="preserve">StackingEnsemble</w:t>
            </w:r>
          </w:p>
        </w:tc>
        <w:tc>
          <w:tcPr/>
          <w:p>
            <w:pPr>
              <w:pStyle w:val="Compact"/>
              <w:jc w:val="left"/>
            </w:pPr>
            <w:r>
              <w:t xml:space="preserve">0.968</w:t>
            </w:r>
          </w:p>
        </w:tc>
        <w:tc>
          <w:tcPr/>
          <w:p>
            <w:pPr>
              <w:pStyle w:val="Compact"/>
              <w:jc w:val="left"/>
            </w:pPr>
            <w:r>
              <w:t xml:space="preserve">[0.956, 0.978]</w:t>
            </w:r>
          </w:p>
        </w:tc>
      </w:tr>
    </w:tbl>
    <w:p>
      <w:r>
        <w:pict>
          <v:rect style="width:0;height:1.5pt" o:hralign="center" o:hrstd="t" o:hr="t"/>
        </w:pict>
      </w:r>
    </w:p>
    <w:bookmarkEnd w:id="35"/>
    <w:bookmarkStart w:id="39" w:name="key-results"/>
    <w:p>
      <w:pPr>
        <w:pStyle w:val="Heading2"/>
      </w:pPr>
      <w:r>
        <w:t xml:space="preserve">Key Results</w:t>
      </w:r>
    </w:p>
    <w:bookmarkStart w:id="36" w:name="model-stability"/>
    <w:p>
      <w:pPr>
        <w:pStyle w:val="Heading3"/>
      </w:pPr>
      <w:r>
        <w:t xml:space="preserve">Model Stability</w:t>
      </w:r>
    </w:p>
    <w:p>
      <w:pPr>
        <w:numPr>
          <w:ilvl w:val="0"/>
          <w:numId w:val="1011"/>
        </w:numPr>
        <w:pStyle w:val="Compact"/>
      </w:pPr>
      <w:r>
        <w:rPr>
          <w:bCs/>
          <w:b/>
        </w:rPr>
        <w:t xml:space="preserve">All 15 models</w:t>
      </w:r>
      <w:r>
        <w:t xml:space="preserve">: high stability (CV &lt; 2%)</w:t>
      </w:r>
    </w:p>
    <w:p>
      <w:pPr>
        <w:numPr>
          <w:ilvl w:val="0"/>
          <w:numId w:val="1011"/>
        </w:numPr>
        <w:pStyle w:val="Compact"/>
      </w:pPr>
      <w:r>
        <w:rPr>
          <w:bCs/>
          <w:b/>
        </w:rPr>
        <w:t xml:space="preserve">SVM</w:t>
      </w:r>
      <w:r>
        <w:t xml:space="preserve">: most stable with CV 0.08%</w:t>
      </w:r>
    </w:p>
    <w:p>
      <w:pPr>
        <w:numPr>
          <w:ilvl w:val="0"/>
          <w:numId w:val="1011"/>
        </w:numPr>
        <w:pStyle w:val="Compact"/>
      </w:pPr>
      <w:r>
        <w:rPr>
          <w:bCs/>
          <w:b/>
        </w:rPr>
        <w:t xml:space="preserve">DecisionTree</w:t>
      </w:r>
      <w:r>
        <w:t xml:space="preserve">: most variable with CV 1.25%</w:t>
      </w:r>
    </w:p>
    <w:bookmarkEnd w:id="36"/>
    <w:bookmarkStart w:id="37" w:name="noise-robustness"/>
    <w:p>
      <w:pPr>
        <w:pStyle w:val="Heading3"/>
      </w:pPr>
      <w:r>
        <w:t xml:space="preserve">Noise Robustness</w:t>
      </w:r>
    </w:p>
    <w:p>
      <w:pPr>
        <w:numPr>
          <w:ilvl w:val="0"/>
          <w:numId w:val="1012"/>
        </w:numPr>
        <w:pStyle w:val="Compact"/>
      </w:pPr>
      <w:r>
        <w:rPr>
          <w:bCs/>
          <w:b/>
        </w:rPr>
        <w:t xml:space="preserve">1% noise</w:t>
      </w:r>
      <w:r>
        <w:t xml:space="preserve">: all models robust</w:t>
      </w:r>
    </w:p>
    <w:p>
      <w:pPr>
        <w:numPr>
          <w:ilvl w:val="0"/>
          <w:numId w:val="1012"/>
        </w:numPr>
        <w:pStyle w:val="Compact"/>
      </w:pPr>
      <w:r>
        <w:rPr>
          <w:bCs/>
          <w:b/>
        </w:rPr>
        <w:t xml:space="preserve">5% noise</w:t>
      </w:r>
      <w:r>
        <w:t xml:space="preserve">: 14/15 models robust</w:t>
      </w:r>
    </w:p>
    <w:p>
      <w:pPr>
        <w:numPr>
          <w:ilvl w:val="0"/>
          <w:numId w:val="1012"/>
        </w:numPr>
        <w:pStyle w:val="Compact"/>
      </w:pPr>
      <w:r>
        <w:rPr>
          <w:bCs/>
          <w:b/>
        </w:rPr>
        <w:t xml:space="preserve">10% noise</w:t>
      </w:r>
      <w:r>
        <w:t xml:space="preserve">: 13/15 models robust</w:t>
      </w:r>
    </w:p>
    <w:bookmarkEnd w:id="37"/>
    <w:bookmarkStart w:id="38" w:name="overfitting"/>
    <w:p>
      <w:pPr>
        <w:pStyle w:val="Heading3"/>
      </w:pPr>
      <w:r>
        <w:t xml:space="preserve">Overfitting</w:t>
      </w:r>
    </w:p>
    <w:p>
      <w:pPr>
        <w:numPr>
          <w:ilvl w:val="0"/>
          <w:numId w:val="1013"/>
        </w:numPr>
        <w:pStyle w:val="Compact"/>
      </w:pPr>
      <w:r>
        <w:rPr>
          <w:bCs/>
          <w:b/>
        </w:rPr>
        <w:t xml:space="preserve">No overfitting</w:t>
      </w:r>
      <w:r>
        <w:t xml:space="preserve">: SVM, LogisticRegression, NaiveBayes</w:t>
      </w:r>
    </w:p>
    <w:p>
      <w:pPr>
        <w:numPr>
          <w:ilvl w:val="0"/>
          <w:numId w:val="1013"/>
        </w:numPr>
        <w:pStyle w:val="Compact"/>
      </w:pPr>
      <w:r>
        <w:rPr>
          <w:bCs/>
          <w:b/>
        </w:rPr>
        <w:t xml:space="preserve">Tuning required</w:t>
      </w:r>
      <w:r>
        <w:t xml:space="preserve">: the other 12 models</w:t>
      </w:r>
    </w:p>
    <w:p>
      <w:r>
        <w:pict>
          <v:rect style="width:0;height:1.5pt" o:hralign="center" o:hrstd="t" o:hr="t"/>
        </w:pict>
      </w:r>
    </w:p>
    <w:bookmarkEnd w:id="38"/>
    <w:bookmarkEnd w:id="39"/>
    <w:bookmarkStart w:id="42" w:name="clinical-recommendations"/>
    <w:p>
      <w:pPr>
        <w:pStyle w:val="Heading2"/>
      </w:pPr>
      <w:r>
        <w:t xml:space="preserve">Clinical Recommendations</w:t>
      </w:r>
    </w:p>
    <w:bookmarkStart w:id="40" w:name="primary-recommendation"/>
    <w:p>
      <w:pPr>
        <w:pStyle w:val="Heading3"/>
      </w:pPr>
      <w:r>
        <w:t xml:space="preserve">Primary Recommendation</w:t>
      </w:r>
    </w:p>
    <w:p>
      <w:pPr>
        <w:pStyle w:val="FirstParagraph"/>
      </w:pPr>
      <w:r>
        <w:rPr>
          <w:bCs/>
          <w:b/>
        </w:rPr>
        <w:t xml:space="preserve">Use SVM as the primary model:</w:t>
      </w:r>
      <w:r>
        <w:t xml:space="preserve"> </w:t>
      </w:r>
      <w:r>
        <w:t xml:space="preserve">- Best discriminative performance (AUC: 0.984)</w:t>
      </w:r>
      <w:r>
        <w:t xml:space="preserve"> </w:t>
      </w:r>
      <w:r>
        <w:t xml:space="preserve">- Exceptional stability</w:t>
      </w:r>
      <w:r>
        <w:t xml:space="preserve"> </w:t>
      </w:r>
      <w:r>
        <w:t xml:space="preserve">- High noise robustness</w:t>
      </w:r>
      <w:r>
        <w:t xml:space="preserve"> </w:t>
      </w:r>
      <w:r>
        <w:t xml:space="preserve">- No overfitting</w:t>
      </w:r>
    </w:p>
    <w:bookmarkEnd w:id="40"/>
    <w:bookmarkStart w:id="41" w:name="secondary-recommendations"/>
    <w:p>
      <w:pPr>
        <w:pStyle w:val="Heading3"/>
      </w:pPr>
      <w:r>
        <w:t xml:space="preserve">Secondary Recommendations</w:t>
      </w:r>
    </w:p>
    <w:p>
      <w:pPr>
        <w:numPr>
          <w:ilvl w:val="0"/>
          <w:numId w:val="1014"/>
        </w:numPr>
        <w:pStyle w:val="Compact"/>
      </w:pPr>
      <w:r>
        <w:rPr>
          <w:bCs/>
          <w:b/>
        </w:rPr>
        <w:t xml:space="preserve">MLP</w:t>
      </w:r>
      <w:r>
        <w:t xml:space="preserve">: for high-noise conditions</w:t>
      </w:r>
    </w:p>
    <w:p>
      <w:pPr>
        <w:numPr>
          <w:ilvl w:val="0"/>
          <w:numId w:val="1014"/>
        </w:numPr>
        <w:pStyle w:val="Compact"/>
      </w:pPr>
      <w:r>
        <w:rPr>
          <w:bCs/>
          <w:b/>
        </w:rPr>
        <w:t xml:space="preserve">CatBoost</w:t>
      </w:r>
      <w:r>
        <w:t xml:space="preserve">: for gradient-boosting approaches</w:t>
      </w:r>
    </w:p>
    <w:p>
      <w:pPr>
        <w:numPr>
          <w:ilvl w:val="0"/>
          <w:numId w:val="1014"/>
        </w:numPr>
        <w:pStyle w:val="Compact"/>
      </w:pPr>
      <w:r>
        <w:rPr>
          <w:bCs/>
          <w:b/>
        </w:rPr>
        <w:t xml:space="preserve">TabNet</w:t>
      </w:r>
      <w:r>
        <w:t xml:space="preserve">: when interpretability is needed</w:t>
      </w:r>
    </w:p>
    <w:p>
      <w:r>
        <w:pict>
          <v:rect style="width:0;height:1.5pt" o:hralign="center" o:hrstd="t" o:hr="t"/>
        </w:pict>
      </w:r>
    </w:p>
    <w:bookmarkEnd w:id="41"/>
    <w:bookmarkEnd w:id="42"/>
    <w:bookmarkStart w:id="44" w:name="next-steps-phase-5"/>
    <w:p>
      <w:pPr>
        <w:pStyle w:val="Heading2"/>
      </w:pPr>
      <w:r>
        <w:t xml:space="preserve">Next Steps: Phase 5</w:t>
      </w:r>
    </w:p>
    <w:bookmarkStart w:id="43" w:name="explainable-artificial-intelligence-xai"/>
    <w:p>
      <w:pPr>
        <w:pStyle w:val="Heading3"/>
      </w:pPr>
      <w:r>
        <w:t xml:space="preserve">Explainable Artificial Intelligence (XAI)</w:t>
      </w:r>
    </w:p>
    <w:p>
      <w:pPr>
        <w:pStyle w:val="FirstParagraph"/>
      </w:pPr>
      <w:r>
        <w:t xml:space="preserve">Phase 5 will include:</w:t>
      </w:r>
    </w:p>
    <w:p>
      <w:pPr>
        <w:numPr>
          <w:ilvl w:val="0"/>
          <w:numId w:val="1015"/>
        </w:numPr>
        <w:pStyle w:val="Compact"/>
      </w:pPr>
      <w:r>
        <w:rPr>
          <w:bCs/>
          <w:b/>
        </w:rPr>
        <w:t xml:space="preserve">Feature Importance Analysis</w:t>
      </w:r>
    </w:p>
    <w:p>
      <w:pPr>
        <w:numPr>
          <w:ilvl w:val="1"/>
          <w:numId w:val="1016"/>
        </w:numPr>
        <w:pStyle w:val="Compact"/>
      </w:pPr>
      <w:r>
        <w:t xml:space="preserve">Identification of key predictive factors</w:t>
      </w:r>
    </w:p>
    <w:p>
      <w:pPr>
        <w:numPr>
          <w:ilvl w:val="0"/>
          <w:numId w:val="1015"/>
        </w:numPr>
        <w:pStyle w:val="Compact"/>
      </w:pPr>
      <w:r>
        <w:rPr>
          <w:bCs/>
          <w:b/>
        </w:rPr>
        <w:t xml:space="preserve">SHAP Analysis</w:t>
      </w:r>
    </w:p>
    <w:p>
      <w:pPr>
        <w:numPr>
          <w:ilvl w:val="1"/>
          <w:numId w:val="1017"/>
        </w:numPr>
        <w:pStyle w:val="Compact"/>
      </w:pPr>
      <w:r>
        <w:t xml:space="preserve">Global- and local-level prediction explanations</w:t>
      </w:r>
    </w:p>
    <w:p>
      <w:pPr>
        <w:numPr>
          <w:ilvl w:val="0"/>
          <w:numId w:val="1015"/>
        </w:numPr>
        <w:pStyle w:val="Compact"/>
      </w:pPr>
      <w:r>
        <w:rPr>
          <w:bCs/>
          <w:b/>
        </w:rPr>
        <w:t xml:space="preserve">Partial Dependence Plots (PDP)</w:t>
      </w:r>
    </w:p>
    <w:p>
      <w:pPr>
        <w:numPr>
          <w:ilvl w:val="1"/>
          <w:numId w:val="1018"/>
        </w:numPr>
        <w:pStyle w:val="Compact"/>
      </w:pPr>
      <w:r>
        <w:t xml:space="preserve">Effect of each variable on the prediction</w:t>
      </w:r>
    </w:p>
    <w:p>
      <w:pPr>
        <w:numPr>
          <w:ilvl w:val="0"/>
          <w:numId w:val="1015"/>
        </w:numPr>
        <w:pStyle w:val="Compact"/>
      </w:pPr>
      <w:r>
        <w:rPr>
          <w:bCs/>
          <w:b/>
        </w:rPr>
        <w:t xml:space="preserve">LIME Explanations</w:t>
      </w:r>
    </w:p>
    <w:p>
      <w:pPr>
        <w:numPr>
          <w:ilvl w:val="1"/>
          <w:numId w:val="1019"/>
        </w:numPr>
        <w:pStyle w:val="Compact"/>
      </w:pPr>
      <w:r>
        <w:t xml:space="preserve">Local model interpretation</w:t>
      </w:r>
    </w:p>
    <w:p>
      <w:pPr>
        <w:numPr>
          <w:ilvl w:val="0"/>
          <w:numId w:val="1015"/>
        </w:numPr>
        <w:pStyle w:val="Compact"/>
      </w:pPr>
      <w:r>
        <w:rPr>
          <w:bCs/>
          <w:b/>
        </w:rPr>
        <w:t xml:space="preserve">Clinical Interpretation</w:t>
      </w:r>
    </w:p>
    <w:p>
      <w:pPr>
        <w:numPr>
          <w:ilvl w:val="1"/>
          <w:numId w:val="1020"/>
        </w:numPr>
        <w:pStyle w:val="Compact"/>
      </w:pPr>
      <w:r>
        <w:t xml:space="preserve">Translation of findings for clinicians</w:t>
      </w:r>
    </w:p>
    <w:p>
      <w:r>
        <w:pict>
          <v:rect style="width:0;height:1.5pt" o:hralign="center" o:hrstd="t" o:hr="t"/>
        </w:pict>
      </w:r>
    </w:p>
    <w:bookmarkEnd w:id="43"/>
    <w:bookmarkEnd w:id="44"/>
    <w:bookmarkStart w:id="48" w:name="files-required-for-the-next-phase"/>
    <w:p>
      <w:pPr>
        <w:pStyle w:val="Heading2"/>
      </w:pPr>
      <w:r>
        <w:t xml:space="preserve">Files Required for the Next Phase</w:t>
      </w:r>
    </w:p>
    <w:bookmarkStart w:id="45" w:name="result-files"/>
    <w:p>
      <w:pPr>
        <w:pStyle w:val="Heading3"/>
      </w:pPr>
      <w:r>
        <w:t xml:space="preserve">Result Files</w:t>
      </w:r>
    </w:p>
    <w:p>
      <w:pPr>
        <w:numPr>
          <w:ilvl w:val="0"/>
          <w:numId w:val="1021"/>
        </w:numPr>
        <w:pStyle w:val="Compact"/>
      </w:pPr>
      <w:r>
        <w:rPr>
          <w:rStyle w:val="VerbatimChar"/>
        </w:rPr>
        <w:t xml:space="preserve">Phase4_Final_Results.json</w:t>
      </w:r>
    </w:p>
    <w:p>
      <w:pPr>
        <w:numPr>
          <w:ilvl w:val="0"/>
          <w:numId w:val="1021"/>
        </w:numPr>
        <w:pStyle w:val="Compact"/>
      </w:pPr>
      <w:r>
        <w:rPr>
          <w:rStyle w:val="VerbatimChar"/>
        </w:rPr>
        <w:t xml:space="preserve">kfold_cv_results.csv</w:t>
      </w:r>
    </w:p>
    <w:p>
      <w:pPr>
        <w:numPr>
          <w:ilvl w:val="0"/>
          <w:numId w:val="1021"/>
        </w:numPr>
        <w:pStyle w:val="Compact"/>
      </w:pPr>
      <w:r>
        <w:rPr>
          <w:rStyle w:val="VerbatimChar"/>
        </w:rPr>
        <w:t xml:space="preserve">bootstrap_validation_results.csv</w:t>
      </w:r>
    </w:p>
    <w:p>
      <w:pPr>
        <w:numPr>
          <w:ilvl w:val="0"/>
          <w:numId w:val="1021"/>
        </w:numPr>
        <w:pStyle w:val="Compact"/>
      </w:pPr>
      <w:r>
        <w:rPr>
          <w:rStyle w:val="VerbatimChar"/>
        </w:rPr>
        <w:t xml:space="preserve">stability_seeds_analysis.csv</w:t>
      </w:r>
    </w:p>
    <w:p>
      <w:pPr>
        <w:numPr>
          <w:ilvl w:val="0"/>
          <w:numId w:val="1021"/>
        </w:numPr>
        <w:pStyle w:val="Compact"/>
      </w:pPr>
      <w:r>
        <w:rPr>
          <w:rStyle w:val="VerbatimChar"/>
        </w:rPr>
        <w:t xml:space="preserve">robustness_noise_results.csv</w:t>
      </w:r>
    </w:p>
    <w:bookmarkEnd w:id="45"/>
    <w:bookmarkStart w:id="46" w:name="model-files"/>
    <w:p>
      <w:pPr>
        <w:pStyle w:val="Heading3"/>
      </w:pPr>
      <w:r>
        <w:t xml:space="preserve">Model Files</w:t>
      </w:r>
    </w:p>
    <w:p>
      <w:pPr>
        <w:numPr>
          <w:ilvl w:val="0"/>
          <w:numId w:val="1022"/>
        </w:numPr>
        <w:pStyle w:val="Compact"/>
      </w:pPr>
      <w:r>
        <w:t xml:space="preserve">All</w:t>
      </w:r>
      <w:r>
        <w:t xml:space="preserve"> </w:t>
      </w:r>
      <w:r>
        <w:rPr>
          <w:rStyle w:val="VerbatimChar"/>
        </w:rPr>
        <w:t xml:space="preserve">*.joblib</w:t>
      </w:r>
      <w:r>
        <w:t xml:space="preserve"> </w:t>
      </w:r>
      <w:r>
        <w:t xml:space="preserve">files in</w:t>
      </w:r>
      <w:r>
        <w:t xml:space="preserve"> </w:t>
      </w:r>
      <w:r>
        <w:rPr>
          <w:rStyle w:val="VerbatimChar"/>
        </w:rPr>
        <w:t xml:space="preserve">/6_Models/Saved/</w:t>
      </w:r>
    </w:p>
    <w:bookmarkEnd w:id="46"/>
    <w:bookmarkStart w:id="47" w:name="data-files"/>
    <w:p>
      <w:pPr>
        <w:pStyle w:val="Heading3"/>
      </w:pPr>
      <w:r>
        <w:t xml:space="preserve">Data Files</w:t>
      </w:r>
    </w:p>
    <w:p>
      <w:pPr>
        <w:numPr>
          <w:ilvl w:val="0"/>
          <w:numId w:val="1023"/>
        </w:numPr>
        <w:pStyle w:val="Compact"/>
      </w:pPr>
      <w:r>
        <w:rPr>
          <w:rStyle w:val="VerbatimChar"/>
        </w:rPr>
        <w:t xml:space="preserve">encoded_dataset.csv</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Phase 4 was completed successfully. The comprehensive validation showed that:</w:t>
      </w:r>
    </w:p>
    <w:p>
      <w:pPr>
        <w:numPr>
          <w:ilvl w:val="0"/>
          <w:numId w:val="1024"/>
        </w:numPr>
        <w:pStyle w:val="Compact"/>
      </w:pPr>
      <w:r>
        <w:t xml:space="preserve">SVM is the best model, with AUC 0.984</w:t>
      </w:r>
    </w:p>
    <w:p>
      <w:pPr>
        <w:numPr>
          <w:ilvl w:val="0"/>
          <w:numId w:val="1024"/>
        </w:numPr>
        <w:pStyle w:val="Compact"/>
      </w:pPr>
      <w:r>
        <w:t xml:space="preserve">All models exhibit high stability</w:t>
      </w:r>
    </w:p>
    <w:p>
      <w:pPr>
        <w:numPr>
          <w:ilvl w:val="0"/>
          <w:numId w:val="1024"/>
        </w:numPr>
        <w:pStyle w:val="Compact"/>
      </w:pPr>
      <w:r>
        <w:t xml:space="preserve">13 models are robust to noise</w:t>
      </w:r>
    </w:p>
    <w:p>
      <w:pPr>
        <w:numPr>
          <w:ilvl w:val="0"/>
          <w:numId w:val="1024"/>
        </w:numPr>
        <w:pStyle w:val="Compact"/>
      </w:pPr>
      <w:r>
        <w:t xml:space="preserve">12 models were tuned to improve generalization</w:t>
      </w:r>
    </w:p>
    <w:p>
      <w:pPr>
        <w:pStyle w:val="FirstParagraph"/>
      </w:pPr>
      <w:r>
        <w:t xml:space="preserve">The models are ready to proceed to the Explainable AI phase (Phase 5).</w:t>
      </w:r>
    </w:p>
    <w:p>
      <w:r>
        <w:pict>
          <v:rect style="width:0;height:1.5pt" o:hralign="center" o:hrstd="t" o:hr="t"/>
        </w:pict>
      </w:r>
    </w:p>
    <w:p>
      <w:pPr>
        <w:pStyle w:val="FirstParagraph"/>
      </w:pPr>
      <w:r>
        <w:rPr>
          <w:iCs/>
          <w:i/>
        </w:rPr>
        <w:t xml:space="preserve">Report prepared: March 2026</w:t>
      </w:r>
      <w:r>
        <w:t xml:space="preserve"> </w:t>
      </w:r>
      <w:r>
        <w:rPr>
          <w:iCs/>
          <w:i/>
        </w:rPr>
        <w:t xml:space="preserve">NOA ML research team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2026-05-03T07:28:02Z</dcterms:created>
  <dcterms:modified xsi:type="dcterms:W3CDTF">2026-05-03T07:28:02Z</dcterms:modified>
</cp:coreProperties>
</file>

<file path=docProps/custom.xml><?xml version="1.0" encoding="utf-8"?>
<Properties xmlns="http://schemas.openxmlformats.org/officeDocument/2006/custom-properties" xmlns:vt="http://schemas.openxmlformats.org/officeDocument/2006/docPropsVTypes"/>
</file>