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1440"/>
      </w:pPr>
      <w:r>
        <w:rPr>
          <w:rFonts w:ascii="Times New Roman" w:hAnsi="Times New Roman"/>
          <w:b w:val="0"/>
          <w:i w:val="0"/>
          <w:sz w:val="24"/>
        </w:rPr>
      </w:r>
    </w:p>
    <w:p>
      <w:pPr>
        <w:spacing w:line="480" w:lineRule="auto" w:after="480"/>
        <w:jc w:val="center"/>
      </w:pPr>
      <w:r>
        <w:rPr>
          <w:rFonts w:ascii="Times New Roman" w:hAnsi="Times New Roman"/>
          <w:b/>
          <w:i w:val="0"/>
          <w:sz w:val="32"/>
        </w:rPr>
        <w:t>Impact of Histopathological Feature Encoding on Machine Learning Prediction of Sperm Retrieval in Micro-TESE for Non-Obstructive Azoospermia: A Comparative Analysis of 16 Encoding Strategies</w:t>
      </w:r>
    </w:p>
    <w:p>
      <w:pPr>
        <w:spacing w:line="480" w:lineRule="auto" w:after="240"/>
      </w:pPr>
      <w:r>
        <w:rPr>
          <w:rFonts w:ascii="Times New Roman" w:hAnsi="Times New Roman"/>
          <w:b w:val="0"/>
          <w:i w:val="0"/>
          <w:sz w:val="24"/>
        </w:rPr>
      </w:r>
    </w:p>
    <w:p>
      <w:pPr>
        <w:spacing w:line="480" w:lineRule="auto"/>
        <w:jc w:val="center"/>
      </w:pPr>
      <w:r>
        <w:rPr>
          <w:rFonts w:ascii="Times New Roman" w:hAnsi="Times New Roman"/>
          <w:b/>
          <w:i w:val="0"/>
          <w:sz w:val="24"/>
        </w:rPr>
        <w:t>Hossein Jamalirad</w:t>
      </w:r>
      <w:r>
        <w:rPr>
          <w:rFonts w:ascii="Times New Roman" w:hAnsi="Times New Roman"/>
          <w:b w:val="0"/>
          <w:i w:val="0"/>
          <w:sz w:val="24"/>
          <w:vertAlign w:val="superscript"/>
        </w:rPr>
        <w:t>1</w:t>
      </w:r>
      <w:r>
        <w:rPr>
          <w:rFonts w:ascii="Times New Roman" w:hAnsi="Times New Roman"/>
          <w:b/>
          <w:i w:val="0"/>
          <w:sz w:val="24"/>
        </w:rPr>
        <w:t>, Marjan Sabbaghian</w:t>
      </w:r>
      <w:r>
        <w:rPr>
          <w:rFonts w:ascii="Times New Roman" w:hAnsi="Times New Roman"/>
          <w:b w:val="0"/>
          <w:i w:val="0"/>
          <w:sz w:val="24"/>
          <w:vertAlign w:val="superscript"/>
        </w:rPr>
        <w:t>2</w:t>
      </w:r>
      <w:r>
        <w:rPr>
          <w:rFonts w:ascii="Times New Roman" w:hAnsi="Times New Roman"/>
          <w:b/>
          <w:i w:val="0"/>
          <w:sz w:val="24"/>
        </w:rPr>
        <w:t>, Hassan Vakili Arki</w:t>
      </w:r>
      <w:r>
        <w:rPr>
          <w:rFonts w:ascii="Times New Roman" w:hAnsi="Times New Roman"/>
          <w:b w:val="0"/>
          <w:i w:val="0"/>
          <w:sz w:val="24"/>
          <w:vertAlign w:val="superscript"/>
        </w:rPr>
        <w:t>1</w:t>
      </w:r>
    </w:p>
    <w:p>
      <w:pPr>
        <w:spacing w:line="480" w:lineRule="auto" w:after="240"/>
      </w:pPr>
      <w:r>
        <w:rPr>
          <w:rFonts w:ascii="Times New Roman" w:hAnsi="Times New Roman"/>
          <w:b w:val="0"/>
          <w:i w:val="0"/>
          <w:sz w:val="24"/>
        </w:rPr>
      </w:r>
    </w:p>
    <w:p>
      <w:pPr>
        <w:spacing w:line="480" w:lineRule="auto"/>
        <w:jc w:val="center"/>
      </w:pPr>
      <w:r>
        <w:rPr>
          <w:rFonts w:ascii="Times New Roman" w:hAnsi="Times New Roman"/>
          <w:sz w:val="20"/>
          <w:vertAlign w:val="superscript"/>
        </w:rPr>
        <w:t>1</w:t>
      </w:r>
      <w:r>
        <w:rPr>
          <w:rFonts w:ascii="Times New Roman" w:hAnsi="Times New Roman"/>
          <w:sz w:val="20"/>
        </w:rPr>
        <w:t xml:space="preserve"> Department of Medical Informatics, Faculty of Medicine, Mashhad University of Medical Sciences, Mashhad, Iran</w:t>
      </w:r>
    </w:p>
    <w:p>
      <w:pPr>
        <w:spacing w:line="480" w:lineRule="auto"/>
        <w:jc w:val="center"/>
      </w:pPr>
      <w:r>
        <w:rPr>
          <w:rFonts w:ascii="Times New Roman" w:hAnsi="Times New Roman"/>
          <w:sz w:val="20"/>
          <w:vertAlign w:val="superscript"/>
        </w:rPr>
        <w:t>2</w:t>
      </w:r>
      <w:r>
        <w:rPr>
          <w:rFonts w:ascii="Times New Roman" w:hAnsi="Times New Roman"/>
          <w:sz w:val="20"/>
        </w:rPr>
        <w:t xml:space="preserve"> Department of Andrology, Reproductive Biomedicine Research Center, Royan Institute for Reproductive Biomedicine, ACECR, Tehran, Iran</w:t>
      </w:r>
    </w:p>
    <w:p>
      <w:pPr>
        <w:spacing w:line="480" w:lineRule="auto" w:after="480"/>
      </w:pPr>
      <w:r>
        <w:rPr>
          <w:rFonts w:ascii="Times New Roman" w:hAnsi="Times New Roman"/>
          <w:b w:val="0"/>
          <w:i w:val="0"/>
          <w:sz w:val="24"/>
        </w:rPr>
      </w:r>
    </w:p>
    <w:p>
      <w:pPr>
        <w:spacing w:line="480" w:lineRule="auto" w:after="240"/>
      </w:pPr>
      <w:r>
        <w:rPr>
          <w:rFonts w:ascii="Times New Roman" w:hAnsi="Times New Roman"/>
          <w:b/>
          <w:i w:val="0"/>
          <w:sz w:val="24"/>
        </w:rPr>
        <w:t xml:space="preserve">Corresponding Author: </w:t>
      </w:r>
      <w:r>
        <w:rPr>
          <w:rFonts w:ascii="Times New Roman" w:hAnsi="Times New Roman"/>
          <w:b w:val="0"/>
          <w:i w:val="0"/>
          <w:sz w:val="24"/>
        </w:rPr>
        <w:t>Hossein Jamalirad, Department of Medical Informatics, Faculty of Medicine, Mashhad University of Medical Sciences, Mashhad, Iran. Email: h.jamalirad@mums.ac.ir</w:t>
      </w:r>
    </w:p>
    <w:p>
      <w:pPr>
        <w:spacing w:line="480" w:lineRule="auto" w:after="120"/>
      </w:pPr>
      <w:r>
        <w:rPr>
          <w:rFonts w:ascii="Times New Roman" w:hAnsi="Times New Roman"/>
          <w:b/>
          <w:i w:val="0"/>
          <w:sz w:val="24"/>
        </w:rPr>
        <w:t xml:space="preserve">Running Title: </w:t>
      </w:r>
      <w:r>
        <w:rPr>
          <w:rFonts w:ascii="Times New Roman" w:hAnsi="Times New Roman"/>
          <w:b w:val="0"/>
          <w:i w:val="0"/>
          <w:sz w:val="24"/>
        </w:rPr>
        <w:t>Pathology Encoding for Micro-TESE Prediction</w:t>
      </w:r>
    </w:p>
    <w:p>
      <w:pPr>
        <w:spacing w:line="480" w:lineRule="auto" w:after="120"/>
      </w:pPr>
      <w:r>
        <w:rPr>
          <w:rFonts w:ascii="Times New Roman" w:hAnsi="Times New Roman"/>
          <w:b/>
          <w:i w:val="0"/>
          <w:sz w:val="24"/>
        </w:rPr>
        <w:t xml:space="preserve">Word Count: </w:t>
      </w:r>
      <w:r>
        <w:rPr>
          <w:rFonts w:ascii="Times New Roman" w:hAnsi="Times New Roman"/>
          <w:b w:val="0"/>
          <w:i w:val="0"/>
          <w:sz w:val="24"/>
        </w:rPr>
        <w:t>~7,500 (excluding references and tables)</w:t>
      </w:r>
    </w:p>
    <w:p>
      <w:r>
        <w:br w:type="page"/>
      </w:r>
    </w:p>
    <w:p>
      <w:pPr>
        <w:pStyle w:val="Heading1"/>
      </w:pPr>
      <w:r>
        <w:rPr>
          <w:rFonts w:ascii="Times New Roman" w:hAnsi="Times New Roman"/>
          <w:color w:val="000000"/>
        </w:rPr>
        <w:t>ABSTRACT</w:t>
      </w:r>
    </w:p>
    <w:p>
      <w:pPr>
        <w:spacing w:line="480" w:lineRule="auto"/>
      </w:pPr>
      <w:r>
        <w:rPr>
          <w:rFonts w:ascii="Times New Roman" w:hAnsi="Times New Roman"/>
          <w:b/>
          <w:i w:val="0"/>
          <w:sz w:val="24"/>
        </w:rPr>
        <w:t xml:space="preserve">Background: </w:t>
      </w:r>
      <w:r>
        <w:rPr>
          <w:rFonts w:ascii="Times New Roman" w:hAnsi="Times New Roman"/>
          <w:b w:val="0"/>
          <w:i w:val="0"/>
          <w:sz w:val="24"/>
        </w:rPr>
        <w:t>Non-obstructive azoospermia (NOA) affects approximately 10% of infertile men and represents the most severe form of male infertility. Microsurgical testicular sperm extraction (micro-TESE) is the standard-of-care surgical intervention, yet sperm retrieval fails in approximately 50% of cases. Accurate preoperative prediction of sperm retrieval success could substantially improve patient counseling and resource allocation. Machine learning (ML) approaches have shown promise in this domain; however, the handling of histopathological data—consistently identified as the strongest predictor of retrieval outcomes—varies considerably across studies. To date, no systematic comparison of encoding strategies for histopathological features has been conducted.</w:t>
      </w:r>
    </w:p>
    <w:p>
      <w:pPr>
        <w:spacing w:line="480" w:lineRule="auto"/>
      </w:pPr>
      <w:r>
        <w:rPr>
          <w:rFonts w:ascii="Times New Roman" w:hAnsi="Times New Roman"/>
          <w:b/>
          <w:i w:val="0"/>
          <w:sz w:val="24"/>
        </w:rPr>
        <w:t xml:space="preserve">Methods: </w:t>
      </w:r>
      <w:r>
        <w:rPr>
          <w:rFonts w:ascii="Times New Roman" w:hAnsi="Times New Roman"/>
          <w:b w:val="0"/>
          <w:i w:val="0"/>
          <w:sz w:val="24"/>
        </w:rPr>
        <w:t>We performed a retrospective analysis of 2,413 NOA patients who underwent micro-TESE at Royan Institute, Tehran, Iran. Sixteen encoding strategies for bilateral testicular biopsy histopathological features were systematically designed and compared across five ML classifiers (CatBoost, LightGBM, XGBoost, Random Forest, and Logistic Regression). Model evaluation employed rigorous 5×5 nested cross-validation with stratified splitting and 50-iteration Bayesian hyperparameter optimization via Optuna-style randomized search. SHapley Additive exPlanations (SHAP) analysis provided model explainability. A systematic quality assurance protocol identified and corrected a critical preprocessing artifact in the initial pipeline.</w:t>
      </w:r>
    </w:p>
    <w:p>
      <w:pPr>
        <w:spacing w:line="480" w:lineRule="auto"/>
      </w:pPr>
      <w:r>
        <w:rPr>
          <w:rFonts w:ascii="Times New Roman" w:hAnsi="Times New Roman"/>
          <w:b/>
          <w:i w:val="0"/>
          <w:sz w:val="24"/>
        </w:rPr>
        <w:t xml:space="preserve">Results: </w:t>
      </w:r>
      <w:r>
        <w:rPr>
          <w:rFonts w:ascii="Times New Roman" w:hAnsi="Times New Roman"/>
          <w:b w:val="0"/>
          <w:i w:val="0"/>
          <w:sz w:val="24"/>
        </w:rPr>
        <w:t>The ordinal_detailed_plus_raw encoding strategy, which combines per-testis ordinal severity scores with 16 raw histopathological percentage features, achieved optimal performance. CatBoost attained the highest area under the receiver operating characteristic curve (AUC) of 0.8306 (95% CI: 0.813–0.846), with accuracy of 0.7696, sensitivity of 0.6783, and specificity of 0.8225. Histopathological features dominated model predictions, comprising 17 of the top 25 SHAP-ranked features. A clinical-only baseline (excluding pathology) achieved AUC of only 0.5642, demonstrating that pathology features contributed an incremental AUC of +0.27. A critical preprocessing bug (IQR-based outlier clipping collapsing sparse binary features to zero) was identified through systematic quality assurance, and its correction improved AUC from 0.7327 to 0.8306.</w:t>
      </w:r>
    </w:p>
    <w:p>
      <w:pPr>
        <w:spacing w:line="480" w:lineRule="auto"/>
      </w:pPr>
      <w:r>
        <w:rPr>
          <w:rFonts w:ascii="Times New Roman" w:hAnsi="Times New Roman"/>
          <w:b/>
          <w:i w:val="0"/>
          <w:sz w:val="24"/>
        </w:rPr>
        <w:t xml:space="preserve">Conclusion: </w:t>
      </w:r>
      <w:r>
        <w:rPr>
          <w:rFonts w:ascii="Times New Roman" w:hAnsi="Times New Roman"/>
          <w:b w:val="0"/>
          <w:i w:val="0"/>
          <w:sz w:val="24"/>
        </w:rPr>
        <w:t>Systematic encoding of histopathological features substantially impacts ML-based prediction of sperm retrieval in micro-TESE. The proposed ordinal encoding with raw feature preservation achieved clinically meaningful predictive performance and outperformed all alternative strategies. These findings underscore the critical importance of domain-informed feature engineering and rigorous preprocessing quality assurance in medical ML pipelines. External multi-center validation is warranted before clinical deployment.</w:t>
      </w:r>
    </w:p>
    <w:p>
      <w:pPr>
        <w:spacing w:line="480" w:lineRule="auto"/>
      </w:pPr>
      <w:r>
        <w:rPr>
          <w:rFonts w:ascii="Times New Roman" w:hAnsi="Times New Roman"/>
          <w:b w:val="0"/>
          <w:i w:val="0"/>
          <w:sz w:val="24"/>
        </w:rPr>
      </w:r>
    </w:p>
    <w:p>
      <w:pPr>
        <w:spacing w:line="480" w:lineRule="auto"/>
      </w:pPr>
      <w:r>
        <w:rPr>
          <w:rFonts w:ascii="Times New Roman" w:hAnsi="Times New Roman"/>
          <w:b/>
          <w:i w:val="0"/>
          <w:sz w:val="24"/>
        </w:rPr>
        <w:t xml:space="preserve">Keywords: </w:t>
      </w:r>
      <w:r>
        <w:rPr>
          <w:rFonts w:ascii="Times New Roman" w:hAnsi="Times New Roman"/>
          <w:b w:val="0"/>
          <w:i/>
          <w:sz w:val="24"/>
        </w:rPr>
        <w:t>non-obstructive azoospermia; micro-TESE; machine learning; histopathology encoding; sperm retrieval prediction; feature engineering; SHAP; CatBoost</w:t>
      </w:r>
    </w:p>
    <w:p>
      <w:r>
        <w:br w:type="page"/>
      </w:r>
    </w:p>
    <w:p>
      <w:pPr>
        <w:pStyle w:val="Heading1"/>
      </w:pPr>
      <w:r>
        <w:rPr>
          <w:rFonts w:ascii="Times New Roman" w:hAnsi="Times New Roman"/>
          <w:color w:val="000000"/>
        </w:rPr>
        <w:t>1. INTRODUCTION</w:t>
      </w:r>
    </w:p>
    <w:p>
      <w:pPr>
        <w:spacing w:line="480" w:lineRule="auto"/>
        <w:ind w:firstLine="720"/>
      </w:pPr>
      <w:r>
        <w:rPr>
          <w:rFonts w:ascii="Times New Roman" w:hAnsi="Times New Roman"/>
          <w:b w:val="0"/>
          <w:i w:val="0"/>
          <w:sz w:val="24"/>
        </w:rPr>
        <w:t>Male factor infertility contributes to approximately 50% of all infertility cases, with azoospermia—the complete absence of spermatozoa in the ejaculate—affecting 10–15% of infertile men [1,2]. Non-obstructive azoospermia (NOA), characterized by impaired spermatogenesis rather than ductal obstruction, represents the most severe form of male infertility and accounts for approximately 60% of all azoospermia cases [3]. For men with NOA, microsurgical testicular sperm extraction (micro-TESE) has emerged as the gold standard surgical approach, offering superior sperm retrieval rates compared to conventional TESE owing to direct visualization of seminiferous tubules under high-power optical magnification [4,5].</w:t>
      </w:r>
    </w:p>
    <w:p>
      <w:pPr>
        <w:spacing w:line="480" w:lineRule="auto"/>
        <w:ind w:firstLine="720"/>
      </w:pPr>
      <w:r>
        <w:rPr>
          <w:rFonts w:ascii="Times New Roman" w:hAnsi="Times New Roman"/>
          <w:b w:val="0"/>
          <w:i w:val="0"/>
          <w:sz w:val="24"/>
        </w:rPr>
        <w:t>Despite its advantages, micro-TESE achieves successful sperm retrieval (SSR) in only approximately 40–60% of NOA patients [6,7]. This substantial failure rate carries considerable clinical implications: patients undergo an invasive surgical procedure with attendant risks of hypogonadism and testicular damage, while the associated costs of operating room time, microsurgical expertise, and adjunctive assisted reproductive technology cycles represent significant resource utilization [8]. Reliable preoperative prediction of SSR could therefore transform clinical decision-making by enabling informed patient counseling, appropriate expectation management, and optimized resource allocation [9,10].</w:t>
      </w:r>
    </w:p>
    <w:p>
      <w:pPr>
        <w:spacing w:line="480" w:lineRule="auto"/>
        <w:ind w:firstLine="720"/>
      </w:pPr>
      <w:r>
        <w:rPr>
          <w:rFonts w:ascii="Times New Roman" w:hAnsi="Times New Roman"/>
          <w:b w:val="0"/>
          <w:i w:val="0"/>
          <w:sz w:val="24"/>
        </w:rPr>
        <w:t>Conventional prognostic approaches have relied on clinical parameters including serum follicle-stimulating hormone (FSH), luteinizing hormone (LH), testosterone levels, testicular volume, patient age, and genetic factors such as karyotype abnormalities and Y-chromosome microdeletions [11–13]. While these factors provide some prognostic information, their individual discriminative capacity remains limited, and systematic reviews have demonstrated that no single clinical parameter reliably predicts SSR outcomes [14,15].</w:t>
      </w:r>
    </w:p>
    <w:p>
      <w:pPr>
        <w:spacing w:line="480" w:lineRule="auto"/>
        <w:ind w:firstLine="720"/>
      </w:pPr>
      <w:r>
        <w:rPr>
          <w:rFonts w:ascii="Times New Roman" w:hAnsi="Times New Roman"/>
          <w:b w:val="0"/>
          <w:i w:val="0"/>
          <w:sz w:val="24"/>
        </w:rPr>
        <w:t>The application of machine learning (ML) to micro-TESE outcome prediction has gained considerable momentum in recent years. Several studies have employed gradient boosting methods [16], random forests [17], neural networks [18], and ensemble approaches [19] to integrate multiple clinical features for SSR prediction. Reported AUC values in the literature range from 0.72 to 0.95, though methodological heterogeneity, small sample sizes (typically n &lt; 500), and variable validation strategies complicate direct comparison [20,21].</w:t>
      </w:r>
    </w:p>
    <w:p>
      <w:pPr>
        <w:spacing w:line="480" w:lineRule="auto"/>
        <w:ind w:firstLine="720"/>
      </w:pPr>
      <w:r>
        <w:rPr>
          <w:rFonts w:ascii="Times New Roman" w:hAnsi="Times New Roman"/>
          <w:b w:val="0"/>
          <w:i w:val="0"/>
          <w:sz w:val="24"/>
        </w:rPr>
        <w:t>Among the predictive features examined across these studies, histopathological findings from testicular biopsy consistently emerge as the strongest predictors of SSR [22,23]. Testicular histology reveals the underlying spermatogenic architecture—including patterns such as Sertoli cell-only (SCO) syndrome, maturation arrest (MA) at various stages, hypospermatogenesis, and complete seminiferous tubular hyalinization (CSTH)—which directly reflects the biological substrate from which sperm may be recovered during micro-TESE [24]. The clinical intuition is straightforward: the presence and extent of residual spermatogenesis, even if severely reduced, provides the most direct evidence of whether viable spermatozoa can be surgically harvested [25].</w:t>
      </w:r>
    </w:p>
    <w:p>
      <w:pPr>
        <w:spacing w:line="480" w:lineRule="auto"/>
        <w:ind w:firstLine="720"/>
      </w:pPr>
      <w:r>
        <w:rPr>
          <w:rFonts w:ascii="Times New Roman" w:hAnsi="Times New Roman"/>
          <w:b w:val="0"/>
          <w:i w:val="0"/>
          <w:sz w:val="24"/>
        </w:rPr>
        <w:t>However, a critical methodological gap exists in the current literature. While histopathological features are universally acknowledged as important predictors, the manner in which these features are encoded for ML model input varies substantially across studies and is rarely systematically evaluated [26]. Pathology reports typically describe bilateral testicular biopsies as free-text narratives specifying multiple histological patterns with varying percentages (e.g., "SCO 60%, maturation arrest up to spermatocytic stage 30%, CSTH 10%"). The transformation of these complex, multi-component descriptions into numerical features amenable to ML processing represents a non-trivial feature engineering challenge with multiple valid approaches [27].</w:t>
      </w:r>
    </w:p>
    <w:p>
      <w:pPr>
        <w:spacing w:line="480" w:lineRule="auto"/>
        <w:ind w:firstLine="720"/>
      </w:pPr>
      <w:r>
        <w:rPr>
          <w:rFonts w:ascii="Times New Roman" w:hAnsi="Times New Roman"/>
          <w:b w:val="0"/>
          <w:i w:val="0"/>
          <w:sz w:val="24"/>
        </w:rPr>
        <w:t>To our knowledge, no prior study has systematically compared different encoding strategies for histopathological features in the context of micro-TESE outcome prediction. This represents a significant gap because the choice of encoding can profoundly influence model performance, interpretability, and clinical utility. A binary encoding (present/absent) discards severity information; an ordinal encoding preserves severity gradients but may oversimplify multi-pattern biopsies; and detailed percentage-based encodings retain maximum information but increase feature dimensionality [28].</w:t>
      </w:r>
    </w:p>
    <w:p>
      <w:pPr>
        <w:spacing w:line="480" w:lineRule="auto"/>
        <w:ind w:firstLine="720"/>
      </w:pPr>
      <w:r>
        <w:rPr>
          <w:rFonts w:ascii="Times New Roman" w:hAnsi="Times New Roman"/>
          <w:b w:val="0"/>
          <w:i w:val="0"/>
          <w:sz w:val="24"/>
        </w:rPr>
        <w:t>Furthermore, the preprocessing of histopathological features presents unique challenges. Many pathology patterns are inherently sparse—for example, hypospermatogenesis may be present in fewer than 5% of biopsies—creating highly zero-inflated distributions that can interact adversely with standard preprocessing steps such as outlier detection and scaling [29]. These interactions, if unrecognized, can systematically eliminate the predictive signal from pathology features, leading to the erroneous conclusion that histopathology has limited predictive value.</w:t>
      </w:r>
    </w:p>
    <w:p>
      <w:pPr>
        <w:spacing w:line="480" w:lineRule="auto"/>
        <w:ind w:firstLine="720"/>
      </w:pPr>
      <w:r>
        <w:rPr>
          <w:rFonts w:ascii="Times New Roman" w:hAnsi="Times New Roman"/>
          <w:b w:val="0"/>
          <w:i w:val="0"/>
          <w:sz w:val="24"/>
        </w:rPr>
        <w:t>The objectives of this study were therefore: (1) to systematically design and evaluate 16 encoding strategies for bilateral testicular biopsy histopathological features; (2) to compare five ML classifiers with rigorous nested cross-validation and Bayesian hyperparameter optimization; (3) to quantify the incremental predictive value of pathology features over clinical features alone; (4) to provide model explainability through SHAP analysis; and (5) to demonstrate the critical importance of preprocessing quality assurance through the identification and correction of a systematic artifact that falsely eliminated pathology signal in the initial pipeline.</w:t>
      </w:r>
    </w:p>
    <w:p>
      <w:r>
        <w:br w:type="page"/>
      </w:r>
    </w:p>
    <w:p>
      <w:pPr>
        <w:pStyle w:val="Heading1"/>
      </w:pPr>
      <w:r>
        <w:rPr>
          <w:rFonts w:ascii="Times New Roman" w:hAnsi="Times New Roman"/>
          <w:color w:val="000000"/>
        </w:rPr>
        <w:t>2. METHODS</w:t>
      </w:r>
    </w:p>
    <w:p>
      <w:pPr>
        <w:pStyle w:val="Heading2"/>
      </w:pPr>
      <w:r>
        <w:rPr>
          <w:rFonts w:ascii="Times New Roman" w:hAnsi="Times New Roman"/>
          <w:color w:val="000000"/>
        </w:rPr>
        <w:t>2.1 Study Design and Setting</w:t>
      </w:r>
    </w:p>
    <w:p>
      <w:pPr>
        <w:spacing w:line="480" w:lineRule="auto"/>
        <w:ind w:firstLine="720"/>
      </w:pPr>
      <w:r>
        <w:rPr>
          <w:rFonts w:ascii="Times New Roman" w:hAnsi="Times New Roman"/>
          <w:b w:val="0"/>
          <w:i w:val="0"/>
          <w:sz w:val="24"/>
        </w:rPr>
        <w:t>This was a retrospective single-center cohort study conducted at Royan Institute for Reproductive Biomedicine, Tehran, Iran—a tertiary referral center for male infertility. The study included consecutive NOA patients who underwent micro-TESE between 2007 and 2022. The study protocol was approved by the Ethics Committee of Mashhad University of Medical Sciences (approval number: IR.MUMS.REC.XXXX.XXX). All procedures were conducted in accordance with the ethical standards of the institutional research committee and the 1964 Declaration of Helsinki. Due to the retrospective design and use of de-identified data, the requirement for individual informed consent was waived by the ethics committee.</w:t>
      </w:r>
    </w:p>
    <w:p>
      <w:pPr>
        <w:pStyle w:val="Heading2"/>
      </w:pPr>
      <w:r>
        <w:rPr>
          <w:rFonts w:ascii="Times New Roman" w:hAnsi="Times New Roman"/>
          <w:color w:val="000000"/>
        </w:rPr>
        <w:t>2.2 Study Population</w:t>
      </w:r>
    </w:p>
    <w:p>
      <w:pPr>
        <w:spacing w:line="480" w:lineRule="auto"/>
        <w:ind w:firstLine="720"/>
      </w:pPr>
      <w:r>
        <w:rPr>
          <w:rFonts w:ascii="Times New Roman" w:hAnsi="Times New Roman"/>
          <w:b w:val="0"/>
          <w:i w:val="0"/>
          <w:sz w:val="24"/>
        </w:rPr>
        <w:t>The initial dataset comprised 2,450 patient records. Inclusion criteria were: (1) confirmed diagnosis of NOA based on at least two semen analyses demonstrating azoospermia, (2) physical examination and hormonal evaluation consistent with non-obstructive etiology, and (3) micro-TESE performed at Royan Institute with documented sperm retrieval outcome. Exclusion criteria included obstructive azoospermia and missing primary outcome data. After excluding 37 records with missing outcome data, the analytical cohort consisted of 2,413 patients, of whom 2,234 (91.2%) underwent primary micro-TESE and 216 (8.8%) underwent salvage (repeat) micro-TESE.</w:t>
      </w:r>
    </w:p>
    <w:p>
      <w:pPr>
        <w:pStyle w:val="Heading2"/>
      </w:pPr>
      <w:r>
        <w:rPr>
          <w:rFonts w:ascii="Times New Roman" w:hAnsi="Times New Roman"/>
          <w:color w:val="000000"/>
        </w:rPr>
        <w:t>2.3 Data Collection</w:t>
      </w:r>
    </w:p>
    <w:p>
      <w:pPr>
        <w:spacing w:line="480" w:lineRule="auto"/>
        <w:ind w:firstLine="720"/>
      </w:pPr>
      <w:r>
        <w:rPr>
          <w:rFonts w:ascii="Times New Roman" w:hAnsi="Times New Roman"/>
          <w:b w:val="0"/>
          <w:i w:val="0"/>
          <w:sz w:val="24"/>
        </w:rPr>
        <w:t>Clinical data were extracted from the institutional electronic medical records. The feature set encompassed the following categories: (1) demographic variables (age, partner age); (2) anthropometric measurements (body mass index [BMI]); (3) hormonal profile (serum FSH, LH, total testosterone, estradiol [E2], prolactin); (4) testicular measurements from multiple sources (ultrasonographic dimensions, orchidometer measurements, clinical estimates, and Sakamoto volume calculations); (5) genetic factors (karyotype classification, Y-chromosome microdeletion status including AZFa, AZFb, and AZFc regions); (6) surgical and urological history (varicocele, orchiopexy, inguinal hernia repair, prior testicular biopsy); (7) lifestyle factors (smoking habits, occupational toxic exposure); and (8) histopathological findings from bilateral testicular biopsy (Pathology-RT and Pathology-LT, as free-text reports). The primary outcome was successful sperm retrieval at first micro-TESE (Outcome1), coded as a binary variable (1 = sperm retrieved, 0 = no sperm retrieved).</w:t>
      </w:r>
    </w:p>
    <w:p>
      <w:pPr>
        <w:pStyle w:val="Heading2"/>
      </w:pPr>
      <w:r>
        <w:rPr>
          <w:rFonts w:ascii="Times New Roman" w:hAnsi="Times New Roman"/>
          <w:color w:val="000000"/>
        </w:rPr>
        <w:t>2.4 Histopathological Feature Extraction and Encoding</w:t>
      </w:r>
    </w:p>
    <w:p>
      <w:pPr>
        <w:spacing w:line="480" w:lineRule="auto"/>
        <w:ind w:firstLine="720"/>
      </w:pPr>
      <w:r>
        <w:rPr>
          <w:rFonts w:ascii="Times New Roman" w:hAnsi="Times New Roman"/>
          <w:b w:val="0"/>
          <w:i w:val="0"/>
          <w:sz w:val="24"/>
        </w:rPr>
        <w:t>Free-text bilateral pathology reports were parsed using a custom natural language processing (NLP) pipeline employing regular expression-based pattern matching. Eight histopathological components were extracted per testis (16 total features): Sertoli cell-only (SCO), complete seminiferous tubular hyalinization (CSTH), maturation arrest at spermatogonial stage (MA-Spermatogonial), maturation arrest at spermatocytic stage (MA-Spermatocytic), maturation arrest at immature round spermatid stage (MA-ImmatureRound), maturation arrest at elongated spermatid stage (MA-Elongated), hypospermatogenesis, and severe hypospermatogenesis. Percentage values were extracted where reported; components mentioned without explicit percentages were assigned 100%; absent components were assigned 0%. Multi-component clauses without individual percentages were split equally. A maturation arrest hierarchy was enforced: arrest at an earlier stage precluded assignment of later stages.</w:t>
      </w:r>
    </w:p>
    <w:p>
      <w:pPr>
        <w:spacing w:line="480" w:lineRule="auto"/>
        <w:ind w:firstLine="720"/>
      </w:pPr>
      <w:r>
        <w:rPr>
          <w:rFonts w:ascii="Times New Roman" w:hAnsi="Times New Roman"/>
          <w:b w:val="0"/>
          <w:i w:val="0"/>
          <w:sz w:val="24"/>
        </w:rPr>
        <w:t>Sixteen encoding strategies were systematically designed and evaluated, organized into five conceptual categories:</w:t>
      </w:r>
    </w:p>
    <w:p>
      <w:pPr>
        <w:spacing w:line="480" w:lineRule="auto"/>
        <w:ind w:firstLine="720"/>
      </w:pPr>
      <w:r>
        <w:rPr>
          <w:rFonts w:ascii="Times New Roman" w:hAnsi="Times New Roman"/>
          <w:b w:val="0"/>
          <w:i w:val="0"/>
          <w:sz w:val="24"/>
        </w:rPr>
        <w:t>Raw percentage encodings preserved the original extracted percentage values for all 16 pathology features. Two scaling variants were tested: MinMaxScaler normalization (raw_pct_minmax) and RobustScaler normalization (raw_pct_robust), the latter being more resistant to the influence of outliers in highly skewed distributions.</w:t>
      </w:r>
    </w:p>
    <w:p>
      <w:pPr>
        <w:spacing w:line="480" w:lineRule="auto"/>
        <w:ind w:firstLine="720"/>
      </w:pPr>
      <w:r>
        <w:rPr>
          <w:rFonts w:ascii="Times New Roman" w:hAnsi="Times New Roman"/>
          <w:b w:val="0"/>
          <w:i w:val="0"/>
          <w:sz w:val="24"/>
        </w:rPr>
        <w:t>Ordinal severity encodings computed per-testis weighted severity scores based on clinically-informed weights assigned to each histopathological component. The detailed ordinal encoding (ordinal_detailed) used a seven-level weighting scheme reflecting the clinical severity hierarchy from hypospermatogenesis (most favorable) through SCO and CSTH (least favorable). A simplified variant (ordinal_simplified) collapsed all maturation arrest stages into a single weight. Single-value aggregations across testes included mean (ordinal_detailed_avg) and worst-side (ordinal_detailed_worst) variants.</w:t>
      </w:r>
    </w:p>
    <w:p>
      <w:pPr>
        <w:spacing w:line="480" w:lineRule="auto"/>
        <w:ind w:firstLine="720"/>
      </w:pPr>
      <w:r>
        <w:rPr>
          <w:rFonts w:ascii="Times New Roman" w:hAnsi="Times New Roman"/>
          <w:b w:val="0"/>
          <w:i w:val="0"/>
          <w:sz w:val="24"/>
        </w:rPr>
        <w:t>The ordinal_detailed_plus_raw encoding combined the best of both approaches: 16 raw percentage features plus 2 per-testis ordinal severity scores (RT_severity and LT_severity), yielding 18 pathology features. This strategy preserves both granular component-level information and clinically-motivated severity aggregation.</w:t>
      </w:r>
    </w:p>
    <w:p>
      <w:pPr>
        <w:spacing w:line="480" w:lineRule="auto"/>
        <w:ind w:firstLine="720"/>
      </w:pPr>
      <w:r>
        <w:rPr>
          <w:rFonts w:ascii="Times New Roman" w:hAnsi="Times New Roman"/>
          <w:b w:val="0"/>
          <w:i w:val="0"/>
          <w:sz w:val="24"/>
        </w:rPr>
        <w:t>Binary presence encodings (binary_presence) converted all 16 pathology features to binary indicators (1 if percentage &gt; 0, 0 otherwise), with per-testis averaged (binary_presence_avg) and worst-side (binary_presence_worst) variants.</w:t>
      </w:r>
    </w:p>
    <w:p>
      <w:pPr>
        <w:spacing w:line="480" w:lineRule="auto"/>
        <w:ind w:firstLine="720"/>
      </w:pPr>
      <w:r>
        <w:rPr>
          <w:rFonts w:ascii="Times New Roman" w:hAnsi="Times New Roman"/>
          <w:b w:val="0"/>
          <w:i w:val="0"/>
          <w:sz w:val="24"/>
        </w:rPr>
        <w:t>Grouped encodings (grouped) aggregated the eight components into four biologically meaningful groups (SCO, hypospermatogenesis combined, maturation arrest combined, and CSTH) per testis, with averaged (grouped_avg) and worst-side (grouped_worst) variants.</w:t>
      </w:r>
    </w:p>
    <w:p>
      <w:pPr>
        <w:spacing w:line="480" w:lineRule="auto"/>
        <w:ind w:firstLine="720"/>
      </w:pPr>
      <w:r>
        <w:rPr>
          <w:rFonts w:ascii="Times New Roman" w:hAnsi="Times New Roman"/>
          <w:b w:val="0"/>
          <w:i w:val="0"/>
          <w:sz w:val="24"/>
        </w:rPr>
        <w:t>Additional strategies included dominant pattern encoding (dominant_pattern), which identified the predominant histological pattern per testis and created one-hot features, and bilateral averaging (raw_pct_avg) and worst-side selection (raw_pct_worst) of raw percentages.</w:t>
      </w:r>
    </w:p>
    <w:p>
      <w:pPr>
        <w:pStyle w:val="Heading2"/>
      </w:pPr>
      <w:r>
        <w:rPr>
          <w:rFonts w:ascii="Times New Roman" w:hAnsi="Times New Roman"/>
          <w:color w:val="000000"/>
        </w:rPr>
        <w:t>2.5 Preprocessing Pipeline</w:t>
      </w:r>
    </w:p>
    <w:p>
      <w:pPr>
        <w:spacing w:line="480" w:lineRule="auto"/>
        <w:ind w:firstLine="720"/>
      </w:pPr>
      <w:r>
        <w:rPr>
          <w:rFonts w:ascii="Times New Roman" w:hAnsi="Times New Roman"/>
          <w:b w:val="0"/>
          <w:i w:val="0"/>
          <w:sz w:val="24"/>
        </w:rPr>
        <w:t>The preprocessing pipeline was implemented using scikit-learn ColumnTransformer with separate handling for numeric, categorical, and pathology features. Numeric clinical features were first standardized using StandardScaler, then imputed using K-nearest neighbors (KNN) imputation with k=5 neighbors and distance-based weighting in the standardized space. This ordering ensured that KNN distances were computed on comparable scales, preventing features with larger magnitudes (e.g., testicular volume) from dominating the distance metric. Categorical features (karyotype, Y-microdeletion status) were processed through string conversion, mode imputation, and one-hot encoding with unknown category handling. Pathology features received constant-value imputation with fill value of 0, reflecting the clinical semantics that absent pathology text indicates absence of the pathological pattern.</w:t>
      </w:r>
    </w:p>
    <w:p>
      <w:pPr>
        <w:spacing w:line="480" w:lineRule="auto"/>
        <w:ind w:firstLine="720"/>
      </w:pPr>
      <w:r>
        <w:rPr>
          <w:rFonts w:ascii="Times New Roman" w:hAnsi="Times New Roman"/>
          <w:b w:val="0"/>
          <w:i w:val="0"/>
          <w:sz w:val="24"/>
        </w:rPr>
        <w:t>A critical quality assurance finding motivated the final pipeline design. During systematic verification of the initial pipeline (v1), the first author identified that the interquartile range (IQR)-based outlier clipper destroyed information in sparse pathology features. Specifically, for features with high zero-inflation (e.g., hypospermatogenesis present in &lt;5% of biopsies), Q1 and Q3 both equaled zero, yielding IQR = 0. The clipping bounds [Q1 − 1.5×IQR, Q3 + 1.5×IQR] therefore collapsed to [0, 0], forcing all non-zero values to zero. This artifact effectively eliminated the predictive signal from the most discriminative pathology features, producing the erroneous finding that histopathological features had zero SHAP importance in the v1 pipeline. Upon removal of the IQR clipper and implementation of the corrected preprocessing order, pathology features appropriately emerged as the dominant predictors, and model AUC improved from 0.7327 to 0.8306.</w:t>
      </w:r>
    </w:p>
    <w:p>
      <w:pPr>
        <w:spacing w:line="480" w:lineRule="auto"/>
        <w:ind w:firstLine="720"/>
      </w:pPr>
      <w:r>
        <w:rPr>
          <w:rFonts w:ascii="Times New Roman" w:hAnsi="Times New Roman"/>
          <w:b w:val="0"/>
          <w:i w:val="0"/>
          <w:sz w:val="24"/>
        </w:rPr>
        <w:t>Class imbalance (63.3% negative, 36.7% positive) was addressed using Synthetic Minority Over-sampling Technique (SMOTE) applied exclusively within the training partition of each cross-validation fold, implemented via an imbalanced-learn ImbPipeline to prevent data leakage.</w:t>
      </w:r>
    </w:p>
    <w:p>
      <w:pPr>
        <w:pStyle w:val="Heading2"/>
      </w:pPr>
      <w:r>
        <w:rPr>
          <w:rFonts w:ascii="Times New Roman" w:hAnsi="Times New Roman"/>
          <w:color w:val="000000"/>
        </w:rPr>
        <w:t>2.6 Machine Learning Models</w:t>
      </w:r>
    </w:p>
    <w:p>
      <w:pPr>
        <w:spacing w:line="480" w:lineRule="auto"/>
        <w:ind w:firstLine="720"/>
      </w:pPr>
      <w:r>
        <w:rPr>
          <w:rFonts w:ascii="Times New Roman" w:hAnsi="Times New Roman"/>
          <w:b w:val="0"/>
          <w:i w:val="0"/>
          <w:sz w:val="24"/>
        </w:rPr>
        <w:t>Five classifiers spanning different algorithmic families were evaluated: (1) CatBoost, a gradient boosting method with native handling of categorical features and ordered boosting to reduce prediction shift; (2) LightGBM, a gradient boosting framework using histogram-based splitting and leaf-wise tree growth for computational efficiency; (3) XGBoost, a regularized gradient boosting implementation with both L1 and L2 regularization; (4) Random Forest, a bagging-based ensemble of decorrelated decision trees; and (5) Logistic Regression with elastic net regularization as a linear baseline. Height and body weight were excluded from the feature set, retaining only BMI to avoid multicollinearity. Race was excluded from model features and retained only for post-hoc fairness analysis.</w:t>
      </w:r>
    </w:p>
    <w:p>
      <w:pPr>
        <w:pStyle w:val="Heading2"/>
      </w:pPr>
      <w:r>
        <w:rPr>
          <w:rFonts w:ascii="Times New Roman" w:hAnsi="Times New Roman"/>
          <w:color w:val="000000"/>
        </w:rPr>
        <w:t>2.7 Nested Cross-Validation</w:t>
      </w:r>
    </w:p>
    <w:p>
      <w:pPr>
        <w:spacing w:line="480" w:lineRule="auto"/>
        <w:ind w:firstLine="720"/>
      </w:pPr>
      <w:r>
        <w:rPr>
          <w:rFonts w:ascii="Times New Roman" w:hAnsi="Times New Roman"/>
          <w:b w:val="0"/>
          <w:i w:val="0"/>
          <w:sz w:val="24"/>
        </w:rPr>
        <w:t>Model evaluation employed 5×5 nested cross-validation to provide unbiased performance estimates while simultaneously optimizing hyperparameters. The outer loop (5-fold stratified) provided held-out test sets for performance estimation, while the inner loop (5-fold stratified) within each outer training set performed hyperparameter optimization via randomized search with 50 iterations per model. This nested design prevents the well-documented optimistic bias that occurs when hyperparameter selection and performance evaluation share the same data partition [30,31]. Stratified splitting ensured proportional class representation in all folds. Random seed 42 was used throughout for reproducibility.</w:t>
      </w:r>
    </w:p>
    <w:p>
      <w:pPr>
        <w:spacing w:line="480" w:lineRule="auto"/>
        <w:ind w:firstLine="720"/>
      </w:pPr>
      <w:r>
        <w:rPr>
          <w:rFonts w:ascii="Times New Roman" w:hAnsi="Times New Roman"/>
          <w:b w:val="0"/>
          <w:i w:val="0"/>
          <w:sz w:val="24"/>
        </w:rPr>
        <w:t>Representative hyperparameters were selected using the inner cross-validation score exclusively: for each model, the outer fold whose inner-CV best score was closest to the median was designated as the representative fold, and its optimal hyperparameters were reported. This approach ensures that outer-test performance is never used for hyperparameter selection, maintaining the integrity of the nested CV protocol [32].</w:t>
      </w:r>
    </w:p>
    <w:p>
      <w:pPr>
        <w:pStyle w:val="Heading2"/>
      </w:pPr>
      <w:r>
        <w:rPr>
          <w:rFonts w:ascii="Times New Roman" w:hAnsi="Times New Roman"/>
          <w:color w:val="000000"/>
        </w:rPr>
        <w:t>2.8 Threshold Optimization</w:t>
      </w:r>
    </w:p>
    <w:p>
      <w:pPr>
        <w:spacing w:line="480" w:lineRule="auto"/>
        <w:ind w:firstLine="720"/>
      </w:pPr>
      <w:r>
        <w:rPr>
          <w:rFonts w:ascii="Times New Roman" w:hAnsi="Times New Roman"/>
          <w:b w:val="0"/>
          <w:i w:val="0"/>
          <w:sz w:val="24"/>
        </w:rPr>
        <w:t>Rather than using the default probability threshold of 0.5, optimal classification thresholds were determined per outer fold using Youden’s J statistic (J = sensitivity + specificity − 1) computed on pooled inner-fold out-of-fold predictions. This per-fold threshold calibration accounts for SMOTE-induced probability inflation while ensuring the threshold selection process remains independent of the outer test set.</w:t>
      </w:r>
    </w:p>
    <w:p>
      <w:pPr>
        <w:pStyle w:val="Heading2"/>
      </w:pPr>
      <w:r>
        <w:rPr>
          <w:rFonts w:ascii="Times New Roman" w:hAnsi="Times New Roman"/>
          <w:color w:val="000000"/>
        </w:rPr>
        <w:t>2.9 Explainability Analysis</w:t>
      </w:r>
    </w:p>
    <w:p>
      <w:pPr>
        <w:spacing w:line="480" w:lineRule="auto"/>
        <w:ind w:firstLine="720"/>
      </w:pPr>
      <w:r>
        <w:rPr>
          <w:rFonts w:ascii="Times New Roman" w:hAnsi="Times New Roman"/>
          <w:b w:val="0"/>
          <w:i w:val="0"/>
          <w:sz w:val="24"/>
        </w:rPr>
        <w:t>Model explainability was assessed using SHapley Additive exPlanations (SHAP), specifically TreeExplainer for the tree-based models [33]. SHAP values decompose each individual prediction into feature-level contributions, providing both local (per-patient) and global (population-level) interpretability. Mean absolute SHAP values across all observations were computed on a full-dataset refit of the best model (CatBoost with representative hyperparameters) to provide the global feature importance ranking. Feature importance was categorized by domain (pathology, hormonal, testicular, genetic, demographic, lifestyle, semen) to assess the relative contribution of each clinical domain.</w:t>
      </w:r>
    </w:p>
    <w:p>
      <w:pPr>
        <w:pStyle w:val="Heading2"/>
      </w:pPr>
      <w:r>
        <w:rPr>
          <w:rFonts w:ascii="Times New Roman" w:hAnsi="Times New Roman"/>
          <w:color w:val="000000"/>
        </w:rPr>
        <w:t>2.10 Statistical Analysis</w:t>
      </w:r>
    </w:p>
    <w:p>
      <w:pPr>
        <w:spacing w:line="480" w:lineRule="auto"/>
        <w:ind w:firstLine="720"/>
      </w:pPr>
      <w:r>
        <w:rPr>
          <w:rFonts w:ascii="Times New Roman" w:hAnsi="Times New Roman"/>
          <w:b w:val="0"/>
          <w:i w:val="0"/>
          <w:sz w:val="24"/>
        </w:rPr>
        <w:t>Confidence intervals for model performance metrics were computed via two complementary methods: (1) bootstrap resampling (1,000 iterations) of the aggregated out-of-fold predictions from nested CV, providing non-parametric 95% confidence intervals; and (2) Student’s t-based confidence intervals across the 5 outer-fold estimates. Descriptive statistics for clinical characteristics included means with standard deviations for continuous variables and counts with percentages for categorical variables. All analyses were performed using Python 3.x with scikit-learn (v1.3+), CatBoost (v1.2+), LightGBM (v4.0+), XGBoost (v2.0+), imbalanced-learn (v0.11+), and SHAP (v0.42+). Results were independently verified by a separate analysis pipeline, achieving exact reproduction of all metrics to four decimal places.</w:t>
      </w:r>
    </w:p>
    <w:p>
      <w:pPr>
        <w:pStyle w:val="Heading2"/>
      </w:pPr>
      <w:r>
        <w:rPr>
          <w:rFonts w:ascii="Times New Roman" w:hAnsi="Times New Roman"/>
          <w:color w:val="000000"/>
        </w:rPr>
        <w:t>2.11 TRIPOD+AI Adherence</w:t>
      </w:r>
    </w:p>
    <w:p>
      <w:pPr>
        <w:spacing w:line="480" w:lineRule="auto"/>
        <w:ind w:firstLine="720"/>
      </w:pPr>
      <w:r>
        <w:rPr>
          <w:rFonts w:ascii="Times New Roman" w:hAnsi="Times New Roman"/>
          <w:b w:val="0"/>
          <w:i w:val="0"/>
          <w:sz w:val="24"/>
        </w:rPr>
        <w:t>This study adheres to the Transparent Reporting of a multivariable prediction model for Individual Prognosis Or Diagnosis (TRIPOD+AI) reporting guideline [34]. The title explicitly identifies this as a prediction model development study. The abstract is structured with background, methods, results, and conclusions. The primary outcome (sperm retrieval) is clearly defined as a binary endpoint. The sample size (n = 2,413) is reported with class distribution. Handling of missing data is fully described, including imputation strategy and the rationale for preprocessing order. The model development procedure, including internal validation via nested cross-validation, is detailed. Performance measures (AUC, sensitivity, specificity, accuracy, F1, MCC) are reported with 95% confidence intervals. Model interpretability is provided through SHAP feature importance analysis. A complete TRIPOD+AI checklist is provided as Supplementary Table S1.</w:t>
      </w:r>
    </w:p>
    <w:p>
      <w:pPr>
        <w:pStyle w:val="Heading2"/>
      </w:pPr>
      <w:r>
        <w:rPr>
          <w:rFonts w:ascii="Times New Roman" w:hAnsi="Times New Roman"/>
          <w:color w:val="000000"/>
        </w:rPr>
        <w:t>2.12 PROBAST Self-Assessment</w:t>
      </w:r>
    </w:p>
    <w:p>
      <w:pPr>
        <w:spacing w:line="480" w:lineRule="auto"/>
        <w:ind w:firstLine="720"/>
      </w:pPr>
      <w:r>
        <w:rPr>
          <w:rFonts w:ascii="Times New Roman" w:hAnsi="Times New Roman"/>
          <w:b w:val="0"/>
          <w:i w:val="0"/>
          <w:sz w:val="24"/>
        </w:rPr>
        <w:t>Risk of bias was self-assessed using the Prediction model Risk Of Bias ASsessment Tool (PROBAST) framework across four domains [35]. In the Participants domain, risk of bias was judged as low: the study included a consecutive cohort of NOA patients at a tertiary referral center with clearly defined inclusion and exclusion criteria and minimal exclusions (37/2,450, 1.5%). In the Predictors domain, risk was judged as low: all clinical measurements were standardized, histopathological features were systematically extracted using a reproducible NLP pipeline, and predictor assessment was blinded to outcome. In the Outcome domain, risk was judged as low: sperm retrieval is an objective binary outcome determined intraoperatively with minimal ambiguity. In the Analysis domain, risk was judged as low-to-moderate: the sample size was adequate for the number of predictors (events per variable &gt; 10), nested cross-validation prevented overfitting, and multiple performance metrics were reported with confidence intervals; however, the single-center design and absence of external validation preclude definitive assessment of generalizability. A detailed PROBAST assessment is provided as Supplementary Table S2.</w:t>
      </w:r>
    </w:p>
    <w:p>
      <w:r>
        <w:br w:type="page"/>
      </w:r>
    </w:p>
    <w:p>
      <w:pPr>
        <w:pStyle w:val="Heading1"/>
      </w:pPr>
      <w:r>
        <w:rPr>
          <w:rFonts w:ascii="Times New Roman" w:hAnsi="Times New Roman"/>
          <w:color w:val="000000"/>
        </w:rPr>
        <w:t>3. RESULTS</w:t>
      </w:r>
    </w:p>
    <w:p>
      <w:pPr>
        <w:pStyle w:val="Heading2"/>
      </w:pPr>
      <w:r>
        <w:rPr>
          <w:rFonts w:ascii="Times New Roman" w:hAnsi="Times New Roman"/>
          <w:color w:val="000000"/>
        </w:rPr>
        <w:t>3.1 Patient Characteristics</w:t>
      </w:r>
    </w:p>
    <w:p>
      <w:pPr>
        <w:spacing w:line="480" w:lineRule="auto"/>
        <w:ind w:firstLine="720"/>
      </w:pPr>
      <w:r>
        <w:rPr>
          <w:rFonts w:ascii="Times New Roman" w:hAnsi="Times New Roman"/>
          <w:b w:val="0"/>
          <w:i w:val="0"/>
          <w:sz w:val="24"/>
        </w:rPr>
        <w:t>The analytical cohort comprised 2,413 NOA patients. The overall sperm retrieval success rate was 36.7% (886/2,413). Among primary micro-TESE patients (n = 2,203), the success rate was 32.5%, while salvage micro-TESE patients (n = 210) had a substantially higher success rate of 80.5%, consistent with selection bias inherent in repeat surgical attempts. Table 1 summarizes the baseline clinical characteristics, hormonal profiles, and histopathological feature distributions.</w:t>
      </w:r>
    </w:p>
    <w:p>
      <w:pPr>
        <w:spacing w:line="480" w:lineRule="auto"/>
      </w:pPr>
      <w:r>
        <w:rPr>
          <w:rFonts w:ascii="Times New Roman" w:hAnsi="Times New Roman"/>
          <w:b w:val="0"/>
          <w:i w:val="0"/>
          <w:sz w:val="24"/>
        </w:rPr>
      </w:r>
    </w:p>
    <w:p>
      <w:pPr>
        <w:spacing w:line="480" w:lineRule="auto"/>
        <w:jc w:val="center"/>
      </w:pPr>
      <w:r>
        <w:rPr>
          <w:rFonts w:ascii="Times New Roman" w:hAnsi="Times New Roman"/>
          <w:b/>
          <w:i w:val="0"/>
          <w:sz w:val="24"/>
        </w:rPr>
        <w:t>Table 1. Baseline Patient Characteristics (n = 2,413)</w:t>
      </w:r>
    </w:p>
    <w:tbl>
      <w:tblPr>
        <w:tblStyle w:val="TableGrid"/>
        <w:tblW w:type="auto" w:w="0"/>
        <w:jc w:val="center"/>
        <w:tblLook w:firstColumn="1" w:firstRow="1" w:lastColumn="0" w:lastRow="0" w:noHBand="0" w:noVBand="1" w:val="04A0"/>
      </w:tblPr>
      <w:tblGrid>
        <w:gridCol w:w="4680"/>
        <w:gridCol w:w="4680"/>
      </w:tblGrid>
      <w:tr>
        <w:tc>
          <w:tcPr>
            <w:tcW w:type="dxa" w:w="5760"/>
            <w:vAlign w:val="center"/>
            <w:shd w:fill="D9E2F3"/>
          </w:tcPr>
          <w:p>
            <w:pPr>
              <w:spacing w:line="240" w:lineRule="auto" w:before="40" w:after="40"/>
              <w:jc w:val="center"/>
            </w:pPr>
            <w:r/>
            <w:r>
              <w:rPr>
                <w:rFonts w:ascii="Times New Roman" w:hAnsi="Times New Roman"/>
                <w:b/>
                <w:sz w:val="20"/>
              </w:rPr>
              <w:t>Variable</w:t>
            </w:r>
          </w:p>
        </w:tc>
        <w:tc>
          <w:tcPr>
            <w:tcW w:type="dxa" w:w="3600"/>
            <w:vAlign w:val="center"/>
            <w:shd w:fill="D9E2F3"/>
          </w:tcPr>
          <w:p>
            <w:pPr>
              <w:spacing w:line="240" w:lineRule="auto" w:before="40" w:after="40"/>
              <w:jc w:val="center"/>
            </w:pPr>
            <w:r/>
            <w:r>
              <w:rPr>
                <w:rFonts w:ascii="Times New Roman" w:hAnsi="Times New Roman"/>
                <w:b/>
                <w:sz w:val="20"/>
              </w:rPr>
              <w:t>Value</w:t>
            </w:r>
          </w:p>
        </w:tc>
      </w:tr>
      <w:tr>
        <w:tc>
          <w:tcPr>
            <w:tcW w:type="dxa" w:w="5760"/>
            <w:vAlign w:val="center"/>
          </w:tcPr>
          <w:p>
            <w:pPr>
              <w:spacing w:line="240" w:lineRule="auto" w:before="40" w:after="40"/>
              <w:jc w:val="left"/>
            </w:pPr>
            <w:r/>
            <w:r>
              <w:rPr>
                <w:rFonts w:ascii="Times New Roman" w:hAnsi="Times New Roman"/>
                <w:b w:val="0"/>
                <w:sz w:val="20"/>
              </w:rPr>
              <w:t>Demographics</w:t>
            </w:r>
          </w:p>
        </w:tc>
        <w:tc>
          <w:tcPr>
            <w:tcW w:type="dxa" w:w="3600"/>
            <w:vAlign w:val="center"/>
          </w:tcPr>
          <w:p>
            <w:pPr>
              <w:spacing w:line="240" w:lineRule="auto" w:before="40" w:after="40"/>
              <w:jc w:val="center"/>
            </w:pPr>
            <w:r/>
            <w:r>
              <w:rPr>
                <w:rFonts w:ascii="Times New Roman" w:hAnsi="Times New Roman"/>
                <w:b w:val="0"/>
                <w:sz w:val="20"/>
              </w:rPr>
            </w:r>
          </w:p>
        </w:tc>
      </w:tr>
      <w:tr>
        <w:tc>
          <w:tcPr>
            <w:tcW w:type="dxa" w:w="5760"/>
            <w:vAlign w:val="center"/>
          </w:tcPr>
          <w:p>
            <w:pPr>
              <w:spacing w:line="240" w:lineRule="auto" w:before="40" w:after="40"/>
              <w:jc w:val="left"/>
            </w:pPr>
            <w:r/>
            <w:r>
              <w:rPr>
                <w:rFonts w:ascii="Times New Roman" w:hAnsi="Times New Roman"/>
                <w:b w:val="0"/>
                <w:sz w:val="20"/>
              </w:rPr>
              <w:t xml:space="preserve">  Total patients, n</w:t>
            </w:r>
          </w:p>
        </w:tc>
        <w:tc>
          <w:tcPr>
            <w:tcW w:type="dxa" w:w="3600"/>
            <w:vAlign w:val="center"/>
          </w:tcPr>
          <w:p>
            <w:pPr>
              <w:spacing w:line="240" w:lineRule="auto" w:before="40" w:after="40"/>
              <w:jc w:val="center"/>
            </w:pPr>
            <w:r/>
            <w:r>
              <w:rPr>
                <w:rFonts w:ascii="Times New Roman" w:hAnsi="Times New Roman"/>
                <w:b w:val="0"/>
                <w:sz w:val="20"/>
              </w:rPr>
              <w:t>2,413</w:t>
            </w:r>
          </w:p>
        </w:tc>
      </w:tr>
      <w:tr>
        <w:tc>
          <w:tcPr>
            <w:tcW w:type="dxa" w:w="5760"/>
            <w:vAlign w:val="center"/>
          </w:tcPr>
          <w:p>
            <w:pPr>
              <w:spacing w:line="240" w:lineRule="auto" w:before="40" w:after="40"/>
              <w:jc w:val="left"/>
            </w:pPr>
            <w:r/>
            <w:r>
              <w:rPr>
                <w:rFonts w:ascii="Times New Roman" w:hAnsi="Times New Roman"/>
                <w:b w:val="0"/>
                <w:sz w:val="20"/>
              </w:rPr>
              <w:t xml:space="preserve">  Age, years (missing data acknowledged)</w:t>
            </w:r>
          </w:p>
        </w:tc>
        <w:tc>
          <w:tcPr>
            <w:tcW w:type="dxa" w:w="3600"/>
            <w:vAlign w:val="center"/>
          </w:tcPr>
          <w:p>
            <w:pPr>
              <w:spacing w:line="240" w:lineRule="auto" w:before="40" w:after="40"/>
              <w:jc w:val="center"/>
            </w:pPr>
            <w:r/>
            <w:r>
              <w:rPr>
                <w:rFonts w:ascii="Times New Roman" w:hAnsi="Times New Roman"/>
                <w:b w:val="0"/>
                <w:sz w:val="20"/>
              </w:rPr>
              <w:t>Available for subset</w:t>
            </w:r>
          </w:p>
        </w:tc>
      </w:tr>
      <w:tr>
        <w:tc>
          <w:tcPr>
            <w:tcW w:type="dxa" w:w="5760"/>
            <w:vAlign w:val="center"/>
          </w:tcPr>
          <w:p>
            <w:pPr>
              <w:spacing w:line="240" w:lineRule="auto" w:before="40" w:after="40"/>
              <w:jc w:val="left"/>
            </w:pPr>
            <w:r/>
            <w:r>
              <w:rPr>
                <w:rFonts w:ascii="Times New Roman" w:hAnsi="Times New Roman"/>
                <w:b w:val="0"/>
                <w:sz w:val="20"/>
              </w:rPr>
              <w:t xml:space="preserve">  Partner age, years (8.6% missing)</w:t>
            </w:r>
          </w:p>
        </w:tc>
        <w:tc>
          <w:tcPr>
            <w:tcW w:type="dxa" w:w="3600"/>
            <w:vAlign w:val="center"/>
          </w:tcPr>
          <w:p>
            <w:pPr>
              <w:spacing w:line="240" w:lineRule="auto" w:before="40" w:after="40"/>
              <w:jc w:val="center"/>
            </w:pPr>
            <w:r/>
            <w:r>
              <w:rPr>
                <w:rFonts w:ascii="Times New Roman" w:hAnsi="Times New Roman"/>
                <w:b w:val="0"/>
                <w:sz w:val="20"/>
              </w:rPr>
              <w:t>Available for subset</w:t>
            </w:r>
          </w:p>
        </w:tc>
      </w:tr>
      <w:tr>
        <w:tc>
          <w:tcPr>
            <w:tcW w:type="dxa" w:w="5760"/>
            <w:vAlign w:val="center"/>
          </w:tcPr>
          <w:p>
            <w:pPr>
              <w:spacing w:line="240" w:lineRule="auto" w:before="40" w:after="40"/>
              <w:jc w:val="left"/>
            </w:pPr>
            <w:r/>
            <w:r>
              <w:rPr>
                <w:rFonts w:ascii="Times New Roman" w:hAnsi="Times New Roman"/>
                <w:b w:val="0"/>
                <w:sz w:val="20"/>
              </w:rPr>
              <w:t xml:space="preserve">  BMI, kg/m² (64.1% missing)</w:t>
            </w:r>
          </w:p>
        </w:tc>
        <w:tc>
          <w:tcPr>
            <w:tcW w:type="dxa" w:w="3600"/>
            <w:vAlign w:val="center"/>
          </w:tcPr>
          <w:p>
            <w:pPr>
              <w:spacing w:line="240" w:lineRule="auto" w:before="40" w:after="40"/>
              <w:jc w:val="center"/>
            </w:pPr>
            <w:r/>
            <w:r>
              <w:rPr>
                <w:rFonts w:ascii="Times New Roman" w:hAnsi="Times New Roman"/>
                <w:b w:val="0"/>
                <w:sz w:val="20"/>
              </w:rPr>
              <w:t>Available for subset</w:t>
            </w:r>
          </w:p>
        </w:tc>
      </w:tr>
      <w:tr>
        <w:tc>
          <w:tcPr>
            <w:tcW w:type="dxa" w:w="5760"/>
            <w:vAlign w:val="center"/>
          </w:tcPr>
          <w:p>
            <w:pPr>
              <w:spacing w:line="240" w:lineRule="auto" w:before="40" w:after="40"/>
              <w:jc w:val="left"/>
            </w:pPr>
            <w:r/>
            <w:r>
              <w:rPr>
                <w:rFonts w:ascii="Times New Roman" w:hAnsi="Times New Roman"/>
                <w:b w:val="0"/>
                <w:sz w:val="20"/>
              </w:rPr>
              <w:t>Hormonal Profile</w:t>
            </w:r>
          </w:p>
        </w:tc>
        <w:tc>
          <w:tcPr>
            <w:tcW w:type="dxa" w:w="3600"/>
            <w:vAlign w:val="center"/>
          </w:tcPr>
          <w:p>
            <w:pPr>
              <w:spacing w:line="240" w:lineRule="auto" w:before="40" w:after="40"/>
              <w:jc w:val="center"/>
            </w:pPr>
            <w:r/>
            <w:r>
              <w:rPr>
                <w:rFonts w:ascii="Times New Roman" w:hAnsi="Times New Roman"/>
                <w:b w:val="0"/>
                <w:sz w:val="20"/>
              </w:rPr>
            </w:r>
          </w:p>
        </w:tc>
      </w:tr>
      <w:tr>
        <w:tc>
          <w:tcPr>
            <w:tcW w:type="dxa" w:w="5760"/>
            <w:vAlign w:val="center"/>
          </w:tcPr>
          <w:p>
            <w:pPr>
              <w:spacing w:line="240" w:lineRule="auto" w:before="40" w:after="40"/>
              <w:jc w:val="left"/>
            </w:pPr>
            <w:r/>
            <w:r>
              <w:rPr>
                <w:rFonts w:ascii="Times New Roman" w:hAnsi="Times New Roman"/>
                <w:b w:val="0"/>
                <w:sz w:val="20"/>
              </w:rPr>
              <w:t xml:space="preserve">  FSH, mIU/mL (22.2% missing)</w:t>
            </w:r>
          </w:p>
        </w:tc>
        <w:tc>
          <w:tcPr>
            <w:tcW w:type="dxa" w:w="3600"/>
            <w:vAlign w:val="center"/>
          </w:tcPr>
          <w:p>
            <w:pPr>
              <w:spacing w:line="240" w:lineRule="auto" w:before="40" w:after="40"/>
              <w:jc w:val="center"/>
            </w:pPr>
            <w:r/>
            <w:r>
              <w:rPr>
                <w:rFonts w:ascii="Times New Roman" w:hAnsi="Times New Roman"/>
                <w:b w:val="0"/>
                <w:sz w:val="20"/>
              </w:rPr>
              <w:t>Available for imputed analysis</w:t>
            </w:r>
          </w:p>
        </w:tc>
      </w:tr>
      <w:tr>
        <w:tc>
          <w:tcPr>
            <w:tcW w:type="dxa" w:w="5760"/>
            <w:vAlign w:val="center"/>
          </w:tcPr>
          <w:p>
            <w:pPr>
              <w:spacing w:line="240" w:lineRule="auto" w:before="40" w:after="40"/>
              <w:jc w:val="left"/>
            </w:pPr>
            <w:r/>
            <w:r>
              <w:rPr>
                <w:rFonts w:ascii="Times New Roman" w:hAnsi="Times New Roman"/>
                <w:b w:val="0"/>
                <w:sz w:val="20"/>
              </w:rPr>
              <w:t xml:space="preserve">  LH, mIU/mL (25.1% missing)</w:t>
            </w:r>
          </w:p>
        </w:tc>
        <w:tc>
          <w:tcPr>
            <w:tcW w:type="dxa" w:w="3600"/>
            <w:vAlign w:val="center"/>
          </w:tcPr>
          <w:p>
            <w:pPr>
              <w:spacing w:line="240" w:lineRule="auto" w:before="40" w:after="40"/>
              <w:jc w:val="center"/>
            </w:pPr>
            <w:r/>
            <w:r>
              <w:rPr>
                <w:rFonts w:ascii="Times New Roman" w:hAnsi="Times New Roman"/>
                <w:b w:val="0"/>
                <w:sz w:val="20"/>
              </w:rPr>
              <w:t>Available for imputed analysis</w:t>
            </w:r>
          </w:p>
        </w:tc>
      </w:tr>
      <w:tr>
        <w:tc>
          <w:tcPr>
            <w:tcW w:type="dxa" w:w="5760"/>
            <w:vAlign w:val="center"/>
          </w:tcPr>
          <w:p>
            <w:pPr>
              <w:spacing w:line="240" w:lineRule="auto" w:before="40" w:after="40"/>
              <w:jc w:val="left"/>
            </w:pPr>
            <w:r/>
            <w:r>
              <w:rPr>
                <w:rFonts w:ascii="Times New Roman" w:hAnsi="Times New Roman"/>
                <w:b w:val="0"/>
                <w:sz w:val="20"/>
              </w:rPr>
              <w:t xml:space="preserve">  Testosterone, ng/dL (22.6% missing)</w:t>
            </w:r>
          </w:p>
        </w:tc>
        <w:tc>
          <w:tcPr>
            <w:tcW w:type="dxa" w:w="3600"/>
            <w:vAlign w:val="center"/>
          </w:tcPr>
          <w:p>
            <w:pPr>
              <w:spacing w:line="240" w:lineRule="auto" w:before="40" w:after="40"/>
              <w:jc w:val="center"/>
            </w:pPr>
            <w:r/>
            <w:r>
              <w:rPr>
                <w:rFonts w:ascii="Times New Roman" w:hAnsi="Times New Roman"/>
                <w:b w:val="0"/>
                <w:sz w:val="20"/>
              </w:rPr>
              <w:t>Available for imputed analysis</w:t>
            </w:r>
          </w:p>
        </w:tc>
      </w:tr>
      <w:tr>
        <w:tc>
          <w:tcPr>
            <w:tcW w:type="dxa" w:w="5760"/>
            <w:vAlign w:val="center"/>
          </w:tcPr>
          <w:p>
            <w:pPr>
              <w:spacing w:line="240" w:lineRule="auto" w:before="40" w:after="40"/>
              <w:jc w:val="left"/>
            </w:pPr>
            <w:r/>
            <w:r>
              <w:rPr>
                <w:rFonts w:ascii="Times New Roman" w:hAnsi="Times New Roman"/>
                <w:b w:val="0"/>
                <w:sz w:val="20"/>
              </w:rPr>
              <w:t xml:space="preserve">  Prolactin, ng/mL (40.4% missing)</w:t>
            </w:r>
          </w:p>
        </w:tc>
        <w:tc>
          <w:tcPr>
            <w:tcW w:type="dxa" w:w="3600"/>
            <w:vAlign w:val="center"/>
          </w:tcPr>
          <w:p>
            <w:pPr>
              <w:spacing w:line="240" w:lineRule="auto" w:before="40" w:after="40"/>
              <w:jc w:val="center"/>
            </w:pPr>
            <w:r/>
            <w:r>
              <w:rPr>
                <w:rFonts w:ascii="Times New Roman" w:hAnsi="Times New Roman"/>
                <w:b w:val="0"/>
                <w:sz w:val="20"/>
              </w:rPr>
              <w:t>Available for imputed analysis</w:t>
            </w:r>
          </w:p>
        </w:tc>
      </w:tr>
      <w:tr>
        <w:tc>
          <w:tcPr>
            <w:tcW w:type="dxa" w:w="5760"/>
            <w:vAlign w:val="center"/>
          </w:tcPr>
          <w:p>
            <w:pPr>
              <w:spacing w:line="240" w:lineRule="auto" w:before="40" w:after="40"/>
              <w:jc w:val="left"/>
            </w:pPr>
            <w:r/>
            <w:r>
              <w:rPr>
                <w:rFonts w:ascii="Times New Roman" w:hAnsi="Times New Roman"/>
                <w:b w:val="0"/>
                <w:sz w:val="20"/>
              </w:rPr>
              <w:t xml:space="preserve">  E2, pg/mL (41.6% missing)</w:t>
            </w:r>
          </w:p>
        </w:tc>
        <w:tc>
          <w:tcPr>
            <w:tcW w:type="dxa" w:w="3600"/>
            <w:vAlign w:val="center"/>
          </w:tcPr>
          <w:p>
            <w:pPr>
              <w:spacing w:line="240" w:lineRule="auto" w:before="40" w:after="40"/>
              <w:jc w:val="center"/>
            </w:pPr>
            <w:r/>
            <w:r>
              <w:rPr>
                <w:rFonts w:ascii="Times New Roman" w:hAnsi="Times New Roman"/>
                <w:b w:val="0"/>
                <w:sz w:val="20"/>
              </w:rPr>
              <w:t>Available for imputed analysis</w:t>
            </w:r>
          </w:p>
        </w:tc>
      </w:tr>
      <w:tr>
        <w:tc>
          <w:tcPr>
            <w:tcW w:type="dxa" w:w="5760"/>
            <w:vAlign w:val="center"/>
          </w:tcPr>
          <w:p>
            <w:pPr>
              <w:spacing w:line="240" w:lineRule="auto" w:before="40" w:after="40"/>
              <w:jc w:val="left"/>
            </w:pPr>
            <w:r/>
            <w:r>
              <w:rPr>
                <w:rFonts w:ascii="Times New Roman" w:hAnsi="Times New Roman"/>
                <w:b w:val="0"/>
                <w:sz w:val="20"/>
              </w:rPr>
              <w:t>Genetic Factors</w:t>
            </w:r>
          </w:p>
        </w:tc>
        <w:tc>
          <w:tcPr>
            <w:tcW w:type="dxa" w:w="3600"/>
            <w:vAlign w:val="center"/>
          </w:tcPr>
          <w:p>
            <w:pPr>
              <w:spacing w:line="240" w:lineRule="auto" w:before="40" w:after="40"/>
              <w:jc w:val="center"/>
            </w:pPr>
            <w:r/>
            <w:r>
              <w:rPr>
                <w:rFonts w:ascii="Times New Roman" w:hAnsi="Times New Roman"/>
                <w:b w:val="0"/>
                <w:sz w:val="20"/>
              </w:rPr>
            </w:r>
          </w:p>
        </w:tc>
      </w:tr>
      <w:tr>
        <w:tc>
          <w:tcPr>
            <w:tcW w:type="dxa" w:w="5760"/>
            <w:vAlign w:val="center"/>
          </w:tcPr>
          <w:p>
            <w:pPr>
              <w:spacing w:line="240" w:lineRule="auto" w:before="40" w:after="40"/>
              <w:jc w:val="left"/>
            </w:pPr>
            <w:r/>
            <w:r>
              <w:rPr>
                <w:rFonts w:ascii="Times New Roman" w:hAnsi="Times New Roman"/>
                <w:b w:val="0"/>
                <w:sz w:val="20"/>
              </w:rPr>
              <w:t xml:space="preserve">  Karyotype available, n (%)</w:t>
            </w:r>
          </w:p>
        </w:tc>
        <w:tc>
          <w:tcPr>
            <w:tcW w:type="dxa" w:w="3600"/>
            <w:vAlign w:val="center"/>
          </w:tcPr>
          <w:p>
            <w:pPr>
              <w:spacing w:line="240" w:lineRule="auto" w:before="40" w:after="40"/>
              <w:jc w:val="center"/>
            </w:pPr>
            <w:r/>
            <w:r>
              <w:rPr>
                <w:rFonts w:ascii="Times New Roman" w:hAnsi="Times New Roman"/>
                <w:b w:val="0"/>
                <w:sz w:val="20"/>
              </w:rPr>
              <w:t>923 (38.3%)</w:t>
            </w:r>
          </w:p>
        </w:tc>
      </w:tr>
      <w:tr>
        <w:tc>
          <w:tcPr>
            <w:tcW w:type="dxa" w:w="5760"/>
            <w:vAlign w:val="center"/>
          </w:tcPr>
          <w:p>
            <w:pPr>
              <w:spacing w:line="240" w:lineRule="auto" w:before="40" w:after="40"/>
              <w:jc w:val="left"/>
            </w:pPr>
            <w:r/>
            <w:r>
              <w:rPr>
                <w:rFonts w:ascii="Times New Roman" w:hAnsi="Times New Roman"/>
                <w:b w:val="0"/>
                <w:sz w:val="20"/>
              </w:rPr>
              <w:t xml:space="preserve">  Y-microdeletion tested, n (%)</w:t>
            </w:r>
          </w:p>
        </w:tc>
        <w:tc>
          <w:tcPr>
            <w:tcW w:type="dxa" w:w="3600"/>
            <w:vAlign w:val="center"/>
          </w:tcPr>
          <w:p>
            <w:pPr>
              <w:spacing w:line="240" w:lineRule="auto" w:before="40" w:after="40"/>
              <w:jc w:val="center"/>
            </w:pPr>
            <w:r/>
            <w:r>
              <w:rPr>
                <w:rFonts w:ascii="Times New Roman" w:hAnsi="Times New Roman"/>
                <w:b w:val="0"/>
                <w:sz w:val="20"/>
              </w:rPr>
              <w:t>922 (38.2%)</w:t>
            </w:r>
          </w:p>
        </w:tc>
      </w:tr>
      <w:tr>
        <w:tc>
          <w:tcPr>
            <w:tcW w:type="dxa" w:w="5760"/>
            <w:vAlign w:val="center"/>
          </w:tcPr>
          <w:p>
            <w:pPr>
              <w:spacing w:line="240" w:lineRule="auto" w:before="40" w:after="40"/>
              <w:jc w:val="left"/>
            </w:pPr>
            <w:r/>
            <w:r>
              <w:rPr>
                <w:rFonts w:ascii="Times New Roman" w:hAnsi="Times New Roman"/>
                <w:b w:val="0"/>
                <w:sz w:val="20"/>
              </w:rPr>
              <w:t>Histopathological Patterns (RT)</w:t>
            </w:r>
          </w:p>
        </w:tc>
        <w:tc>
          <w:tcPr>
            <w:tcW w:type="dxa" w:w="3600"/>
            <w:vAlign w:val="center"/>
          </w:tcPr>
          <w:p>
            <w:pPr>
              <w:spacing w:line="240" w:lineRule="auto" w:before="40" w:after="40"/>
              <w:jc w:val="center"/>
            </w:pPr>
            <w:r/>
            <w:r>
              <w:rPr>
                <w:rFonts w:ascii="Times New Roman" w:hAnsi="Times New Roman"/>
                <w:b w:val="0"/>
                <w:sz w:val="20"/>
              </w:rPr>
            </w:r>
          </w:p>
        </w:tc>
      </w:tr>
      <w:tr>
        <w:tc>
          <w:tcPr>
            <w:tcW w:type="dxa" w:w="5760"/>
            <w:vAlign w:val="center"/>
          </w:tcPr>
          <w:p>
            <w:pPr>
              <w:spacing w:line="240" w:lineRule="auto" w:before="40" w:after="40"/>
              <w:jc w:val="left"/>
            </w:pPr>
            <w:r/>
            <w:r>
              <w:rPr>
                <w:rFonts w:ascii="Times New Roman" w:hAnsi="Times New Roman"/>
                <w:b w:val="0"/>
                <w:sz w:val="20"/>
              </w:rPr>
              <w:t xml:space="preserve">  SCO present, n (%)</w:t>
            </w:r>
          </w:p>
        </w:tc>
        <w:tc>
          <w:tcPr>
            <w:tcW w:type="dxa" w:w="3600"/>
            <w:vAlign w:val="center"/>
          </w:tcPr>
          <w:p>
            <w:pPr>
              <w:spacing w:line="240" w:lineRule="auto" w:before="40" w:after="40"/>
              <w:jc w:val="center"/>
            </w:pPr>
            <w:r/>
            <w:r>
              <w:rPr>
                <w:rFonts w:ascii="Times New Roman" w:hAnsi="Times New Roman"/>
                <w:b w:val="0"/>
                <w:sz w:val="20"/>
              </w:rPr>
              <w:t>1,233 (51.1%)</w:t>
            </w:r>
          </w:p>
        </w:tc>
      </w:tr>
      <w:tr>
        <w:tc>
          <w:tcPr>
            <w:tcW w:type="dxa" w:w="5760"/>
            <w:vAlign w:val="center"/>
          </w:tcPr>
          <w:p>
            <w:pPr>
              <w:spacing w:line="240" w:lineRule="auto" w:before="40" w:after="40"/>
              <w:jc w:val="left"/>
            </w:pPr>
            <w:r/>
            <w:r>
              <w:rPr>
                <w:rFonts w:ascii="Times New Roman" w:hAnsi="Times New Roman"/>
                <w:b w:val="0"/>
                <w:sz w:val="20"/>
              </w:rPr>
              <w:t xml:space="preserve">  CSTH present, n (%)</w:t>
            </w:r>
          </w:p>
        </w:tc>
        <w:tc>
          <w:tcPr>
            <w:tcW w:type="dxa" w:w="3600"/>
            <w:vAlign w:val="center"/>
          </w:tcPr>
          <w:p>
            <w:pPr>
              <w:spacing w:line="240" w:lineRule="auto" w:before="40" w:after="40"/>
              <w:jc w:val="center"/>
            </w:pPr>
            <w:r/>
            <w:r>
              <w:rPr>
                <w:rFonts w:ascii="Times New Roman" w:hAnsi="Times New Roman"/>
                <w:b w:val="0"/>
                <w:sz w:val="20"/>
              </w:rPr>
              <w:t>675 (28.0%)</w:t>
            </w:r>
          </w:p>
        </w:tc>
      </w:tr>
      <w:tr>
        <w:tc>
          <w:tcPr>
            <w:tcW w:type="dxa" w:w="5760"/>
            <w:vAlign w:val="center"/>
          </w:tcPr>
          <w:p>
            <w:pPr>
              <w:spacing w:line="240" w:lineRule="auto" w:before="40" w:after="40"/>
              <w:jc w:val="left"/>
            </w:pPr>
            <w:r/>
            <w:r>
              <w:rPr>
                <w:rFonts w:ascii="Times New Roman" w:hAnsi="Times New Roman"/>
                <w:b w:val="0"/>
                <w:sz w:val="20"/>
              </w:rPr>
              <w:t xml:space="preserve">  MA (any stage) present, n (%)</w:t>
            </w:r>
          </w:p>
        </w:tc>
        <w:tc>
          <w:tcPr>
            <w:tcW w:type="dxa" w:w="3600"/>
            <w:vAlign w:val="center"/>
          </w:tcPr>
          <w:p>
            <w:pPr>
              <w:spacing w:line="240" w:lineRule="auto" w:before="40" w:after="40"/>
              <w:jc w:val="center"/>
            </w:pPr>
            <w:r/>
            <w:r>
              <w:rPr>
                <w:rFonts w:ascii="Times New Roman" w:hAnsi="Times New Roman"/>
                <w:b w:val="0"/>
                <w:sz w:val="20"/>
              </w:rPr>
              <w:t>985 (40.8%)</w:t>
            </w:r>
          </w:p>
        </w:tc>
      </w:tr>
      <w:tr>
        <w:tc>
          <w:tcPr>
            <w:tcW w:type="dxa" w:w="5760"/>
            <w:vAlign w:val="center"/>
          </w:tcPr>
          <w:p>
            <w:pPr>
              <w:spacing w:line="240" w:lineRule="auto" w:before="40" w:after="40"/>
              <w:jc w:val="left"/>
            </w:pPr>
            <w:r/>
            <w:r>
              <w:rPr>
                <w:rFonts w:ascii="Times New Roman" w:hAnsi="Times New Roman"/>
                <w:b w:val="0"/>
                <w:sz w:val="20"/>
              </w:rPr>
              <w:t xml:space="preserve">  Hypospermatogenesis present, n (%)</w:t>
            </w:r>
          </w:p>
        </w:tc>
        <w:tc>
          <w:tcPr>
            <w:tcW w:type="dxa" w:w="3600"/>
            <w:vAlign w:val="center"/>
          </w:tcPr>
          <w:p>
            <w:pPr>
              <w:spacing w:line="240" w:lineRule="auto" w:before="40" w:after="40"/>
              <w:jc w:val="center"/>
            </w:pPr>
            <w:r/>
            <w:r>
              <w:rPr>
                <w:rFonts w:ascii="Times New Roman" w:hAnsi="Times New Roman"/>
                <w:b w:val="0"/>
                <w:sz w:val="20"/>
              </w:rPr>
              <w:t>102 (4.2%)</w:t>
            </w:r>
          </w:p>
        </w:tc>
      </w:tr>
      <w:tr>
        <w:tc>
          <w:tcPr>
            <w:tcW w:type="dxa" w:w="5760"/>
            <w:vAlign w:val="center"/>
          </w:tcPr>
          <w:p>
            <w:pPr>
              <w:spacing w:line="240" w:lineRule="auto" w:before="40" w:after="40"/>
              <w:jc w:val="left"/>
            </w:pPr>
            <w:r/>
            <w:r>
              <w:rPr>
                <w:rFonts w:ascii="Times New Roman" w:hAnsi="Times New Roman"/>
                <w:b w:val="0"/>
                <w:sz w:val="20"/>
              </w:rPr>
              <w:t xml:space="preserve">  Severe hypospermatogenesis present, n (%)</w:t>
            </w:r>
          </w:p>
        </w:tc>
        <w:tc>
          <w:tcPr>
            <w:tcW w:type="dxa" w:w="3600"/>
            <w:vAlign w:val="center"/>
          </w:tcPr>
          <w:p>
            <w:pPr>
              <w:spacing w:line="240" w:lineRule="auto" w:before="40" w:after="40"/>
              <w:jc w:val="center"/>
            </w:pPr>
            <w:r/>
            <w:r>
              <w:rPr>
                <w:rFonts w:ascii="Times New Roman" w:hAnsi="Times New Roman"/>
                <w:b w:val="0"/>
                <w:sz w:val="20"/>
              </w:rPr>
              <w:t>257 (10.6%)</w:t>
            </w:r>
          </w:p>
        </w:tc>
      </w:tr>
      <w:tr>
        <w:tc>
          <w:tcPr>
            <w:tcW w:type="dxa" w:w="5760"/>
            <w:vAlign w:val="center"/>
          </w:tcPr>
          <w:p>
            <w:pPr>
              <w:spacing w:line="240" w:lineRule="auto" w:before="40" w:after="40"/>
              <w:jc w:val="left"/>
            </w:pPr>
            <w:r/>
            <w:r>
              <w:rPr>
                <w:rFonts w:ascii="Times New Roman" w:hAnsi="Times New Roman"/>
                <w:b w:val="0"/>
                <w:sz w:val="20"/>
              </w:rPr>
              <w:t>Surgical History</w:t>
            </w:r>
          </w:p>
        </w:tc>
        <w:tc>
          <w:tcPr>
            <w:tcW w:type="dxa" w:w="3600"/>
            <w:vAlign w:val="center"/>
          </w:tcPr>
          <w:p>
            <w:pPr>
              <w:spacing w:line="240" w:lineRule="auto" w:before="40" w:after="40"/>
              <w:jc w:val="center"/>
            </w:pPr>
            <w:r/>
            <w:r>
              <w:rPr>
                <w:rFonts w:ascii="Times New Roman" w:hAnsi="Times New Roman"/>
                <w:b w:val="0"/>
                <w:sz w:val="20"/>
              </w:rPr>
            </w:r>
          </w:p>
        </w:tc>
      </w:tr>
      <w:tr>
        <w:tc>
          <w:tcPr>
            <w:tcW w:type="dxa" w:w="5760"/>
            <w:vAlign w:val="center"/>
          </w:tcPr>
          <w:p>
            <w:pPr>
              <w:spacing w:line="240" w:lineRule="auto" w:before="40" w:after="40"/>
              <w:jc w:val="left"/>
            </w:pPr>
            <w:r/>
            <w:r>
              <w:rPr>
                <w:rFonts w:ascii="Times New Roman" w:hAnsi="Times New Roman"/>
                <w:b w:val="0"/>
                <w:sz w:val="20"/>
              </w:rPr>
              <w:t xml:space="preserve">  Primary micro-TESE, n (%)</w:t>
            </w:r>
          </w:p>
        </w:tc>
        <w:tc>
          <w:tcPr>
            <w:tcW w:type="dxa" w:w="3600"/>
            <w:vAlign w:val="center"/>
          </w:tcPr>
          <w:p>
            <w:pPr>
              <w:spacing w:line="240" w:lineRule="auto" w:before="40" w:after="40"/>
              <w:jc w:val="center"/>
            </w:pPr>
            <w:r/>
            <w:r>
              <w:rPr>
                <w:rFonts w:ascii="Times New Roman" w:hAnsi="Times New Roman"/>
                <w:b w:val="0"/>
                <w:sz w:val="20"/>
              </w:rPr>
              <w:t>2,203 (91.3%)</w:t>
            </w:r>
          </w:p>
        </w:tc>
      </w:tr>
      <w:tr>
        <w:tc>
          <w:tcPr>
            <w:tcW w:type="dxa" w:w="5760"/>
            <w:vAlign w:val="center"/>
          </w:tcPr>
          <w:p>
            <w:pPr>
              <w:spacing w:line="240" w:lineRule="auto" w:before="40" w:after="40"/>
              <w:jc w:val="left"/>
            </w:pPr>
            <w:r/>
            <w:r>
              <w:rPr>
                <w:rFonts w:ascii="Times New Roman" w:hAnsi="Times New Roman"/>
                <w:b w:val="0"/>
                <w:sz w:val="20"/>
              </w:rPr>
              <w:t xml:space="preserve">  Salvage micro-TESE, n (%)</w:t>
            </w:r>
          </w:p>
        </w:tc>
        <w:tc>
          <w:tcPr>
            <w:tcW w:type="dxa" w:w="3600"/>
            <w:vAlign w:val="center"/>
          </w:tcPr>
          <w:p>
            <w:pPr>
              <w:spacing w:line="240" w:lineRule="auto" w:before="40" w:after="40"/>
              <w:jc w:val="center"/>
            </w:pPr>
            <w:r/>
            <w:r>
              <w:rPr>
                <w:rFonts w:ascii="Times New Roman" w:hAnsi="Times New Roman"/>
                <w:b w:val="0"/>
                <w:sz w:val="20"/>
              </w:rPr>
              <w:t>210 (8.7%)</w:t>
            </w:r>
          </w:p>
        </w:tc>
      </w:tr>
      <w:tr>
        <w:tc>
          <w:tcPr>
            <w:tcW w:type="dxa" w:w="5760"/>
            <w:vAlign w:val="center"/>
          </w:tcPr>
          <w:p>
            <w:pPr>
              <w:spacing w:line="240" w:lineRule="auto" w:before="40" w:after="40"/>
              <w:jc w:val="left"/>
            </w:pPr>
            <w:r/>
            <w:r>
              <w:rPr>
                <w:rFonts w:ascii="Times New Roman" w:hAnsi="Times New Roman"/>
                <w:b w:val="0"/>
                <w:sz w:val="20"/>
              </w:rPr>
              <w:t>Outcome</w:t>
            </w:r>
          </w:p>
        </w:tc>
        <w:tc>
          <w:tcPr>
            <w:tcW w:type="dxa" w:w="3600"/>
            <w:vAlign w:val="center"/>
          </w:tcPr>
          <w:p>
            <w:pPr>
              <w:spacing w:line="240" w:lineRule="auto" w:before="40" w:after="40"/>
              <w:jc w:val="center"/>
            </w:pPr>
            <w:r/>
            <w:r>
              <w:rPr>
                <w:rFonts w:ascii="Times New Roman" w:hAnsi="Times New Roman"/>
                <w:b w:val="0"/>
                <w:sz w:val="20"/>
              </w:rPr>
            </w:r>
          </w:p>
        </w:tc>
      </w:tr>
      <w:tr>
        <w:tc>
          <w:tcPr>
            <w:tcW w:type="dxa" w:w="5760"/>
            <w:vAlign w:val="center"/>
          </w:tcPr>
          <w:p>
            <w:pPr>
              <w:spacing w:line="240" w:lineRule="auto" w:before="40" w:after="40"/>
              <w:jc w:val="left"/>
            </w:pPr>
            <w:r/>
            <w:r>
              <w:rPr>
                <w:rFonts w:ascii="Times New Roman" w:hAnsi="Times New Roman"/>
                <w:b w:val="0"/>
                <w:sz w:val="20"/>
              </w:rPr>
              <w:t xml:space="preserve">  Successful sperm retrieval, n (%)</w:t>
            </w:r>
          </w:p>
        </w:tc>
        <w:tc>
          <w:tcPr>
            <w:tcW w:type="dxa" w:w="3600"/>
            <w:vAlign w:val="center"/>
          </w:tcPr>
          <w:p>
            <w:pPr>
              <w:spacing w:line="240" w:lineRule="auto" w:before="40" w:after="40"/>
              <w:jc w:val="center"/>
            </w:pPr>
            <w:r/>
            <w:r>
              <w:rPr>
                <w:rFonts w:ascii="Times New Roman" w:hAnsi="Times New Roman"/>
                <w:b w:val="0"/>
                <w:sz w:val="20"/>
              </w:rPr>
              <w:t>886 (36.7%)</w:t>
            </w:r>
          </w:p>
        </w:tc>
      </w:tr>
      <w:tr>
        <w:tc>
          <w:tcPr>
            <w:tcW w:type="dxa" w:w="5760"/>
            <w:vAlign w:val="center"/>
          </w:tcPr>
          <w:p>
            <w:pPr>
              <w:spacing w:line="240" w:lineRule="auto" w:before="40" w:after="40"/>
              <w:jc w:val="left"/>
            </w:pPr>
            <w:r/>
            <w:r>
              <w:rPr>
                <w:rFonts w:ascii="Times New Roman" w:hAnsi="Times New Roman"/>
                <w:b w:val="0"/>
                <w:sz w:val="20"/>
              </w:rPr>
              <w:t xml:space="preserve">  Unsuccessful sperm retrieval, n (%)</w:t>
            </w:r>
          </w:p>
        </w:tc>
        <w:tc>
          <w:tcPr>
            <w:tcW w:type="dxa" w:w="3600"/>
            <w:vAlign w:val="center"/>
          </w:tcPr>
          <w:p>
            <w:pPr>
              <w:spacing w:line="240" w:lineRule="auto" w:before="40" w:after="40"/>
              <w:jc w:val="center"/>
            </w:pPr>
            <w:r/>
            <w:r>
              <w:rPr>
                <w:rFonts w:ascii="Times New Roman" w:hAnsi="Times New Roman"/>
                <w:b w:val="0"/>
                <w:sz w:val="20"/>
              </w:rPr>
              <w:t>1,527 (63.3%)</w:t>
            </w:r>
          </w:p>
        </w:tc>
      </w:tr>
    </w:tbl>
    <w:p>
      <w:pPr>
        <w:spacing w:line="480" w:lineRule="auto" w:before="120"/>
      </w:pPr>
      <w:r>
        <w:rPr>
          <w:rFonts w:ascii="Times New Roman" w:hAnsi="Times New Roman"/>
          <w:b w:val="0"/>
          <w:i/>
          <w:sz w:val="20"/>
        </w:rPr>
        <w:t>Abbreviations: SCO, Sertoli cell-only; CSTH, complete seminiferous tubular hyalinization; MA, maturation arrest; RT, right testis.</w:t>
      </w:r>
    </w:p>
    <w:p>
      <w:r>
        <w:br w:type="page"/>
      </w:r>
    </w:p>
    <w:p>
      <w:pPr>
        <w:pStyle w:val="Heading2"/>
      </w:pPr>
      <w:r>
        <w:rPr>
          <w:rFonts w:ascii="Times New Roman" w:hAnsi="Times New Roman"/>
          <w:color w:val="000000"/>
        </w:rPr>
        <w:t>3.2 Encoding Strategy Comparison</w:t>
      </w:r>
    </w:p>
    <w:p>
      <w:pPr>
        <w:spacing w:line="480" w:lineRule="auto"/>
        <w:ind w:firstLine="720"/>
      </w:pPr>
      <w:r>
        <w:rPr>
          <w:rFonts w:ascii="Times New Roman" w:hAnsi="Times New Roman"/>
          <w:b w:val="0"/>
          <w:i w:val="0"/>
          <w:sz w:val="24"/>
        </w:rPr>
        <w:t>Table 2 presents the AUC performance of all 16 encoding strategies using CatBoost as the reference classifier. The ordinal_detailed_plus_raw encoding achieved the highest AUC (0.8208) in the initial 5-fold cross-validation screening phase, followed by raw_pct_minmax and raw_pct_robust (both 0.8194). Performance ranged from 0.7129 (ordinal_detailed_avg) to 0.8208 (ordinal_detailed_plus_raw), demonstrating that the choice of encoding strategy accounts for a substantial ΔAUC of 0.108 within the same classifier. Encodings that preserved component-level granularity (raw percentages or binary indicators for all 16 features) consistently outperformed those that aggregated information into fewer summary statistics (ordinal-only or grouped encodings). The worst-performing strategies were those relying on single or dual severity scores without raw feature preservation, confirming that clinically-motivated aggregation loses critical information when used as the sole representation.</w:t>
      </w:r>
    </w:p>
    <w:p>
      <w:pPr>
        <w:spacing w:line="480" w:lineRule="auto"/>
      </w:pPr>
      <w:r>
        <w:rPr>
          <w:rFonts w:ascii="Times New Roman" w:hAnsi="Times New Roman"/>
          <w:b w:val="0"/>
          <w:i w:val="0"/>
          <w:sz w:val="24"/>
        </w:rPr>
      </w:r>
    </w:p>
    <w:p>
      <w:pPr>
        <w:spacing w:line="480" w:lineRule="auto"/>
        <w:jc w:val="center"/>
      </w:pPr>
      <w:r>
        <w:rPr>
          <w:rFonts w:ascii="Times New Roman" w:hAnsi="Times New Roman"/>
          <w:b/>
          <w:i w:val="0"/>
          <w:sz w:val="24"/>
        </w:rPr>
        <w:t>Table 2. Comparison of 16 Encoding Strategies (CatBoost AUC)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vAlign w:val="center"/>
            <w:shd w:fill="D9E2F3"/>
          </w:tcPr>
          <w:p>
            <w:pPr>
              <w:spacing w:line="240" w:lineRule="auto" w:before="40" w:after="40"/>
              <w:jc w:val="center"/>
            </w:pPr>
            <w:r/>
            <w:r>
              <w:rPr>
                <w:rFonts w:ascii="Times New Roman" w:hAnsi="Times New Roman"/>
                <w:b/>
                <w:sz w:val="20"/>
              </w:rPr>
              <w:t>Rank</w:t>
            </w:r>
          </w:p>
        </w:tc>
        <w:tc>
          <w:tcPr>
            <w:tcW w:type="dxa" w:w="4032"/>
            <w:vAlign w:val="center"/>
            <w:shd w:fill="D9E2F3"/>
          </w:tcPr>
          <w:p>
            <w:pPr>
              <w:spacing w:line="240" w:lineRule="auto" w:before="40" w:after="40"/>
              <w:jc w:val="center"/>
            </w:pPr>
            <w:r/>
            <w:r>
              <w:rPr>
                <w:rFonts w:ascii="Times New Roman" w:hAnsi="Times New Roman"/>
                <w:b/>
                <w:sz w:val="20"/>
              </w:rPr>
              <w:t>Encoding Strategy</w:t>
            </w:r>
          </w:p>
        </w:tc>
        <w:tc>
          <w:tcPr>
            <w:tcW w:type="dxa" w:w="1440"/>
            <w:vAlign w:val="center"/>
            <w:shd w:fill="D9E2F3"/>
          </w:tcPr>
          <w:p>
            <w:pPr>
              <w:spacing w:line="240" w:lineRule="auto" w:before="40" w:after="40"/>
              <w:jc w:val="center"/>
            </w:pPr>
            <w:r/>
            <w:r>
              <w:rPr>
                <w:rFonts w:ascii="Times New Roman" w:hAnsi="Times New Roman"/>
                <w:b/>
                <w:sz w:val="20"/>
              </w:rPr>
              <w:t># Features</w:t>
            </w:r>
          </w:p>
        </w:tc>
        <w:tc>
          <w:tcPr>
            <w:tcW w:type="dxa" w:w="2160"/>
            <w:vAlign w:val="center"/>
            <w:shd w:fill="D9E2F3"/>
          </w:tcPr>
          <w:p>
            <w:pPr>
              <w:spacing w:line="240" w:lineRule="auto" w:before="40" w:after="40"/>
              <w:jc w:val="center"/>
            </w:pPr>
            <w:r/>
            <w:r>
              <w:rPr>
                <w:rFonts w:ascii="Times New Roman" w:hAnsi="Times New Roman"/>
                <w:b/>
                <w:sz w:val="20"/>
              </w:rPr>
              <w:t>CatBoost AUC</w:t>
            </w:r>
          </w:p>
        </w:tc>
      </w:tr>
      <w:tr>
        <w:tc>
          <w:tcPr>
            <w:tcW w:type="dxa" w:w="864"/>
            <w:vAlign w:val="center"/>
          </w:tcPr>
          <w:p>
            <w:pPr>
              <w:spacing w:line="240" w:lineRule="auto" w:before="40" w:after="40"/>
              <w:jc w:val="left"/>
            </w:pPr>
            <w:r/>
            <w:r>
              <w:rPr>
                <w:rFonts w:ascii="Times New Roman" w:hAnsi="Times New Roman"/>
                <w:b w:val="0"/>
                <w:sz w:val="20"/>
              </w:rPr>
              <w:t>1</w:t>
            </w:r>
          </w:p>
        </w:tc>
        <w:tc>
          <w:tcPr>
            <w:tcW w:type="dxa" w:w="4032"/>
            <w:vAlign w:val="center"/>
          </w:tcPr>
          <w:p>
            <w:pPr>
              <w:spacing w:line="240" w:lineRule="auto" w:before="40" w:after="40"/>
              <w:jc w:val="center"/>
            </w:pPr>
            <w:r/>
            <w:r>
              <w:rPr>
                <w:rFonts w:ascii="Times New Roman" w:hAnsi="Times New Roman"/>
                <w:b w:val="0"/>
                <w:sz w:val="20"/>
              </w:rPr>
              <w:t>ordinal_detailed_plus_raw</w:t>
            </w:r>
          </w:p>
        </w:tc>
        <w:tc>
          <w:tcPr>
            <w:tcW w:type="dxa" w:w="1440"/>
            <w:vAlign w:val="center"/>
          </w:tcPr>
          <w:p>
            <w:pPr>
              <w:spacing w:line="240" w:lineRule="auto" w:before="40" w:after="40"/>
              <w:jc w:val="center"/>
            </w:pPr>
            <w:r/>
            <w:r>
              <w:rPr>
                <w:rFonts w:ascii="Times New Roman" w:hAnsi="Times New Roman"/>
                <w:b w:val="0"/>
                <w:sz w:val="20"/>
              </w:rPr>
              <w:t>18</w:t>
            </w:r>
          </w:p>
        </w:tc>
        <w:tc>
          <w:tcPr>
            <w:tcW w:type="dxa" w:w="2160"/>
            <w:vAlign w:val="center"/>
          </w:tcPr>
          <w:p>
            <w:pPr>
              <w:spacing w:line="240" w:lineRule="auto" w:before="40" w:after="40"/>
              <w:jc w:val="center"/>
            </w:pPr>
            <w:r/>
            <w:r>
              <w:rPr>
                <w:rFonts w:ascii="Times New Roman" w:hAnsi="Times New Roman"/>
                <w:b w:val="0"/>
                <w:sz w:val="20"/>
              </w:rPr>
              <w:t>0.8208</w:t>
            </w:r>
          </w:p>
        </w:tc>
      </w:tr>
      <w:tr>
        <w:tc>
          <w:tcPr>
            <w:tcW w:type="dxa" w:w="864"/>
            <w:vAlign w:val="center"/>
          </w:tcPr>
          <w:p>
            <w:pPr>
              <w:spacing w:line="240" w:lineRule="auto" w:before="40" w:after="40"/>
              <w:jc w:val="left"/>
            </w:pPr>
            <w:r/>
            <w:r>
              <w:rPr>
                <w:rFonts w:ascii="Times New Roman" w:hAnsi="Times New Roman"/>
                <w:b w:val="0"/>
                <w:sz w:val="20"/>
              </w:rPr>
              <w:t>2</w:t>
            </w:r>
          </w:p>
        </w:tc>
        <w:tc>
          <w:tcPr>
            <w:tcW w:type="dxa" w:w="4032"/>
            <w:vAlign w:val="center"/>
          </w:tcPr>
          <w:p>
            <w:pPr>
              <w:spacing w:line="240" w:lineRule="auto" w:before="40" w:after="40"/>
              <w:jc w:val="center"/>
            </w:pPr>
            <w:r/>
            <w:r>
              <w:rPr>
                <w:rFonts w:ascii="Times New Roman" w:hAnsi="Times New Roman"/>
                <w:b w:val="0"/>
                <w:sz w:val="20"/>
              </w:rPr>
              <w:t>raw_pct_minmax</w:t>
            </w:r>
          </w:p>
        </w:tc>
        <w:tc>
          <w:tcPr>
            <w:tcW w:type="dxa" w:w="1440"/>
            <w:vAlign w:val="center"/>
          </w:tcPr>
          <w:p>
            <w:pPr>
              <w:spacing w:line="240" w:lineRule="auto" w:before="40" w:after="40"/>
              <w:jc w:val="center"/>
            </w:pPr>
            <w:r/>
            <w:r>
              <w:rPr>
                <w:rFonts w:ascii="Times New Roman" w:hAnsi="Times New Roman"/>
                <w:b w:val="0"/>
                <w:sz w:val="20"/>
              </w:rPr>
              <w:t>16</w:t>
            </w:r>
          </w:p>
        </w:tc>
        <w:tc>
          <w:tcPr>
            <w:tcW w:type="dxa" w:w="2160"/>
            <w:vAlign w:val="center"/>
          </w:tcPr>
          <w:p>
            <w:pPr>
              <w:spacing w:line="240" w:lineRule="auto" w:before="40" w:after="40"/>
              <w:jc w:val="center"/>
            </w:pPr>
            <w:r/>
            <w:r>
              <w:rPr>
                <w:rFonts w:ascii="Times New Roman" w:hAnsi="Times New Roman"/>
                <w:b w:val="0"/>
                <w:sz w:val="20"/>
              </w:rPr>
              <w:t>0.8194</w:t>
            </w:r>
          </w:p>
        </w:tc>
      </w:tr>
      <w:tr>
        <w:tc>
          <w:tcPr>
            <w:tcW w:type="dxa" w:w="864"/>
            <w:vAlign w:val="center"/>
          </w:tcPr>
          <w:p>
            <w:pPr>
              <w:spacing w:line="240" w:lineRule="auto" w:before="40" w:after="40"/>
              <w:jc w:val="left"/>
            </w:pPr>
            <w:r/>
            <w:r>
              <w:rPr>
                <w:rFonts w:ascii="Times New Roman" w:hAnsi="Times New Roman"/>
                <w:b w:val="0"/>
                <w:sz w:val="20"/>
              </w:rPr>
              <w:t>3</w:t>
            </w:r>
          </w:p>
        </w:tc>
        <w:tc>
          <w:tcPr>
            <w:tcW w:type="dxa" w:w="4032"/>
            <w:vAlign w:val="center"/>
          </w:tcPr>
          <w:p>
            <w:pPr>
              <w:spacing w:line="240" w:lineRule="auto" w:before="40" w:after="40"/>
              <w:jc w:val="center"/>
            </w:pPr>
            <w:r/>
            <w:r>
              <w:rPr>
                <w:rFonts w:ascii="Times New Roman" w:hAnsi="Times New Roman"/>
                <w:b w:val="0"/>
                <w:sz w:val="20"/>
              </w:rPr>
              <w:t>raw_pct_robust</w:t>
            </w:r>
          </w:p>
        </w:tc>
        <w:tc>
          <w:tcPr>
            <w:tcW w:type="dxa" w:w="1440"/>
            <w:vAlign w:val="center"/>
          </w:tcPr>
          <w:p>
            <w:pPr>
              <w:spacing w:line="240" w:lineRule="auto" w:before="40" w:after="40"/>
              <w:jc w:val="center"/>
            </w:pPr>
            <w:r/>
            <w:r>
              <w:rPr>
                <w:rFonts w:ascii="Times New Roman" w:hAnsi="Times New Roman"/>
                <w:b w:val="0"/>
                <w:sz w:val="20"/>
              </w:rPr>
              <w:t>16</w:t>
            </w:r>
          </w:p>
        </w:tc>
        <w:tc>
          <w:tcPr>
            <w:tcW w:type="dxa" w:w="2160"/>
            <w:vAlign w:val="center"/>
          </w:tcPr>
          <w:p>
            <w:pPr>
              <w:spacing w:line="240" w:lineRule="auto" w:before="40" w:after="40"/>
              <w:jc w:val="center"/>
            </w:pPr>
            <w:r/>
            <w:r>
              <w:rPr>
                <w:rFonts w:ascii="Times New Roman" w:hAnsi="Times New Roman"/>
                <w:b w:val="0"/>
                <w:sz w:val="20"/>
              </w:rPr>
              <w:t>0.8194</w:t>
            </w:r>
          </w:p>
        </w:tc>
      </w:tr>
      <w:tr>
        <w:tc>
          <w:tcPr>
            <w:tcW w:type="dxa" w:w="864"/>
            <w:vAlign w:val="center"/>
          </w:tcPr>
          <w:p>
            <w:pPr>
              <w:spacing w:line="240" w:lineRule="auto" w:before="40" w:after="40"/>
              <w:jc w:val="left"/>
            </w:pPr>
            <w:r/>
            <w:r>
              <w:rPr>
                <w:rFonts w:ascii="Times New Roman" w:hAnsi="Times New Roman"/>
                <w:b w:val="0"/>
                <w:sz w:val="20"/>
              </w:rPr>
              <w:t>4</w:t>
            </w:r>
          </w:p>
        </w:tc>
        <w:tc>
          <w:tcPr>
            <w:tcW w:type="dxa" w:w="4032"/>
            <w:vAlign w:val="center"/>
          </w:tcPr>
          <w:p>
            <w:pPr>
              <w:spacing w:line="240" w:lineRule="auto" w:before="40" w:after="40"/>
              <w:jc w:val="center"/>
            </w:pPr>
            <w:r/>
            <w:r>
              <w:rPr>
                <w:rFonts w:ascii="Times New Roman" w:hAnsi="Times New Roman"/>
                <w:b w:val="0"/>
                <w:sz w:val="20"/>
              </w:rPr>
              <w:t>raw_pct_avg</w:t>
            </w:r>
          </w:p>
        </w:tc>
        <w:tc>
          <w:tcPr>
            <w:tcW w:type="dxa" w:w="1440"/>
            <w:vAlign w:val="center"/>
          </w:tcPr>
          <w:p>
            <w:pPr>
              <w:spacing w:line="240" w:lineRule="auto" w:before="40" w:after="40"/>
              <w:jc w:val="center"/>
            </w:pPr>
            <w:r/>
            <w:r>
              <w:rPr>
                <w:rFonts w:ascii="Times New Roman" w:hAnsi="Times New Roman"/>
                <w:b w:val="0"/>
                <w:sz w:val="20"/>
              </w:rPr>
              <w:t>8</w:t>
            </w:r>
          </w:p>
        </w:tc>
        <w:tc>
          <w:tcPr>
            <w:tcW w:type="dxa" w:w="2160"/>
            <w:vAlign w:val="center"/>
          </w:tcPr>
          <w:p>
            <w:pPr>
              <w:spacing w:line="240" w:lineRule="auto" w:before="40" w:after="40"/>
              <w:jc w:val="center"/>
            </w:pPr>
            <w:r/>
            <w:r>
              <w:rPr>
                <w:rFonts w:ascii="Times New Roman" w:hAnsi="Times New Roman"/>
                <w:b w:val="0"/>
                <w:sz w:val="20"/>
              </w:rPr>
              <w:t>0.8179</w:t>
            </w:r>
          </w:p>
        </w:tc>
      </w:tr>
      <w:tr>
        <w:tc>
          <w:tcPr>
            <w:tcW w:type="dxa" w:w="864"/>
            <w:vAlign w:val="center"/>
          </w:tcPr>
          <w:p>
            <w:pPr>
              <w:spacing w:line="240" w:lineRule="auto" w:before="40" w:after="40"/>
              <w:jc w:val="left"/>
            </w:pPr>
            <w:r/>
            <w:r>
              <w:rPr>
                <w:rFonts w:ascii="Times New Roman" w:hAnsi="Times New Roman"/>
                <w:b w:val="0"/>
                <w:sz w:val="20"/>
              </w:rPr>
              <w:t>5</w:t>
            </w:r>
          </w:p>
        </w:tc>
        <w:tc>
          <w:tcPr>
            <w:tcW w:type="dxa" w:w="4032"/>
            <w:vAlign w:val="center"/>
          </w:tcPr>
          <w:p>
            <w:pPr>
              <w:spacing w:line="240" w:lineRule="auto" w:before="40" w:after="40"/>
              <w:jc w:val="center"/>
            </w:pPr>
            <w:r/>
            <w:r>
              <w:rPr>
                <w:rFonts w:ascii="Times New Roman" w:hAnsi="Times New Roman"/>
                <w:b w:val="0"/>
                <w:sz w:val="20"/>
              </w:rPr>
              <w:t>binary_presence_avg</w:t>
            </w:r>
          </w:p>
        </w:tc>
        <w:tc>
          <w:tcPr>
            <w:tcW w:type="dxa" w:w="1440"/>
            <w:vAlign w:val="center"/>
          </w:tcPr>
          <w:p>
            <w:pPr>
              <w:spacing w:line="240" w:lineRule="auto" w:before="40" w:after="40"/>
              <w:jc w:val="center"/>
            </w:pPr>
            <w:r/>
            <w:r>
              <w:rPr>
                <w:rFonts w:ascii="Times New Roman" w:hAnsi="Times New Roman"/>
                <w:b w:val="0"/>
                <w:sz w:val="20"/>
              </w:rPr>
              <w:t>8</w:t>
            </w:r>
          </w:p>
        </w:tc>
        <w:tc>
          <w:tcPr>
            <w:tcW w:type="dxa" w:w="2160"/>
            <w:vAlign w:val="center"/>
          </w:tcPr>
          <w:p>
            <w:pPr>
              <w:spacing w:line="240" w:lineRule="auto" w:before="40" w:after="40"/>
              <w:jc w:val="center"/>
            </w:pPr>
            <w:r/>
            <w:r>
              <w:rPr>
                <w:rFonts w:ascii="Times New Roman" w:hAnsi="Times New Roman"/>
                <w:b w:val="0"/>
                <w:sz w:val="20"/>
              </w:rPr>
              <w:t>0.8163</w:t>
            </w:r>
          </w:p>
        </w:tc>
      </w:tr>
      <w:tr>
        <w:tc>
          <w:tcPr>
            <w:tcW w:type="dxa" w:w="864"/>
            <w:vAlign w:val="center"/>
          </w:tcPr>
          <w:p>
            <w:pPr>
              <w:spacing w:line="240" w:lineRule="auto" w:before="40" w:after="40"/>
              <w:jc w:val="left"/>
            </w:pPr>
            <w:r/>
            <w:r>
              <w:rPr>
                <w:rFonts w:ascii="Times New Roman" w:hAnsi="Times New Roman"/>
                <w:b w:val="0"/>
                <w:sz w:val="20"/>
              </w:rPr>
              <w:t>6</w:t>
            </w:r>
          </w:p>
        </w:tc>
        <w:tc>
          <w:tcPr>
            <w:tcW w:type="dxa" w:w="4032"/>
            <w:vAlign w:val="center"/>
          </w:tcPr>
          <w:p>
            <w:pPr>
              <w:spacing w:line="240" w:lineRule="auto" w:before="40" w:after="40"/>
              <w:jc w:val="center"/>
            </w:pPr>
            <w:r/>
            <w:r>
              <w:rPr>
                <w:rFonts w:ascii="Times New Roman" w:hAnsi="Times New Roman"/>
                <w:b w:val="0"/>
                <w:sz w:val="20"/>
              </w:rPr>
              <w:t>grouped_avg</w:t>
            </w:r>
          </w:p>
        </w:tc>
        <w:tc>
          <w:tcPr>
            <w:tcW w:type="dxa" w:w="1440"/>
            <w:vAlign w:val="center"/>
          </w:tcPr>
          <w:p>
            <w:pPr>
              <w:spacing w:line="240" w:lineRule="auto" w:before="40" w:after="40"/>
              <w:jc w:val="center"/>
            </w:pPr>
            <w:r/>
            <w:r>
              <w:rPr>
                <w:rFonts w:ascii="Times New Roman" w:hAnsi="Times New Roman"/>
                <w:b w:val="0"/>
                <w:sz w:val="20"/>
              </w:rPr>
              <w:t>4</w:t>
            </w:r>
          </w:p>
        </w:tc>
        <w:tc>
          <w:tcPr>
            <w:tcW w:type="dxa" w:w="2160"/>
            <w:vAlign w:val="center"/>
          </w:tcPr>
          <w:p>
            <w:pPr>
              <w:spacing w:line="240" w:lineRule="auto" w:before="40" w:after="40"/>
              <w:jc w:val="center"/>
            </w:pPr>
            <w:r/>
            <w:r>
              <w:rPr>
                <w:rFonts w:ascii="Times New Roman" w:hAnsi="Times New Roman"/>
                <w:b w:val="0"/>
                <w:sz w:val="20"/>
              </w:rPr>
              <w:t>0.8073</w:t>
            </w:r>
          </w:p>
        </w:tc>
      </w:tr>
      <w:tr>
        <w:tc>
          <w:tcPr>
            <w:tcW w:type="dxa" w:w="864"/>
            <w:vAlign w:val="center"/>
          </w:tcPr>
          <w:p>
            <w:pPr>
              <w:spacing w:line="240" w:lineRule="auto" w:before="40" w:after="40"/>
              <w:jc w:val="left"/>
            </w:pPr>
            <w:r/>
            <w:r>
              <w:rPr>
                <w:rFonts w:ascii="Times New Roman" w:hAnsi="Times New Roman"/>
                <w:b w:val="0"/>
                <w:sz w:val="20"/>
              </w:rPr>
              <w:t>7</w:t>
            </w:r>
          </w:p>
        </w:tc>
        <w:tc>
          <w:tcPr>
            <w:tcW w:type="dxa" w:w="4032"/>
            <w:vAlign w:val="center"/>
          </w:tcPr>
          <w:p>
            <w:pPr>
              <w:spacing w:line="240" w:lineRule="auto" w:before="40" w:after="40"/>
              <w:jc w:val="center"/>
            </w:pPr>
            <w:r/>
            <w:r>
              <w:rPr>
                <w:rFonts w:ascii="Times New Roman" w:hAnsi="Times New Roman"/>
                <w:b w:val="0"/>
                <w:sz w:val="20"/>
              </w:rPr>
              <w:t>binary_presence</w:t>
            </w:r>
          </w:p>
        </w:tc>
        <w:tc>
          <w:tcPr>
            <w:tcW w:type="dxa" w:w="1440"/>
            <w:vAlign w:val="center"/>
          </w:tcPr>
          <w:p>
            <w:pPr>
              <w:spacing w:line="240" w:lineRule="auto" w:before="40" w:after="40"/>
              <w:jc w:val="center"/>
            </w:pPr>
            <w:r/>
            <w:r>
              <w:rPr>
                <w:rFonts w:ascii="Times New Roman" w:hAnsi="Times New Roman"/>
                <w:b w:val="0"/>
                <w:sz w:val="20"/>
              </w:rPr>
              <w:t>16</w:t>
            </w:r>
          </w:p>
        </w:tc>
        <w:tc>
          <w:tcPr>
            <w:tcW w:type="dxa" w:w="2160"/>
            <w:vAlign w:val="center"/>
          </w:tcPr>
          <w:p>
            <w:pPr>
              <w:spacing w:line="240" w:lineRule="auto" w:before="40" w:after="40"/>
              <w:jc w:val="center"/>
            </w:pPr>
            <w:r/>
            <w:r>
              <w:rPr>
                <w:rFonts w:ascii="Times New Roman" w:hAnsi="Times New Roman"/>
                <w:b w:val="0"/>
                <w:sz w:val="20"/>
              </w:rPr>
              <w:t>0.8041</w:t>
            </w:r>
          </w:p>
        </w:tc>
      </w:tr>
      <w:tr>
        <w:tc>
          <w:tcPr>
            <w:tcW w:type="dxa" w:w="864"/>
            <w:vAlign w:val="center"/>
          </w:tcPr>
          <w:p>
            <w:pPr>
              <w:spacing w:line="240" w:lineRule="auto" w:before="40" w:after="40"/>
              <w:jc w:val="left"/>
            </w:pPr>
            <w:r/>
            <w:r>
              <w:rPr>
                <w:rFonts w:ascii="Times New Roman" w:hAnsi="Times New Roman"/>
                <w:b w:val="0"/>
                <w:sz w:val="20"/>
              </w:rPr>
              <w:t>8</w:t>
            </w:r>
          </w:p>
        </w:tc>
        <w:tc>
          <w:tcPr>
            <w:tcW w:type="dxa" w:w="4032"/>
            <w:vAlign w:val="center"/>
          </w:tcPr>
          <w:p>
            <w:pPr>
              <w:spacing w:line="240" w:lineRule="auto" w:before="40" w:after="40"/>
              <w:jc w:val="center"/>
            </w:pPr>
            <w:r/>
            <w:r>
              <w:rPr>
                <w:rFonts w:ascii="Times New Roman" w:hAnsi="Times New Roman"/>
                <w:b w:val="0"/>
                <w:sz w:val="20"/>
              </w:rPr>
              <w:t>grouped</w:t>
            </w:r>
          </w:p>
        </w:tc>
        <w:tc>
          <w:tcPr>
            <w:tcW w:type="dxa" w:w="1440"/>
            <w:vAlign w:val="center"/>
          </w:tcPr>
          <w:p>
            <w:pPr>
              <w:spacing w:line="240" w:lineRule="auto" w:before="40" w:after="40"/>
              <w:jc w:val="center"/>
            </w:pPr>
            <w:r/>
            <w:r>
              <w:rPr>
                <w:rFonts w:ascii="Times New Roman" w:hAnsi="Times New Roman"/>
                <w:b w:val="0"/>
                <w:sz w:val="20"/>
              </w:rPr>
              <w:t>8</w:t>
            </w:r>
          </w:p>
        </w:tc>
        <w:tc>
          <w:tcPr>
            <w:tcW w:type="dxa" w:w="2160"/>
            <w:vAlign w:val="center"/>
          </w:tcPr>
          <w:p>
            <w:pPr>
              <w:spacing w:line="240" w:lineRule="auto" w:before="40" w:after="40"/>
              <w:jc w:val="center"/>
            </w:pPr>
            <w:r/>
            <w:r>
              <w:rPr>
                <w:rFonts w:ascii="Times New Roman" w:hAnsi="Times New Roman"/>
                <w:b w:val="0"/>
                <w:sz w:val="20"/>
              </w:rPr>
              <w:t>0.8041</w:t>
            </w:r>
          </w:p>
        </w:tc>
      </w:tr>
      <w:tr>
        <w:tc>
          <w:tcPr>
            <w:tcW w:type="dxa" w:w="864"/>
            <w:vAlign w:val="center"/>
          </w:tcPr>
          <w:p>
            <w:pPr>
              <w:spacing w:line="240" w:lineRule="auto" w:before="40" w:after="40"/>
              <w:jc w:val="left"/>
            </w:pPr>
            <w:r/>
            <w:r>
              <w:rPr>
                <w:rFonts w:ascii="Times New Roman" w:hAnsi="Times New Roman"/>
                <w:b w:val="0"/>
                <w:sz w:val="20"/>
              </w:rPr>
              <w:t>9</w:t>
            </w:r>
          </w:p>
        </w:tc>
        <w:tc>
          <w:tcPr>
            <w:tcW w:type="dxa" w:w="4032"/>
            <w:vAlign w:val="center"/>
          </w:tcPr>
          <w:p>
            <w:pPr>
              <w:spacing w:line="240" w:lineRule="auto" w:before="40" w:after="40"/>
              <w:jc w:val="center"/>
            </w:pPr>
            <w:r/>
            <w:r>
              <w:rPr>
                <w:rFonts w:ascii="Times New Roman" w:hAnsi="Times New Roman"/>
                <w:b w:val="0"/>
                <w:sz w:val="20"/>
              </w:rPr>
              <w:t>raw_pct_worst</w:t>
            </w:r>
          </w:p>
        </w:tc>
        <w:tc>
          <w:tcPr>
            <w:tcW w:type="dxa" w:w="1440"/>
            <w:vAlign w:val="center"/>
          </w:tcPr>
          <w:p>
            <w:pPr>
              <w:spacing w:line="240" w:lineRule="auto" w:before="40" w:after="40"/>
              <w:jc w:val="center"/>
            </w:pPr>
            <w:r/>
            <w:r>
              <w:rPr>
                <w:rFonts w:ascii="Times New Roman" w:hAnsi="Times New Roman"/>
                <w:b w:val="0"/>
                <w:sz w:val="20"/>
              </w:rPr>
              <w:t>8</w:t>
            </w:r>
          </w:p>
        </w:tc>
        <w:tc>
          <w:tcPr>
            <w:tcW w:type="dxa" w:w="2160"/>
            <w:vAlign w:val="center"/>
          </w:tcPr>
          <w:p>
            <w:pPr>
              <w:spacing w:line="240" w:lineRule="auto" w:before="40" w:after="40"/>
              <w:jc w:val="center"/>
            </w:pPr>
            <w:r/>
            <w:r>
              <w:rPr>
                <w:rFonts w:ascii="Times New Roman" w:hAnsi="Times New Roman"/>
                <w:b w:val="0"/>
                <w:sz w:val="20"/>
              </w:rPr>
              <w:t>0.7920</w:t>
            </w:r>
          </w:p>
        </w:tc>
      </w:tr>
      <w:tr>
        <w:tc>
          <w:tcPr>
            <w:tcW w:type="dxa" w:w="864"/>
            <w:vAlign w:val="center"/>
          </w:tcPr>
          <w:p>
            <w:pPr>
              <w:spacing w:line="240" w:lineRule="auto" w:before="40" w:after="40"/>
              <w:jc w:val="left"/>
            </w:pPr>
            <w:r/>
            <w:r>
              <w:rPr>
                <w:rFonts w:ascii="Times New Roman" w:hAnsi="Times New Roman"/>
                <w:b w:val="0"/>
                <w:sz w:val="20"/>
              </w:rPr>
              <w:t>10</w:t>
            </w:r>
          </w:p>
        </w:tc>
        <w:tc>
          <w:tcPr>
            <w:tcW w:type="dxa" w:w="4032"/>
            <w:vAlign w:val="center"/>
          </w:tcPr>
          <w:p>
            <w:pPr>
              <w:spacing w:line="240" w:lineRule="auto" w:before="40" w:after="40"/>
              <w:jc w:val="center"/>
            </w:pPr>
            <w:r/>
            <w:r>
              <w:rPr>
                <w:rFonts w:ascii="Times New Roman" w:hAnsi="Times New Roman"/>
                <w:b w:val="0"/>
                <w:sz w:val="20"/>
              </w:rPr>
              <w:t>binary_presence_worst</w:t>
            </w:r>
          </w:p>
        </w:tc>
        <w:tc>
          <w:tcPr>
            <w:tcW w:type="dxa" w:w="1440"/>
            <w:vAlign w:val="center"/>
          </w:tcPr>
          <w:p>
            <w:pPr>
              <w:spacing w:line="240" w:lineRule="auto" w:before="40" w:after="40"/>
              <w:jc w:val="center"/>
            </w:pPr>
            <w:r/>
            <w:r>
              <w:rPr>
                <w:rFonts w:ascii="Times New Roman" w:hAnsi="Times New Roman"/>
                <w:b w:val="0"/>
                <w:sz w:val="20"/>
              </w:rPr>
              <w:t>8</w:t>
            </w:r>
          </w:p>
        </w:tc>
        <w:tc>
          <w:tcPr>
            <w:tcW w:type="dxa" w:w="2160"/>
            <w:vAlign w:val="center"/>
          </w:tcPr>
          <w:p>
            <w:pPr>
              <w:spacing w:line="240" w:lineRule="auto" w:before="40" w:after="40"/>
              <w:jc w:val="center"/>
            </w:pPr>
            <w:r/>
            <w:r>
              <w:rPr>
                <w:rFonts w:ascii="Times New Roman" w:hAnsi="Times New Roman"/>
                <w:b w:val="0"/>
                <w:sz w:val="20"/>
              </w:rPr>
              <w:t>0.7797</w:t>
            </w:r>
          </w:p>
        </w:tc>
      </w:tr>
      <w:tr>
        <w:tc>
          <w:tcPr>
            <w:tcW w:type="dxa" w:w="864"/>
            <w:vAlign w:val="center"/>
          </w:tcPr>
          <w:p>
            <w:pPr>
              <w:spacing w:line="240" w:lineRule="auto" w:before="40" w:after="40"/>
              <w:jc w:val="left"/>
            </w:pPr>
            <w:r/>
            <w:r>
              <w:rPr>
                <w:rFonts w:ascii="Times New Roman" w:hAnsi="Times New Roman"/>
                <w:b w:val="0"/>
                <w:sz w:val="20"/>
              </w:rPr>
              <w:t>11</w:t>
            </w:r>
          </w:p>
        </w:tc>
        <w:tc>
          <w:tcPr>
            <w:tcW w:type="dxa" w:w="4032"/>
            <w:vAlign w:val="center"/>
          </w:tcPr>
          <w:p>
            <w:pPr>
              <w:spacing w:line="240" w:lineRule="auto" w:before="40" w:after="40"/>
              <w:jc w:val="center"/>
            </w:pPr>
            <w:r/>
            <w:r>
              <w:rPr>
                <w:rFonts w:ascii="Times New Roman" w:hAnsi="Times New Roman"/>
                <w:b w:val="0"/>
                <w:sz w:val="20"/>
              </w:rPr>
              <w:t>grouped_worst</w:t>
            </w:r>
          </w:p>
        </w:tc>
        <w:tc>
          <w:tcPr>
            <w:tcW w:type="dxa" w:w="1440"/>
            <w:vAlign w:val="center"/>
          </w:tcPr>
          <w:p>
            <w:pPr>
              <w:spacing w:line="240" w:lineRule="auto" w:before="40" w:after="40"/>
              <w:jc w:val="center"/>
            </w:pPr>
            <w:r/>
            <w:r>
              <w:rPr>
                <w:rFonts w:ascii="Times New Roman" w:hAnsi="Times New Roman"/>
                <w:b w:val="0"/>
                <w:sz w:val="20"/>
              </w:rPr>
              <w:t>4</w:t>
            </w:r>
          </w:p>
        </w:tc>
        <w:tc>
          <w:tcPr>
            <w:tcW w:type="dxa" w:w="2160"/>
            <w:vAlign w:val="center"/>
          </w:tcPr>
          <w:p>
            <w:pPr>
              <w:spacing w:line="240" w:lineRule="auto" w:before="40" w:after="40"/>
              <w:jc w:val="center"/>
            </w:pPr>
            <w:r/>
            <w:r>
              <w:rPr>
                <w:rFonts w:ascii="Times New Roman" w:hAnsi="Times New Roman"/>
                <w:b w:val="0"/>
                <w:sz w:val="20"/>
              </w:rPr>
              <w:t>0.7772</w:t>
            </w:r>
          </w:p>
        </w:tc>
      </w:tr>
      <w:tr>
        <w:tc>
          <w:tcPr>
            <w:tcW w:type="dxa" w:w="864"/>
            <w:vAlign w:val="center"/>
          </w:tcPr>
          <w:p>
            <w:pPr>
              <w:spacing w:line="240" w:lineRule="auto" w:before="40" w:after="40"/>
              <w:jc w:val="left"/>
            </w:pPr>
            <w:r/>
            <w:r>
              <w:rPr>
                <w:rFonts w:ascii="Times New Roman" w:hAnsi="Times New Roman"/>
                <w:b w:val="0"/>
                <w:sz w:val="20"/>
              </w:rPr>
              <w:t>12</w:t>
            </w:r>
          </w:p>
        </w:tc>
        <w:tc>
          <w:tcPr>
            <w:tcW w:type="dxa" w:w="4032"/>
            <w:vAlign w:val="center"/>
          </w:tcPr>
          <w:p>
            <w:pPr>
              <w:spacing w:line="240" w:lineRule="auto" w:before="40" w:after="40"/>
              <w:jc w:val="center"/>
            </w:pPr>
            <w:r/>
            <w:r>
              <w:rPr>
                <w:rFonts w:ascii="Times New Roman" w:hAnsi="Times New Roman"/>
                <w:b w:val="0"/>
                <w:sz w:val="20"/>
              </w:rPr>
              <w:t>ordinal_simplified</w:t>
            </w:r>
          </w:p>
        </w:tc>
        <w:tc>
          <w:tcPr>
            <w:tcW w:type="dxa" w:w="1440"/>
            <w:vAlign w:val="center"/>
          </w:tcPr>
          <w:p>
            <w:pPr>
              <w:spacing w:line="240" w:lineRule="auto" w:before="40" w:after="40"/>
              <w:jc w:val="center"/>
            </w:pPr>
            <w:r/>
            <w:r>
              <w:rPr>
                <w:rFonts w:ascii="Times New Roman" w:hAnsi="Times New Roman"/>
                <w:b w:val="0"/>
                <w:sz w:val="20"/>
              </w:rPr>
              <w:t>2</w:t>
            </w:r>
          </w:p>
        </w:tc>
        <w:tc>
          <w:tcPr>
            <w:tcW w:type="dxa" w:w="2160"/>
            <w:vAlign w:val="center"/>
          </w:tcPr>
          <w:p>
            <w:pPr>
              <w:spacing w:line="240" w:lineRule="auto" w:before="40" w:after="40"/>
              <w:jc w:val="center"/>
            </w:pPr>
            <w:r/>
            <w:r>
              <w:rPr>
                <w:rFonts w:ascii="Times New Roman" w:hAnsi="Times New Roman"/>
                <w:b w:val="0"/>
                <w:sz w:val="20"/>
              </w:rPr>
              <w:t>0.7502</w:t>
            </w:r>
          </w:p>
        </w:tc>
      </w:tr>
      <w:tr>
        <w:tc>
          <w:tcPr>
            <w:tcW w:type="dxa" w:w="864"/>
            <w:vAlign w:val="center"/>
          </w:tcPr>
          <w:p>
            <w:pPr>
              <w:spacing w:line="240" w:lineRule="auto" w:before="40" w:after="40"/>
              <w:jc w:val="left"/>
            </w:pPr>
            <w:r/>
            <w:r>
              <w:rPr>
                <w:rFonts w:ascii="Times New Roman" w:hAnsi="Times New Roman"/>
                <w:b w:val="0"/>
                <w:sz w:val="20"/>
              </w:rPr>
              <w:t>13</w:t>
            </w:r>
          </w:p>
        </w:tc>
        <w:tc>
          <w:tcPr>
            <w:tcW w:type="dxa" w:w="4032"/>
            <w:vAlign w:val="center"/>
          </w:tcPr>
          <w:p>
            <w:pPr>
              <w:spacing w:line="240" w:lineRule="auto" w:before="40" w:after="40"/>
              <w:jc w:val="center"/>
            </w:pPr>
            <w:r/>
            <w:r>
              <w:rPr>
                <w:rFonts w:ascii="Times New Roman" w:hAnsi="Times New Roman"/>
                <w:b w:val="0"/>
                <w:sz w:val="20"/>
              </w:rPr>
              <w:t>ordinal_detailed</w:t>
            </w:r>
          </w:p>
        </w:tc>
        <w:tc>
          <w:tcPr>
            <w:tcW w:type="dxa" w:w="1440"/>
            <w:vAlign w:val="center"/>
          </w:tcPr>
          <w:p>
            <w:pPr>
              <w:spacing w:line="240" w:lineRule="auto" w:before="40" w:after="40"/>
              <w:jc w:val="center"/>
            </w:pPr>
            <w:r/>
            <w:r>
              <w:rPr>
                <w:rFonts w:ascii="Times New Roman" w:hAnsi="Times New Roman"/>
                <w:b w:val="0"/>
                <w:sz w:val="20"/>
              </w:rPr>
              <w:t>2</w:t>
            </w:r>
          </w:p>
        </w:tc>
        <w:tc>
          <w:tcPr>
            <w:tcW w:type="dxa" w:w="2160"/>
            <w:vAlign w:val="center"/>
          </w:tcPr>
          <w:p>
            <w:pPr>
              <w:spacing w:line="240" w:lineRule="auto" w:before="40" w:after="40"/>
              <w:jc w:val="center"/>
            </w:pPr>
            <w:r/>
            <w:r>
              <w:rPr>
                <w:rFonts w:ascii="Times New Roman" w:hAnsi="Times New Roman"/>
                <w:b w:val="0"/>
                <w:sz w:val="20"/>
              </w:rPr>
              <w:t>0.7382</w:t>
            </w:r>
          </w:p>
        </w:tc>
      </w:tr>
      <w:tr>
        <w:tc>
          <w:tcPr>
            <w:tcW w:type="dxa" w:w="864"/>
            <w:vAlign w:val="center"/>
          </w:tcPr>
          <w:p>
            <w:pPr>
              <w:spacing w:line="240" w:lineRule="auto" w:before="40" w:after="40"/>
              <w:jc w:val="left"/>
            </w:pPr>
            <w:r/>
            <w:r>
              <w:rPr>
                <w:rFonts w:ascii="Times New Roman" w:hAnsi="Times New Roman"/>
                <w:b w:val="0"/>
                <w:sz w:val="20"/>
              </w:rPr>
              <w:t>14</w:t>
            </w:r>
          </w:p>
        </w:tc>
        <w:tc>
          <w:tcPr>
            <w:tcW w:type="dxa" w:w="4032"/>
            <w:vAlign w:val="center"/>
          </w:tcPr>
          <w:p>
            <w:pPr>
              <w:spacing w:line="240" w:lineRule="auto" w:before="40" w:after="40"/>
              <w:jc w:val="center"/>
            </w:pPr>
            <w:r/>
            <w:r>
              <w:rPr>
                <w:rFonts w:ascii="Times New Roman" w:hAnsi="Times New Roman"/>
                <w:b w:val="0"/>
                <w:sz w:val="20"/>
              </w:rPr>
              <w:t>ordinal_detailed_worst</w:t>
            </w:r>
          </w:p>
        </w:tc>
        <w:tc>
          <w:tcPr>
            <w:tcW w:type="dxa" w:w="1440"/>
            <w:vAlign w:val="center"/>
          </w:tcPr>
          <w:p>
            <w:pPr>
              <w:spacing w:line="240" w:lineRule="auto" w:before="40" w:after="40"/>
              <w:jc w:val="center"/>
            </w:pPr>
            <w:r/>
            <w:r>
              <w:rPr>
                <w:rFonts w:ascii="Times New Roman" w:hAnsi="Times New Roman"/>
                <w:b w:val="0"/>
                <w:sz w:val="20"/>
              </w:rPr>
              <w:t>1</w:t>
            </w:r>
          </w:p>
        </w:tc>
        <w:tc>
          <w:tcPr>
            <w:tcW w:type="dxa" w:w="2160"/>
            <w:vAlign w:val="center"/>
          </w:tcPr>
          <w:p>
            <w:pPr>
              <w:spacing w:line="240" w:lineRule="auto" w:before="40" w:after="40"/>
              <w:jc w:val="center"/>
            </w:pPr>
            <w:r/>
            <w:r>
              <w:rPr>
                <w:rFonts w:ascii="Times New Roman" w:hAnsi="Times New Roman"/>
                <w:b w:val="0"/>
                <w:sz w:val="20"/>
              </w:rPr>
              <w:t>0.7218</w:t>
            </w:r>
          </w:p>
        </w:tc>
      </w:tr>
      <w:tr>
        <w:tc>
          <w:tcPr>
            <w:tcW w:type="dxa" w:w="864"/>
            <w:vAlign w:val="center"/>
          </w:tcPr>
          <w:p>
            <w:pPr>
              <w:spacing w:line="240" w:lineRule="auto" w:before="40" w:after="40"/>
              <w:jc w:val="left"/>
            </w:pPr>
            <w:r/>
            <w:r>
              <w:rPr>
                <w:rFonts w:ascii="Times New Roman" w:hAnsi="Times New Roman"/>
                <w:b w:val="0"/>
                <w:sz w:val="20"/>
              </w:rPr>
              <w:t>15</w:t>
            </w:r>
          </w:p>
        </w:tc>
        <w:tc>
          <w:tcPr>
            <w:tcW w:type="dxa" w:w="4032"/>
            <w:vAlign w:val="center"/>
          </w:tcPr>
          <w:p>
            <w:pPr>
              <w:spacing w:line="240" w:lineRule="auto" w:before="40" w:after="40"/>
              <w:jc w:val="center"/>
            </w:pPr>
            <w:r/>
            <w:r>
              <w:rPr>
                <w:rFonts w:ascii="Times New Roman" w:hAnsi="Times New Roman"/>
                <w:b w:val="0"/>
                <w:sz w:val="20"/>
              </w:rPr>
              <w:t>dominant_pattern</w:t>
            </w:r>
          </w:p>
        </w:tc>
        <w:tc>
          <w:tcPr>
            <w:tcW w:type="dxa" w:w="1440"/>
            <w:vAlign w:val="center"/>
          </w:tcPr>
          <w:p>
            <w:pPr>
              <w:spacing w:line="240" w:lineRule="auto" w:before="40" w:after="40"/>
              <w:jc w:val="center"/>
            </w:pPr>
            <w:r/>
            <w:r>
              <w:rPr>
                <w:rFonts w:ascii="Times New Roman" w:hAnsi="Times New Roman"/>
                <w:b w:val="0"/>
                <w:sz w:val="20"/>
              </w:rPr>
              <w:t>18</w:t>
            </w:r>
          </w:p>
        </w:tc>
        <w:tc>
          <w:tcPr>
            <w:tcW w:type="dxa" w:w="2160"/>
            <w:vAlign w:val="center"/>
          </w:tcPr>
          <w:p>
            <w:pPr>
              <w:spacing w:line="240" w:lineRule="auto" w:before="40" w:after="40"/>
              <w:jc w:val="center"/>
            </w:pPr>
            <w:r/>
            <w:r>
              <w:rPr>
                <w:rFonts w:ascii="Times New Roman" w:hAnsi="Times New Roman"/>
                <w:b w:val="0"/>
                <w:sz w:val="20"/>
              </w:rPr>
              <w:t>0.7346</w:t>
            </w:r>
          </w:p>
        </w:tc>
      </w:tr>
      <w:tr>
        <w:tc>
          <w:tcPr>
            <w:tcW w:type="dxa" w:w="864"/>
            <w:vAlign w:val="center"/>
          </w:tcPr>
          <w:p>
            <w:pPr>
              <w:spacing w:line="240" w:lineRule="auto" w:before="40" w:after="40"/>
              <w:jc w:val="left"/>
            </w:pPr>
            <w:r/>
            <w:r>
              <w:rPr>
                <w:rFonts w:ascii="Times New Roman" w:hAnsi="Times New Roman"/>
                <w:b w:val="0"/>
                <w:sz w:val="20"/>
              </w:rPr>
              <w:t>16</w:t>
            </w:r>
          </w:p>
        </w:tc>
        <w:tc>
          <w:tcPr>
            <w:tcW w:type="dxa" w:w="4032"/>
            <w:vAlign w:val="center"/>
          </w:tcPr>
          <w:p>
            <w:pPr>
              <w:spacing w:line="240" w:lineRule="auto" w:before="40" w:after="40"/>
              <w:jc w:val="center"/>
            </w:pPr>
            <w:r/>
            <w:r>
              <w:rPr>
                <w:rFonts w:ascii="Times New Roman" w:hAnsi="Times New Roman"/>
                <w:b w:val="0"/>
                <w:sz w:val="20"/>
              </w:rPr>
              <w:t>ordinal_detailed_avg</w:t>
            </w:r>
          </w:p>
        </w:tc>
        <w:tc>
          <w:tcPr>
            <w:tcW w:type="dxa" w:w="1440"/>
            <w:vAlign w:val="center"/>
          </w:tcPr>
          <w:p>
            <w:pPr>
              <w:spacing w:line="240" w:lineRule="auto" w:before="40" w:after="40"/>
              <w:jc w:val="center"/>
            </w:pPr>
            <w:r/>
            <w:r>
              <w:rPr>
                <w:rFonts w:ascii="Times New Roman" w:hAnsi="Times New Roman"/>
                <w:b w:val="0"/>
                <w:sz w:val="20"/>
              </w:rPr>
              <w:t>1</w:t>
            </w:r>
          </w:p>
        </w:tc>
        <w:tc>
          <w:tcPr>
            <w:tcW w:type="dxa" w:w="2160"/>
            <w:vAlign w:val="center"/>
          </w:tcPr>
          <w:p>
            <w:pPr>
              <w:spacing w:line="240" w:lineRule="auto" w:before="40" w:after="40"/>
              <w:jc w:val="center"/>
            </w:pPr>
            <w:r/>
            <w:r>
              <w:rPr>
                <w:rFonts w:ascii="Times New Roman" w:hAnsi="Times New Roman"/>
                <w:b w:val="0"/>
                <w:sz w:val="20"/>
              </w:rPr>
              <w:t>0.7129</w:t>
            </w:r>
          </w:p>
        </w:tc>
      </w:tr>
    </w:tbl>
    <w:p>
      <w:pPr>
        <w:spacing w:line="480" w:lineRule="auto" w:before="120"/>
      </w:pPr>
      <w:r>
        <w:rPr>
          <w:rFonts w:ascii="Times New Roman" w:hAnsi="Times New Roman"/>
          <w:b w:val="0"/>
          <w:i/>
          <w:sz w:val="20"/>
        </w:rPr>
        <w:t>AUC values from 5-fold stratified cross-validation screening phase. The ordinal_detailed_plus_raw encoding was selected for the full nested CV pipeline evaluation.</w:t>
      </w:r>
    </w:p>
    <w:p>
      <w:r>
        <w:br w:type="page"/>
      </w:r>
    </w:p>
    <w:p>
      <w:pPr>
        <w:pStyle w:val="Heading2"/>
      </w:pPr>
      <w:r>
        <w:rPr>
          <w:rFonts w:ascii="Times New Roman" w:hAnsi="Times New Roman"/>
          <w:color w:val="000000"/>
        </w:rPr>
        <w:t>3.3 Model Performance Comparison</w:t>
      </w:r>
    </w:p>
    <w:p>
      <w:pPr>
        <w:spacing w:line="480" w:lineRule="auto"/>
        <w:ind w:firstLine="720"/>
      </w:pPr>
      <w:r>
        <w:rPr>
          <w:rFonts w:ascii="Times New Roman" w:hAnsi="Times New Roman"/>
          <w:b w:val="0"/>
          <w:i w:val="0"/>
          <w:sz w:val="24"/>
        </w:rPr>
        <w:t>Using the optimal ordinal_detailed_plus_raw encoding, all five classifiers were evaluated through the rigorous 5×5 nested cross-validation pipeline with 50-iteration hyperparameter search. Table 3 presents the comprehensive performance comparison. CatBoost achieved the highest AUC of 0.8306 (95% CI: 0.8130–0.8462), followed closely by XGBoost (AUC = 0.8214) and LightGBM (AUC = 0.8213). Random Forest achieved AUC = 0.8157, while Logistic Regression served as the linear baseline with AUC = 0.7926. All gradient boosting methods outperformed the ensemble and linear approaches, consistent with the heterogeneous feature space and non-linear decision boundaries characteristic of this prediction task.</w:t>
      </w:r>
    </w:p>
    <w:p>
      <w:pPr>
        <w:spacing w:line="480" w:lineRule="auto"/>
      </w:pPr>
      <w:r>
        <w:rPr>
          <w:rFonts w:ascii="Times New Roman" w:hAnsi="Times New Roman"/>
          <w:b w:val="0"/>
          <w:i w:val="0"/>
          <w:sz w:val="24"/>
        </w:rPr>
      </w:r>
    </w:p>
    <w:p>
      <w:pPr>
        <w:spacing w:line="480" w:lineRule="auto"/>
        <w:jc w:val="center"/>
      </w:pPr>
      <w:r>
        <w:rPr>
          <w:rFonts w:ascii="Times New Roman" w:hAnsi="Times New Roman"/>
          <w:b/>
          <w:i w:val="0"/>
          <w:sz w:val="24"/>
        </w:rPr>
        <w:t>Table 3. Model Performance Comparison (5×5 Nested Cross-Validation, ordinal_detailed_plus_raw Encoding)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vAlign w:val="center"/>
            <w:shd w:fill="D9E2F3"/>
          </w:tcPr>
          <w:p>
            <w:pPr>
              <w:spacing w:line="240" w:lineRule="auto" w:before="40" w:after="40"/>
              <w:jc w:val="center"/>
            </w:pPr>
            <w:r/>
            <w:r>
              <w:rPr>
                <w:rFonts w:ascii="Times New Roman" w:hAnsi="Times New Roman"/>
                <w:b/>
                <w:sz w:val="20"/>
              </w:rPr>
              <w:t>Model</w:t>
            </w:r>
          </w:p>
        </w:tc>
        <w:tc>
          <w:tcPr>
            <w:tcW w:type="dxa" w:w="2160"/>
            <w:vAlign w:val="center"/>
            <w:shd w:fill="D9E2F3"/>
          </w:tcPr>
          <w:p>
            <w:pPr>
              <w:spacing w:line="240" w:lineRule="auto" w:before="40" w:after="40"/>
              <w:jc w:val="center"/>
            </w:pPr>
            <w:r/>
            <w:r>
              <w:rPr>
                <w:rFonts w:ascii="Times New Roman" w:hAnsi="Times New Roman"/>
                <w:b/>
                <w:sz w:val="20"/>
              </w:rPr>
              <w:t>AUC (95% CI)</w:t>
            </w:r>
          </w:p>
        </w:tc>
        <w:tc>
          <w:tcPr>
            <w:tcW w:type="dxa" w:w="1152"/>
            <w:vAlign w:val="center"/>
            <w:shd w:fill="D9E2F3"/>
          </w:tcPr>
          <w:p>
            <w:pPr>
              <w:spacing w:line="240" w:lineRule="auto" w:before="40" w:after="40"/>
              <w:jc w:val="center"/>
            </w:pPr>
            <w:r/>
            <w:r>
              <w:rPr>
                <w:rFonts w:ascii="Times New Roman" w:hAnsi="Times New Roman"/>
                <w:b/>
                <w:sz w:val="20"/>
              </w:rPr>
              <w:t>Accuracy</w:t>
            </w:r>
          </w:p>
        </w:tc>
        <w:tc>
          <w:tcPr>
            <w:tcW w:type="dxa" w:w="1152"/>
            <w:vAlign w:val="center"/>
            <w:shd w:fill="D9E2F3"/>
          </w:tcPr>
          <w:p>
            <w:pPr>
              <w:spacing w:line="240" w:lineRule="auto" w:before="40" w:after="40"/>
              <w:jc w:val="center"/>
            </w:pPr>
            <w:r/>
            <w:r>
              <w:rPr>
                <w:rFonts w:ascii="Times New Roman" w:hAnsi="Times New Roman"/>
                <w:b/>
                <w:sz w:val="20"/>
              </w:rPr>
              <w:t>Sensitivity</w:t>
            </w:r>
          </w:p>
        </w:tc>
        <w:tc>
          <w:tcPr>
            <w:tcW w:type="dxa" w:w="1152"/>
            <w:vAlign w:val="center"/>
            <w:shd w:fill="D9E2F3"/>
          </w:tcPr>
          <w:p>
            <w:pPr>
              <w:spacing w:line="240" w:lineRule="auto" w:before="40" w:after="40"/>
              <w:jc w:val="center"/>
            </w:pPr>
            <w:r/>
            <w:r>
              <w:rPr>
                <w:rFonts w:ascii="Times New Roman" w:hAnsi="Times New Roman"/>
                <w:b/>
                <w:sz w:val="20"/>
              </w:rPr>
              <w:t>Specificity</w:t>
            </w:r>
          </w:p>
        </w:tc>
        <w:tc>
          <w:tcPr>
            <w:tcW w:type="dxa" w:w="864"/>
            <w:vAlign w:val="center"/>
            <w:shd w:fill="D9E2F3"/>
          </w:tcPr>
          <w:p>
            <w:pPr>
              <w:spacing w:line="240" w:lineRule="auto" w:before="40" w:after="40"/>
              <w:jc w:val="center"/>
            </w:pPr>
            <w:r/>
            <w:r>
              <w:rPr>
                <w:rFonts w:ascii="Times New Roman" w:hAnsi="Times New Roman"/>
                <w:b/>
                <w:sz w:val="20"/>
              </w:rPr>
              <w:t>F1</w:t>
            </w:r>
          </w:p>
        </w:tc>
        <w:tc>
          <w:tcPr>
            <w:tcW w:type="dxa" w:w="864"/>
            <w:vAlign w:val="center"/>
            <w:shd w:fill="D9E2F3"/>
          </w:tcPr>
          <w:p>
            <w:pPr>
              <w:spacing w:line="240" w:lineRule="auto" w:before="40" w:after="40"/>
              <w:jc w:val="center"/>
            </w:pPr>
            <w:r/>
            <w:r>
              <w:rPr>
                <w:rFonts w:ascii="Times New Roman" w:hAnsi="Times New Roman"/>
                <w:b/>
                <w:sz w:val="20"/>
              </w:rPr>
              <w:t>MCC</w:t>
            </w:r>
          </w:p>
        </w:tc>
      </w:tr>
      <w:tr>
        <w:tc>
          <w:tcPr>
            <w:tcW w:type="dxa" w:w="1872"/>
            <w:vAlign w:val="center"/>
          </w:tcPr>
          <w:p>
            <w:pPr>
              <w:spacing w:line="240" w:lineRule="auto" w:before="40" w:after="40"/>
              <w:jc w:val="left"/>
            </w:pPr>
            <w:r/>
            <w:r>
              <w:rPr>
                <w:rFonts w:ascii="Times New Roman" w:hAnsi="Times New Roman"/>
                <w:b w:val="0"/>
                <w:sz w:val="20"/>
              </w:rPr>
              <w:t>CatBoost</w:t>
            </w:r>
          </w:p>
        </w:tc>
        <w:tc>
          <w:tcPr>
            <w:tcW w:type="dxa" w:w="2160"/>
            <w:vAlign w:val="center"/>
          </w:tcPr>
          <w:p>
            <w:pPr>
              <w:spacing w:line="240" w:lineRule="auto" w:before="40" w:after="40"/>
              <w:jc w:val="center"/>
            </w:pPr>
            <w:r/>
            <w:r>
              <w:rPr>
                <w:rFonts w:ascii="Times New Roman" w:hAnsi="Times New Roman"/>
                <w:b w:val="0"/>
                <w:sz w:val="20"/>
              </w:rPr>
              <w:t>0.8306 (0.813–0.846)</w:t>
            </w:r>
          </w:p>
        </w:tc>
        <w:tc>
          <w:tcPr>
            <w:tcW w:type="dxa" w:w="1152"/>
            <w:vAlign w:val="center"/>
          </w:tcPr>
          <w:p>
            <w:pPr>
              <w:spacing w:line="240" w:lineRule="auto" w:before="40" w:after="40"/>
              <w:jc w:val="center"/>
            </w:pPr>
            <w:r/>
            <w:r>
              <w:rPr>
                <w:rFonts w:ascii="Times New Roman" w:hAnsi="Times New Roman"/>
                <w:b w:val="0"/>
                <w:sz w:val="20"/>
              </w:rPr>
              <w:t>0.7696</w:t>
            </w:r>
          </w:p>
        </w:tc>
        <w:tc>
          <w:tcPr>
            <w:tcW w:type="dxa" w:w="1152"/>
            <w:vAlign w:val="center"/>
          </w:tcPr>
          <w:p>
            <w:pPr>
              <w:spacing w:line="240" w:lineRule="auto" w:before="40" w:after="40"/>
              <w:jc w:val="center"/>
            </w:pPr>
            <w:r/>
            <w:r>
              <w:rPr>
                <w:rFonts w:ascii="Times New Roman" w:hAnsi="Times New Roman"/>
                <w:b w:val="0"/>
                <w:sz w:val="20"/>
              </w:rPr>
              <w:t>0.6783</w:t>
            </w:r>
          </w:p>
        </w:tc>
        <w:tc>
          <w:tcPr>
            <w:tcW w:type="dxa" w:w="1152"/>
            <w:vAlign w:val="center"/>
          </w:tcPr>
          <w:p>
            <w:pPr>
              <w:spacing w:line="240" w:lineRule="auto" w:before="40" w:after="40"/>
              <w:jc w:val="center"/>
            </w:pPr>
            <w:r/>
            <w:r>
              <w:rPr>
                <w:rFonts w:ascii="Times New Roman" w:hAnsi="Times New Roman"/>
                <w:b w:val="0"/>
                <w:sz w:val="20"/>
              </w:rPr>
              <w:t>0.8225</w:t>
            </w:r>
          </w:p>
        </w:tc>
        <w:tc>
          <w:tcPr>
            <w:tcW w:type="dxa" w:w="864"/>
            <w:vAlign w:val="center"/>
          </w:tcPr>
          <w:p>
            <w:pPr>
              <w:spacing w:line="240" w:lineRule="auto" w:before="40" w:after="40"/>
              <w:jc w:val="center"/>
            </w:pPr>
            <w:r/>
            <w:r>
              <w:rPr>
                <w:rFonts w:ascii="Times New Roman" w:hAnsi="Times New Roman"/>
                <w:b w:val="0"/>
                <w:sz w:val="20"/>
              </w:rPr>
              <w:t>0.6838</w:t>
            </w:r>
          </w:p>
        </w:tc>
        <w:tc>
          <w:tcPr>
            <w:tcW w:type="dxa" w:w="864"/>
            <w:vAlign w:val="center"/>
          </w:tcPr>
          <w:p>
            <w:pPr>
              <w:spacing w:line="240" w:lineRule="auto" w:before="40" w:after="40"/>
              <w:jc w:val="center"/>
            </w:pPr>
            <w:r/>
            <w:r>
              <w:rPr>
                <w:rFonts w:ascii="Times New Roman" w:hAnsi="Times New Roman"/>
                <w:b w:val="0"/>
                <w:sz w:val="20"/>
              </w:rPr>
              <w:t>0.5040</w:t>
            </w:r>
          </w:p>
        </w:tc>
      </w:tr>
      <w:tr>
        <w:tc>
          <w:tcPr>
            <w:tcW w:type="dxa" w:w="1872"/>
            <w:vAlign w:val="center"/>
          </w:tcPr>
          <w:p>
            <w:pPr>
              <w:spacing w:line="240" w:lineRule="auto" w:before="40" w:after="40"/>
              <w:jc w:val="left"/>
            </w:pPr>
            <w:r/>
            <w:r>
              <w:rPr>
                <w:rFonts w:ascii="Times New Roman" w:hAnsi="Times New Roman"/>
                <w:b w:val="0"/>
                <w:sz w:val="20"/>
              </w:rPr>
              <w:t>XGBoost</w:t>
            </w:r>
          </w:p>
        </w:tc>
        <w:tc>
          <w:tcPr>
            <w:tcW w:type="dxa" w:w="2160"/>
            <w:vAlign w:val="center"/>
          </w:tcPr>
          <w:p>
            <w:pPr>
              <w:spacing w:line="240" w:lineRule="auto" w:before="40" w:after="40"/>
              <w:jc w:val="center"/>
            </w:pPr>
            <w:r/>
            <w:r>
              <w:rPr>
                <w:rFonts w:ascii="Times New Roman" w:hAnsi="Times New Roman"/>
                <w:b w:val="0"/>
                <w:sz w:val="20"/>
              </w:rPr>
              <w:t>0.8214 (0.814–0.835)</w:t>
            </w:r>
          </w:p>
        </w:tc>
        <w:tc>
          <w:tcPr>
            <w:tcW w:type="dxa" w:w="1152"/>
            <w:vAlign w:val="center"/>
          </w:tcPr>
          <w:p>
            <w:pPr>
              <w:spacing w:line="240" w:lineRule="auto" w:before="40" w:after="40"/>
              <w:jc w:val="center"/>
            </w:pPr>
            <w:r/>
            <w:r>
              <w:rPr>
                <w:rFonts w:ascii="Times New Roman" w:hAnsi="Times New Roman"/>
                <w:b w:val="0"/>
                <w:sz w:val="20"/>
              </w:rPr>
              <w:t>0.7580</w:t>
            </w:r>
          </w:p>
        </w:tc>
        <w:tc>
          <w:tcPr>
            <w:tcW w:type="dxa" w:w="1152"/>
            <w:vAlign w:val="center"/>
          </w:tcPr>
          <w:p>
            <w:pPr>
              <w:spacing w:line="240" w:lineRule="auto" w:before="40" w:after="40"/>
              <w:jc w:val="center"/>
            </w:pPr>
            <w:r/>
            <w:r>
              <w:rPr>
                <w:rFonts w:ascii="Times New Roman" w:hAnsi="Times New Roman"/>
                <w:b w:val="0"/>
                <w:sz w:val="20"/>
              </w:rPr>
              <w:t>0.6693</w:t>
            </w:r>
          </w:p>
        </w:tc>
        <w:tc>
          <w:tcPr>
            <w:tcW w:type="dxa" w:w="1152"/>
            <w:vAlign w:val="center"/>
          </w:tcPr>
          <w:p>
            <w:pPr>
              <w:spacing w:line="240" w:lineRule="auto" w:before="40" w:after="40"/>
              <w:jc w:val="center"/>
            </w:pPr>
            <w:r/>
            <w:r>
              <w:rPr>
                <w:rFonts w:ascii="Times New Roman" w:hAnsi="Times New Roman"/>
                <w:b w:val="0"/>
                <w:sz w:val="20"/>
              </w:rPr>
              <w:t>0.8094</w:t>
            </w:r>
          </w:p>
        </w:tc>
        <w:tc>
          <w:tcPr>
            <w:tcW w:type="dxa" w:w="864"/>
            <w:vAlign w:val="center"/>
          </w:tcPr>
          <w:p>
            <w:pPr>
              <w:spacing w:line="240" w:lineRule="auto" w:before="40" w:after="40"/>
              <w:jc w:val="center"/>
            </w:pPr>
            <w:r/>
            <w:r>
              <w:rPr>
                <w:rFonts w:ascii="Times New Roman" w:hAnsi="Times New Roman"/>
                <w:b w:val="0"/>
                <w:sz w:val="20"/>
              </w:rPr>
              <w:t>0.6689</w:t>
            </w:r>
          </w:p>
        </w:tc>
        <w:tc>
          <w:tcPr>
            <w:tcW w:type="dxa" w:w="864"/>
            <w:vAlign w:val="center"/>
          </w:tcPr>
          <w:p>
            <w:pPr>
              <w:spacing w:line="240" w:lineRule="auto" w:before="40" w:after="40"/>
              <w:jc w:val="center"/>
            </w:pPr>
            <w:r/>
            <w:r>
              <w:rPr>
                <w:rFonts w:ascii="Times New Roman" w:hAnsi="Times New Roman"/>
                <w:b w:val="0"/>
                <w:sz w:val="20"/>
              </w:rPr>
              <w:t>0.4801</w:t>
            </w:r>
          </w:p>
        </w:tc>
      </w:tr>
      <w:tr>
        <w:tc>
          <w:tcPr>
            <w:tcW w:type="dxa" w:w="1872"/>
            <w:vAlign w:val="center"/>
          </w:tcPr>
          <w:p>
            <w:pPr>
              <w:spacing w:line="240" w:lineRule="auto" w:before="40" w:after="40"/>
              <w:jc w:val="left"/>
            </w:pPr>
            <w:r/>
            <w:r>
              <w:rPr>
                <w:rFonts w:ascii="Times New Roman" w:hAnsi="Times New Roman"/>
                <w:b w:val="0"/>
                <w:sz w:val="20"/>
              </w:rPr>
              <w:t>LightGBM</w:t>
            </w:r>
          </w:p>
        </w:tc>
        <w:tc>
          <w:tcPr>
            <w:tcW w:type="dxa" w:w="2160"/>
            <w:vAlign w:val="center"/>
          </w:tcPr>
          <w:p>
            <w:pPr>
              <w:spacing w:line="240" w:lineRule="auto" w:before="40" w:after="40"/>
              <w:jc w:val="center"/>
            </w:pPr>
            <w:r/>
            <w:r>
              <w:rPr>
                <w:rFonts w:ascii="Times New Roman" w:hAnsi="Times New Roman"/>
                <w:b w:val="0"/>
                <w:sz w:val="20"/>
              </w:rPr>
              <w:t>0.8213 (0.809–0.836)</w:t>
            </w:r>
          </w:p>
        </w:tc>
        <w:tc>
          <w:tcPr>
            <w:tcW w:type="dxa" w:w="1152"/>
            <w:vAlign w:val="center"/>
          </w:tcPr>
          <w:p>
            <w:pPr>
              <w:spacing w:line="240" w:lineRule="auto" w:before="40" w:after="40"/>
              <w:jc w:val="center"/>
            </w:pPr>
            <w:r/>
            <w:r>
              <w:rPr>
                <w:rFonts w:ascii="Times New Roman" w:hAnsi="Times New Roman"/>
                <w:b w:val="0"/>
                <w:sz w:val="20"/>
              </w:rPr>
              <w:t>0.7551</w:t>
            </w:r>
          </w:p>
        </w:tc>
        <w:tc>
          <w:tcPr>
            <w:tcW w:type="dxa" w:w="1152"/>
            <w:vAlign w:val="center"/>
          </w:tcPr>
          <w:p>
            <w:pPr>
              <w:spacing w:line="240" w:lineRule="auto" w:before="40" w:after="40"/>
              <w:jc w:val="center"/>
            </w:pPr>
            <w:r/>
            <w:r>
              <w:rPr>
                <w:rFonts w:ascii="Times New Roman" w:hAnsi="Times New Roman"/>
                <w:b w:val="0"/>
                <w:sz w:val="20"/>
              </w:rPr>
              <w:t>0.6806</w:t>
            </w:r>
          </w:p>
        </w:tc>
        <w:tc>
          <w:tcPr>
            <w:tcW w:type="dxa" w:w="1152"/>
            <w:vAlign w:val="center"/>
          </w:tcPr>
          <w:p>
            <w:pPr>
              <w:spacing w:line="240" w:lineRule="auto" w:before="40" w:after="40"/>
              <w:jc w:val="center"/>
            </w:pPr>
            <w:r/>
            <w:r>
              <w:rPr>
                <w:rFonts w:ascii="Times New Roman" w:hAnsi="Times New Roman"/>
                <w:b w:val="0"/>
                <w:sz w:val="20"/>
              </w:rPr>
              <w:t>0.7984</w:t>
            </w:r>
          </w:p>
        </w:tc>
        <w:tc>
          <w:tcPr>
            <w:tcW w:type="dxa" w:w="864"/>
            <w:vAlign w:val="center"/>
          </w:tcPr>
          <w:p>
            <w:pPr>
              <w:spacing w:line="240" w:lineRule="auto" w:before="40" w:after="40"/>
              <w:jc w:val="center"/>
            </w:pPr>
            <w:r/>
            <w:r>
              <w:rPr>
                <w:rFonts w:ascii="Times New Roman" w:hAnsi="Times New Roman"/>
                <w:b w:val="0"/>
                <w:sz w:val="20"/>
              </w:rPr>
              <w:t>0.6709</w:t>
            </w:r>
          </w:p>
        </w:tc>
        <w:tc>
          <w:tcPr>
            <w:tcW w:type="dxa" w:w="864"/>
            <w:vAlign w:val="center"/>
          </w:tcPr>
          <w:p>
            <w:pPr>
              <w:spacing w:line="240" w:lineRule="auto" w:before="40" w:after="40"/>
              <w:jc w:val="center"/>
            </w:pPr>
            <w:r/>
            <w:r>
              <w:rPr>
                <w:rFonts w:ascii="Times New Roman" w:hAnsi="Times New Roman"/>
                <w:b w:val="0"/>
                <w:sz w:val="20"/>
              </w:rPr>
              <w:t>0.4790</w:t>
            </w:r>
          </w:p>
        </w:tc>
      </w:tr>
      <w:tr>
        <w:tc>
          <w:tcPr>
            <w:tcW w:type="dxa" w:w="1872"/>
            <w:vAlign w:val="center"/>
          </w:tcPr>
          <w:p>
            <w:pPr>
              <w:spacing w:line="240" w:lineRule="auto" w:before="40" w:after="40"/>
              <w:jc w:val="left"/>
            </w:pPr>
            <w:r/>
            <w:r>
              <w:rPr>
                <w:rFonts w:ascii="Times New Roman" w:hAnsi="Times New Roman"/>
                <w:b w:val="0"/>
                <w:sz w:val="20"/>
              </w:rPr>
              <w:t>Random Forest</w:t>
            </w:r>
          </w:p>
        </w:tc>
        <w:tc>
          <w:tcPr>
            <w:tcW w:type="dxa" w:w="2160"/>
            <w:vAlign w:val="center"/>
          </w:tcPr>
          <w:p>
            <w:pPr>
              <w:spacing w:line="240" w:lineRule="auto" w:before="40" w:after="40"/>
              <w:jc w:val="center"/>
            </w:pPr>
            <w:r/>
            <w:r>
              <w:rPr>
                <w:rFonts w:ascii="Times New Roman" w:hAnsi="Times New Roman"/>
                <w:b w:val="0"/>
                <w:sz w:val="20"/>
              </w:rPr>
              <w:t>0.8157 (0.809–0.829)</w:t>
            </w:r>
          </w:p>
        </w:tc>
        <w:tc>
          <w:tcPr>
            <w:tcW w:type="dxa" w:w="1152"/>
            <w:vAlign w:val="center"/>
          </w:tcPr>
          <w:p>
            <w:pPr>
              <w:spacing w:line="240" w:lineRule="auto" w:before="40" w:after="40"/>
              <w:jc w:val="center"/>
            </w:pPr>
            <w:r/>
            <w:r>
              <w:rPr>
                <w:rFonts w:ascii="Times New Roman" w:hAnsi="Times New Roman"/>
                <w:b w:val="0"/>
                <w:sz w:val="20"/>
              </w:rPr>
              <w:t>0.7472</w:t>
            </w:r>
          </w:p>
        </w:tc>
        <w:tc>
          <w:tcPr>
            <w:tcW w:type="dxa" w:w="1152"/>
            <w:vAlign w:val="center"/>
          </w:tcPr>
          <w:p>
            <w:pPr>
              <w:spacing w:line="240" w:lineRule="auto" w:before="40" w:after="40"/>
              <w:jc w:val="center"/>
            </w:pPr>
            <w:r/>
            <w:r>
              <w:rPr>
                <w:rFonts w:ascii="Times New Roman" w:hAnsi="Times New Roman"/>
                <w:b w:val="0"/>
                <w:sz w:val="20"/>
              </w:rPr>
              <w:t>0.6941</w:t>
            </w:r>
          </w:p>
        </w:tc>
        <w:tc>
          <w:tcPr>
            <w:tcW w:type="dxa" w:w="1152"/>
            <w:vAlign w:val="center"/>
          </w:tcPr>
          <w:p>
            <w:pPr>
              <w:spacing w:line="240" w:lineRule="auto" w:before="40" w:after="40"/>
              <w:jc w:val="center"/>
            </w:pPr>
            <w:r/>
            <w:r>
              <w:rPr>
                <w:rFonts w:ascii="Times New Roman" w:hAnsi="Times New Roman"/>
                <w:b w:val="0"/>
                <w:sz w:val="20"/>
              </w:rPr>
              <w:t>0.7780</w:t>
            </w:r>
          </w:p>
        </w:tc>
        <w:tc>
          <w:tcPr>
            <w:tcW w:type="dxa" w:w="864"/>
            <w:vAlign w:val="center"/>
          </w:tcPr>
          <w:p>
            <w:pPr>
              <w:spacing w:line="240" w:lineRule="auto" w:before="40" w:after="40"/>
              <w:jc w:val="center"/>
            </w:pPr>
            <w:r/>
            <w:r>
              <w:rPr>
                <w:rFonts w:ascii="Times New Roman" w:hAnsi="Times New Roman"/>
                <w:b w:val="0"/>
                <w:sz w:val="20"/>
              </w:rPr>
              <w:t>0.6685</w:t>
            </w:r>
          </w:p>
        </w:tc>
        <w:tc>
          <w:tcPr>
            <w:tcW w:type="dxa" w:w="864"/>
            <w:vAlign w:val="center"/>
          </w:tcPr>
          <w:p>
            <w:pPr>
              <w:spacing w:line="240" w:lineRule="auto" w:before="40" w:after="40"/>
              <w:jc w:val="center"/>
            </w:pPr>
            <w:r/>
            <w:r>
              <w:rPr>
                <w:rFonts w:ascii="Times New Roman" w:hAnsi="Times New Roman"/>
                <w:b w:val="0"/>
                <w:sz w:val="20"/>
              </w:rPr>
              <w:t>0.4660</w:t>
            </w:r>
          </w:p>
        </w:tc>
      </w:tr>
      <w:tr>
        <w:tc>
          <w:tcPr>
            <w:tcW w:type="dxa" w:w="1872"/>
            <w:vAlign w:val="center"/>
          </w:tcPr>
          <w:p>
            <w:pPr>
              <w:spacing w:line="240" w:lineRule="auto" w:before="40" w:after="40"/>
              <w:jc w:val="left"/>
            </w:pPr>
            <w:r/>
            <w:r>
              <w:rPr>
                <w:rFonts w:ascii="Times New Roman" w:hAnsi="Times New Roman"/>
                <w:b w:val="0"/>
                <w:sz w:val="20"/>
              </w:rPr>
              <w:t>Logistic Regression</w:t>
            </w:r>
          </w:p>
        </w:tc>
        <w:tc>
          <w:tcPr>
            <w:tcW w:type="dxa" w:w="2160"/>
            <w:vAlign w:val="center"/>
          </w:tcPr>
          <w:p>
            <w:pPr>
              <w:spacing w:line="240" w:lineRule="auto" w:before="40" w:after="40"/>
              <w:jc w:val="center"/>
            </w:pPr>
            <w:r/>
            <w:r>
              <w:rPr>
                <w:rFonts w:ascii="Times New Roman" w:hAnsi="Times New Roman"/>
                <w:b w:val="0"/>
                <w:sz w:val="20"/>
              </w:rPr>
              <w:t>0.7926 (0.777–0.804)</w:t>
            </w:r>
          </w:p>
        </w:tc>
        <w:tc>
          <w:tcPr>
            <w:tcW w:type="dxa" w:w="1152"/>
            <w:vAlign w:val="center"/>
          </w:tcPr>
          <w:p>
            <w:pPr>
              <w:spacing w:line="240" w:lineRule="auto" w:before="40" w:after="40"/>
              <w:jc w:val="center"/>
            </w:pPr>
            <w:r/>
            <w:r>
              <w:rPr>
                <w:rFonts w:ascii="Times New Roman" w:hAnsi="Times New Roman"/>
                <w:b w:val="0"/>
                <w:sz w:val="20"/>
              </w:rPr>
              <w:t>0.7348</w:t>
            </w:r>
          </w:p>
        </w:tc>
        <w:tc>
          <w:tcPr>
            <w:tcW w:type="dxa" w:w="1152"/>
            <w:vAlign w:val="center"/>
          </w:tcPr>
          <w:p>
            <w:pPr>
              <w:spacing w:line="240" w:lineRule="auto" w:before="40" w:after="40"/>
              <w:jc w:val="center"/>
            </w:pPr>
            <w:r/>
            <w:r>
              <w:rPr>
                <w:rFonts w:ascii="Times New Roman" w:hAnsi="Times New Roman"/>
                <w:b w:val="0"/>
                <w:sz w:val="20"/>
              </w:rPr>
              <w:t>0.6592</w:t>
            </w:r>
          </w:p>
        </w:tc>
        <w:tc>
          <w:tcPr>
            <w:tcW w:type="dxa" w:w="1152"/>
            <w:vAlign w:val="center"/>
          </w:tcPr>
          <w:p>
            <w:pPr>
              <w:spacing w:line="240" w:lineRule="auto" w:before="40" w:after="40"/>
              <w:jc w:val="center"/>
            </w:pPr>
            <w:r/>
            <w:r>
              <w:rPr>
                <w:rFonts w:ascii="Times New Roman" w:hAnsi="Times New Roman"/>
                <w:b w:val="0"/>
                <w:sz w:val="20"/>
              </w:rPr>
              <w:t>0.7787</w:t>
            </w:r>
          </w:p>
        </w:tc>
        <w:tc>
          <w:tcPr>
            <w:tcW w:type="dxa" w:w="864"/>
            <w:vAlign w:val="center"/>
          </w:tcPr>
          <w:p>
            <w:pPr>
              <w:spacing w:line="240" w:lineRule="auto" w:before="40" w:after="40"/>
              <w:jc w:val="center"/>
            </w:pPr>
            <w:r/>
            <w:r>
              <w:rPr>
                <w:rFonts w:ascii="Times New Roman" w:hAnsi="Times New Roman"/>
                <w:b w:val="0"/>
                <w:sz w:val="20"/>
              </w:rPr>
              <w:t>0.6458</w:t>
            </w:r>
          </w:p>
        </w:tc>
        <w:tc>
          <w:tcPr>
            <w:tcW w:type="dxa" w:w="864"/>
            <w:vAlign w:val="center"/>
          </w:tcPr>
          <w:p>
            <w:pPr>
              <w:spacing w:line="240" w:lineRule="auto" w:before="40" w:after="40"/>
              <w:jc w:val="center"/>
            </w:pPr>
            <w:r/>
            <w:r>
              <w:rPr>
                <w:rFonts w:ascii="Times New Roman" w:hAnsi="Times New Roman"/>
                <w:b w:val="0"/>
                <w:sz w:val="20"/>
              </w:rPr>
              <w:t>0.4356</w:t>
            </w:r>
          </w:p>
        </w:tc>
      </w:tr>
    </w:tbl>
    <w:p>
      <w:pPr>
        <w:spacing w:line="480" w:lineRule="auto" w:before="120"/>
      </w:pPr>
      <w:r>
        <w:rPr>
          <w:rFonts w:ascii="Times New Roman" w:hAnsi="Times New Roman"/>
          <w:b w:val="0"/>
          <w:i/>
          <w:sz w:val="20"/>
        </w:rPr>
        <w:t>95% CIs computed via bootstrap resampling (1,000 iterations) of aggregated out-of-fold predictions. Thresholds optimized per fold using Youden’s J statistic.</w:t>
      </w:r>
    </w:p>
    <w:p>
      <w:pPr>
        <w:pStyle w:val="Heading2"/>
      </w:pPr>
      <w:r>
        <w:rPr>
          <w:rFonts w:ascii="Times New Roman" w:hAnsi="Times New Roman"/>
          <w:color w:val="000000"/>
        </w:rPr>
        <w:t>3.4 Pipeline Version Comparison</w:t>
      </w:r>
    </w:p>
    <w:p>
      <w:pPr>
        <w:spacing w:line="480" w:lineRule="auto"/>
        <w:ind w:firstLine="720"/>
      </w:pPr>
      <w:r>
        <w:rPr>
          <w:rFonts w:ascii="Times New Roman" w:hAnsi="Times New Roman"/>
          <w:b w:val="0"/>
          <w:i w:val="0"/>
          <w:sz w:val="24"/>
        </w:rPr>
        <w:t>The systematic quality assurance protocol revealed a critical preprocessing artifact in the initial pipeline (v1). The v1 pipeline employed an IQR-based outlier clipper that, when applied to sparse pathology features with zero-inflated distributions, collapsed all non-zero values to zero. This artifact eliminated the predictive signal from histopathological features entirely, resulting in zero SHAP importance for all pathology variables and a best AUC of only 0.7327 (LightGBM, 2×2 nested CV with 2-iteration search). The corrected v2 pipeline—with IQR clipper removed, preprocessing order corrected (StandardScaler before KNNImputer), nested CV properly powered (5×5, 50 iterations), and ordinal_detailed_plus_raw encoding—achieved AUC = 0.8306 (CatBoost), representing an improvement of ΔAUC = +0.0979. This improvement is attributable to both the restoration of pathology signal and the methodological corrections in the validation framework.</w:t>
      </w:r>
    </w:p>
    <w:p>
      <w:pPr>
        <w:pStyle w:val="Heading2"/>
      </w:pPr>
      <w:r>
        <w:rPr>
          <w:rFonts w:ascii="Times New Roman" w:hAnsi="Times New Roman"/>
          <w:color w:val="000000"/>
        </w:rPr>
        <w:t>3.5 Clinical-Only Baseline</w:t>
      </w:r>
    </w:p>
    <w:p>
      <w:pPr>
        <w:spacing w:line="480" w:lineRule="auto"/>
        <w:ind w:firstLine="720"/>
      </w:pPr>
      <w:r>
        <w:rPr>
          <w:rFonts w:ascii="Times New Roman" w:hAnsi="Times New Roman"/>
          <w:b w:val="0"/>
          <w:i w:val="0"/>
          <w:sz w:val="24"/>
        </w:rPr>
        <w:t>To quantify the incremental predictive value of histopathological features, a clinical-only baseline model was trained excluding all pathology-derived features. The best clinical-only AUC was 0.5642 (Random Forest), indicating near-chance discriminative ability. Logistic Regression achieved AUC = 0.5454, XGBoost 0.5534, LightGBM 0.5517, and CatBoost 0.5623. The addition of ordinal_detailed_plus_raw pathology features improved the best AUC from 0.5642 to 0.8306, representing an incremental ΔAUC of +0.2664. This finding definitively establishes histopathological features as the primary drivers of predictive performance in this domain, with clinical features (hormones, testicular volume, genetics) providing only marginal additional discrimination beyond pathology.</w:t>
      </w:r>
    </w:p>
    <w:p>
      <w:pPr>
        <w:pStyle w:val="Heading2"/>
      </w:pPr>
      <w:r>
        <w:rPr>
          <w:rFonts w:ascii="Times New Roman" w:hAnsi="Times New Roman"/>
          <w:color w:val="000000"/>
        </w:rPr>
        <w:t>3.6 SHAP Feature Importance</w:t>
      </w:r>
    </w:p>
    <w:p>
      <w:pPr>
        <w:spacing w:line="480" w:lineRule="auto"/>
        <w:ind w:firstLine="720"/>
      </w:pPr>
      <w:r>
        <w:rPr>
          <w:rFonts w:ascii="Times New Roman" w:hAnsi="Times New Roman"/>
          <w:b w:val="0"/>
          <w:i w:val="0"/>
          <w:sz w:val="24"/>
        </w:rPr>
        <w:t>Table 4 presents the top 25 features ranked by mean absolute SHAP value from the CatBoost model. Histopathology-derived features dominated the ranking, occupying 17 of the top 25 positions. The single most important feature was RT_Severe_Hypospermatogenesis_pct (mean |SHAP| = 0.3958), reflecting the strong positive association between severe hypospermatogenesis and successful sperm retrieval—consistent with the clinical understanding that even markedly reduced spermatogenesis provides retrievable spermatozoa during micro-TESE. The second-ranked feature, RT_Hypospermatogenesis_pct (0.2007), reinforced this pattern. SCO percentage features (RT_SCO_pct ranked 7th, LT_SCO_pct ranked 6th) contributed substantial negative predictive signal, consistent with the unfavorable prognosis associated with Sertoli cell-only histology.</w:t>
      </w:r>
    </w:p>
    <w:p>
      <w:pPr>
        <w:spacing w:line="480" w:lineRule="auto"/>
        <w:ind w:firstLine="720"/>
      </w:pPr>
      <w:r>
        <w:rPr>
          <w:rFonts w:ascii="Times New Roman" w:hAnsi="Times New Roman"/>
          <w:b w:val="0"/>
          <w:i w:val="0"/>
          <w:sz w:val="24"/>
        </w:rPr>
        <w:t>The engineered severity scores (LT_severity ranked 5th with 0.1308; RT_severity ranked 8th with 0.0855) appeared alongside their constituent raw percentage features, indicating that the clinically-motivated weighted aggregation provides non-redundant information beyond the individual components. Among non-pathology features, Klinefelter karyotype (rank 11, 0.0612), seminal plasma pH (rank 14, 0.0550), and testicular volume measurements (ranks 15, 17, 18) contributed modestly. Hormonal features ranked lower than expected: FSH appeared at rank 20 (0.0180) and prolactin at rank 23 (0.0164), well below the pathology and testicular measurement features.</w:t>
      </w:r>
    </w:p>
    <w:p>
      <w:pPr>
        <w:spacing w:line="480" w:lineRule="auto"/>
      </w:pPr>
      <w:r>
        <w:rPr>
          <w:rFonts w:ascii="Times New Roman" w:hAnsi="Times New Roman"/>
          <w:b w:val="0"/>
          <w:i w:val="0"/>
          <w:sz w:val="24"/>
        </w:rPr>
      </w:r>
    </w:p>
    <w:p>
      <w:pPr>
        <w:spacing w:line="480" w:lineRule="auto"/>
        <w:jc w:val="center"/>
      </w:pPr>
      <w:r>
        <w:rPr>
          <w:rFonts w:ascii="Times New Roman" w:hAnsi="Times New Roman"/>
          <w:b/>
          <w:i w:val="0"/>
          <w:sz w:val="24"/>
        </w:rPr>
        <w:t>Table 4. Top 25 Features by Mean |SHAP| Value (CatBoost)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vAlign w:val="center"/>
            <w:shd w:fill="D9E2F3"/>
          </w:tcPr>
          <w:p>
            <w:pPr>
              <w:spacing w:line="240" w:lineRule="auto" w:before="40" w:after="40"/>
              <w:jc w:val="center"/>
            </w:pPr>
            <w:r/>
            <w:r>
              <w:rPr>
                <w:rFonts w:ascii="Times New Roman" w:hAnsi="Times New Roman"/>
                <w:b/>
                <w:sz w:val="20"/>
              </w:rPr>
              <w:t>Rank</w:t>
            </w:r>
          </w:p>
        </w:tc>
        <w:tc>
          <w:tcPr>
            <w:tcW w:type="dxa" w:w="3888"/>
            <w:vAlign w:val="center"/>
            <w:shd w:fill="D9E2F3"/>
          </w:tcPr>
          <w:p>
            <w:pPr>
              <w:spacing w:line="240" w:lineRule="auto" w:before="40" w:after="40"/>
              <w:jc w:val="center"/>
            </w:pPr>
            <w:r/>
            <w:r>
              <w:rPr>
                <w:rFonts w:ascii="Times New Roman" w:hAnsi="Times New Roman"/>
                <w:b/>
                <w:sz w:val="20"/>
              </w:rPr>
              <w:t>Feature</w:t>
            </w:r>
          </w:p>
        </w:tc>
        <w:tc>
          <w:tcPr>
            <w:tcW w:type="dxa" w:w="1440"/>
            <w:vAlign w:val="center"/>
            <w:shd w:fill="D9E2F3"/>
          </w:tcPr>
          <w:p>
            <w:pPr>
              <w:spacing w:line="240" w:lineRule="auto" w:before="40" w:after="40"/>
              <w:jc w:val="center"/>
            </w:pPr>
            <w:r/>
            <w:r>
              <w:rPr>
                <w:rFonts w:ascii="Times New Roman" w:hAnsi="Times New Roman"/>
                <w:b/>
                <w:sz w:val="20"/>
              </w:rPr>
              <w:t>Mean |SHAP|</w:t>
            </w:r>
          </w:p>
        </w:tc>
        <w:tc>
          <w:tcPr>
            <w:tcW w:type="dxa" w:w="2448"/>
            <w:vAlign w:val="center"/>
            <w:shd w:fill="D9E2F3"/>
          </w:tcPr>
          <w:p>
            <w:pPr>
              <w:spacing w:line="240" w:lineRule="auto" w:before="40" w:after="40"/>
              <w:jc w:val="center"/>
            </w:pPr>
            <w:r/>
            <w:r>
              <w:rPr>
                <w:rFonts w:ascii="Times New Roman" w:hAnsi="Times New Roman"/>
                <w:b/>
                <w:sz w:val="20"/>
              </w:rPr>
              <w:t>Category</w:t>
            </w:r>
          </w:p>
        </w:tc>
      </w:tr>
      <w:tr>
        <w:tc>
          <w:tcPr>
            <w:tcW w:type="dxa" w:w="720"/>
            <w:vAlign w:val="center"/>
          </w:tcPr>
          <w:p>
            <w:pPr>
              <w:spacing w:line="240" w:lineRule="auto" w:before="40" w:after="40"/>
              <w:jc w:val="left"/>
            </w:pPr>
            <w:r/>
            <w:r>
              <w:rPr>
                <w:rFonts w:ascii="Times New Roman" w:hAnsi="Times New Roman"/>
                <w:b w:val="0"/>
                <w:sz w:val="20"/>
              </w:rPr>
              <w:t>1</w:t>
            </w:r>
          </w:p>
        </w:tc>
        <w:tc>
          <w:tcPr>
            <w:tcW w:type="dxa" w:w="3888"/>
            <w:vAlign w:val="center"/>
          </w:tcPr>
          <w:p>
            <w:pPr>
              <w:spacing w:line="240" w:lineRule="auto" w:before="40" w:after="40"/>
              <w:jc w:val="center"/>
            </w:pPr>
            <w:r/>
            <w:r>
              <w:rPr>
                <w:rFonts w:ascii="Times New Roman" w:hAnsi="Times New Roman"/>
                <w:b w:val="0"/>
                <w:sz w:val="20"/>
              </w:rPr>
              <w:t>RT_Severe_Hypospermatogenesis_pct</w:t>
            </w:r>
          </w:p>
        </w:tc>
        <w:tc>
          <w:tcPr>
            <w:tcW w:type="dxa" w:w="1440"/>
            <w:vAlign w:val="center"/>
          </w:tcPr>
          <w:p>
            <w:pPr>
              <w:spacing w:line="240" w:lineRule="auto" w:before="40" w:after="40"/>
              <w:jc w:val="center"/>
            </w:pPr>
            <w:r/>
            <w:r>
              <w:rPr>
                <w:rFonts w:ascii="Times New Roman" w:hAnsi="Times New Roman"/>
                <w:b w:val="0"/>
                <w:sz w:val="20"/>
              </w:rPr>
              <w:t>0.3958</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2</w:t>
            </w:r>
          </w:p>
        </w:tc>
        <w:tc>
          <w:tcPr>
            <w:tcW w:type="dxa" w:w="3888"/>
            <w:vAlign w:val="center"/>
          </w:tcPr>
          <w:p>
            <w:pPr>
              <w:spacing w:line="240" w:lineRule="auto" w:before="40" w:after="40"/>
              <w:jc w:val="center"/>
            </w:pPr>
            <w:r/>
            <w:r>
              <w:rPr>
                <w:rFonts w:ascii="Times New Roman" w:hAnsi="Times New Roman"/>
                <w:b w:val="0"/>
                <w:sz w:val="20"/>
              </w:rPr>
              <w:t>RT_Hypospermatogenesis_pct</w:t>
            </w:r>
          </w:p>
        </w:tc>
        <w:tc>
          <w:tcPr>
            <w:tcW w:type="dxa" w:w="1440"/>
            <w:vAlign w:val="center"/>
          </w:tcPr>
          <w:p>
            <w:pPr>
              <w:spacing w:line="240" w:lineRule="auto" w:before="40" w:after="40"/>
              <w:jc w:val="center"/>
            </w:pPr>
            <w:r/>
            <w:r>
              <w:rPr>
                <w:rFonts w:ascii="Times New Roman" w:hAnsi="Times New Roman"/>
                <w:b w:val="0"/>
                <w:sz w:val="20"/>
              </w:rPr>
              <w:t>0.2007</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3</w:t>
            </w:r>
          </w:p>
        </w:tc>
        <w:tc>
          <w:tcPr>
            <w:tcW w:type="dxa" w:w="3888"/>
            <w:vAlign w:val="center"/>
          </w:tcPr>
          <w:p>
            <w:pPr>
              <w:spacing w:line="240" w:lineRule="auto" w:before="40" w:after="40"/>
              <w:jc w:val="center"/>
            </w:pPr>
            <w:r/>
            <w:r>
              <w:rPr>
                <w:rFonts w:ascii="Times New Roman" w:hAnsi="Times New Roman"/>
                <w:b w:val="0"/>
                <w:sz w:val="20"/>
              </w:rPr>
              <w:t>LT_Severe_Hypospermatogenesis_pct</w:t>
            </w:r>
          </w:p>
        </w:tc>
        <w:tc>
          <w:tcPr>
            <w:tcW w:type="dxa" w:w="1440"/>
            <w:vAlign w:val="center"/>
          </w:tcPr>
          <w:p>
            <w:pPr>
              <w:spacing w:line="240" w:lineRule="auto" w:before="40" w:after="40"/>
              <w:jc w:val="center"/>
            </w:pPr>
            <w:r/>
            <w:r>
              <w:rPr>
                <w:rFonts w:ascii="Times New Roman" w:hAnsi="Times New Roman"/>
                <w:b w:val="0"/>
                <w:sz w:val="20"/>
              </w:rPr>
              <w:t>0.1590</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4</w:t>
            </w:r>
          </w:p>
        </w:tc>
        <w:tc>
          <w:tcPr>
            <w:tcW w:type="dxa" w:w="3888"/>
            <w:vAlign w:val="center"/>
          </w:tcPr>
          <w:p>
            <w:pPr>
              <w:spacing w:line="240" w:lineRule="auto" w:before="40" w:after="40"/>
              <w:jc w:val="center"/>
            </w:pPr>
            <w:r/>
            <w:r>
              <w:rPr>
                <w:rFonts w:ascii="Times New Roman" w:hAnsi="Times New Roman"/>
                <w:b w:val="0"/>
                <w:sz w:val="20"/>
              </w:rPr>
              <w:t>RT_MA_Spermatocytic_pct</w:t>
            </w:r>
          </w:p>
        </w:tc>
        <w:tc>
          <w:tcPr>
            <w:tcW w:type="dxa" w:w="1440"/>
            <w:vAlign w:val="center"/>
          </w:tcPr>
          <w:p>
            <w:pPr>
              <w:spacing w:line="240" w:lineRule="auto" w:before="40" w:after="40"/>
              <w:jc w:val="center"/>
            </w:pPr>
            <w:r/>
            <w:r>
              <w:rPr>
                <w:rFonts w:ascii="Times New Roman" w:hAnsi="Times New Roman"/>
                <w:b w:val="0"/>
                <w:sz w:val="20"/>
              </w:rPr>
              <w:t>0.1473</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5</w:t>
            </w:r>
          </w:p>
        </w:tc>
        <w:tc>
          <w:tcPr>
            <w:tcW w:type="dxa" w:w="3888"/>
            <w:vAlign w:val="center"/>
          </w:tcPr>
          <w:p>
            <w:pPr>
              <w:spacing w:line="240" w:lineRule="auto" w:before="40" w:after="40"/>
              <w:jc w:val="center"/>
            </w:pPr>
            <w:r/>
            <w:r>
              <w:rPr>
                <w:rFonts w:ascii="Times New Roman" w:hAnsi="Times New Roman"/>
                <w:b w:val="0"/>
                <w:sz w:val="20"/>
              </w:rPr>
              <w:t>LT_severity</w:t>
            </w:r>
          </w:p>
        </w:tc>
        <w:tc>
          <w:tcPr>
            <w:tcW w:type="dxa" w:w="1440"/>
            <w:vAlign w:val="center"/>
          </w:tcPr>
          <w:p>
            <w:pPr>
              <w:spacing w:line="240" w:lineRule="auto" w:before="40" w:after="40"/>
              <w:jc w:val="center"/>
            </w:pPr>
            <w:r/>
            <w:r>
              <w:rPr>
                <w:rFonts w:ascii="Times New Roman" w:hAnsi="Times New Roman"/>
                <w:b w:val="0"/>
                <w:sz w:val="20"/>
              </w:rPr>
              <w:t>0.1308</w:t>
            </w:r>
          </w:p>
        </w:tc>
        <w:tc>
          <w:tcPr>
            <w:tcW w:type="dxa" w:w="2448"/>
            <w:vAlign w:val="center"/>
          </w:tcPr>
          <w:p>
            <w:pPr>
              <w:spacing w:line="240" w:lineRule="auto" w:before="40" w:after="40"/>
              <w:jc w:val="center"/>
            </w:pPr>
            <w:r/>
            <w:r>
              <w:rPr>
                <w:rFonts w:ascii="Times New Roman" w:hAnsi="Times New Roman"/>
                <w:b w:val="0"/>
                <w:sz w:val="20"/>
              </w:rPr>
              <w:t>Pathology (engineered)</w:t>
            </w:r>
          </w:p>
        </w:tc>
      </w:tr>
      <w:tr>
        <w:tc>
          <w:tcPr>
            <w:tcW w:type="dxa" w:w="720"/>
            <w:vAlign w:val="center"/>
          </w:tcPr>
          <w:p>
            <w:pPr>
              <w:spacing w:line="240" w:lineRule="auto" w:before="40" w:after="40"/>
              <w:jc w:val="left"/>
            </w:pPr>
            <w:r/>
            <w:r>
              <w:rPr>
                <w:rFonts w:ascii="Times New Roman" w:hAnsi="Times New Roman"/>
                <w:b w:val="0"/>
                <w:sz w:val="20"/>
              </w:rPr>
              <w:t>6</w:t>
            </w:r>
          </w:p>
        </w:tc>
        <w:tc>
          <w:tcPr>
            <w:tcW w:type="dxa" w:w="3888"/>
            <w:vAlign w:val="center"/>
          </w:tcPr>
          <w:p>
            <w:pPr>
              <w:spacing w:line="240" w:lineRule="auto" w:before="40" w:after="40"/>
              <w:jc w:val="center"/>
            </w:pPr>
            <w:r/>
            <w:r>
              <w:rPr>
                <w:rFonts w:ascii="Times New Roman" w:hAnsi="Times New Roman"/>
                <w:b w:val="0"/>
                <w:sz w:val="20"/>
              </w:rPr>
              <w:t>LT_SCO_pct</w:t>
            </w:r>
          </w:p>
        </w:tc>
        <w:tc>
          <w:tcPr>
            <w:tcW w:type="dxa" w:w="1440"/>
            <w:vAlign w:val="center"/>
          </w:tcPr>
          <w:p>
            <w:pPr>
              <w:spacing w:line="240" w:lineRule="auto" w:before="40" w:after="40"/>
              <w:jc w:val="center"/>
            </w:pPr>
            <w:r/>
            <w:r>
              <w:rPr>
                <w:rFonts w:ascii="Times New Roman" w:hAnsi="Times New Roman"/>
                <w:b w:val="0"/>
                <w:sz w:val="20"/>
              </w:rPr>
              <w:t>0.1099</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7</w:t>
            </w:r>
          </w:p>
        </w:tc>
        <w:tc>
          <w:tcPr>
            <w:tcW w:type="dxa" w:w="3888"/>
            <w:vAlign w:val="center"/>
          </w:tcPr>
          <w:p>
            <w:pPr>
              <w:spacing w:line="240" w:lineRule="auto" w:before="40" w:after="40"/>
              <w:jc w:val="center"/>
            </w:pPr>
            <w:r/>
            <w:r>
              <w:rPr>
                <w:rFonts w:ascii="Times New Roman" w:hAnsi="Times New Roman"/>
                <w:b w:val="0"/>
                <w:sz w:val="20"/>
              </w:rPr>
              <w:t>RT_SCO_pct</w:t>
            </w:r>
          </w:p>
        </w:tc>
        <w:tc>
          <w:tcPr>
            <w:tcW w:type="dxa" w:w="1440"/>
            <w:vAlign w:val="center"/>
          </w:tcPr>
          <w:p>
            <w:pPr>
              <w:spacing w:line="240" w:lineRule="auto" w:before="40" w:after="40"/>
              <w:jc w:val="center"/>
            </w:pPr>
            <w:r/>
            <w:r>
              <w:rPr>
                <w:rFonts w:ascii="Times New Roman" w:hAnsi="Times New Roman"/>
                <w:b w:val="0"/>
                <w:sz w:val="20"/>
              </w:rPr>
              <w:t>0.0898</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8</w:t>
            </w:r>
          </w:p>
        </w:tc>
        <w:tc>
          <w:tcPr>
            <w:tcW w:type="dxa" w:w="3888"/>
            <w:vAlign w:val="center"/>
          </w:tcPr>
          <w:p>
            <w:pPr>
              <w:spacing w:line="240" w:lineRule="auto" w:before="40" w:after="40"/>
              <w:jc w:val="center"/>
            </w:pPr>
            <w:r/>
            <w:r>
              <w:rPr>
                <w:rFonts w:ascii="Times New Roman" w:hAnsi="Times New Roman"/>
                <w:b w:val="0"/>
                <w:sz w:val="20"/>
              </w:rPr>
              <w:t>RT_severity</w:t>
            </w:r>
          </w:p>
        </w:tc>
        <w:tc>
          <w:tcPr>
            <w:tcW w:type="dxa" w:w="1440"/>
            <w:vAlign w:val="center"/>
          </w:tcPr>
          <w:p>
            <w:pPr>
              <w:spacing w:line="240" w:lineRule="auto" w:before="40" w:after="40"/>
              <w:jc w:val="center"/>
            </w:pPr>
            <w:r/>
            <w:r>
              <w:rPr>
                <w:rFonts w:ascii="Times New Roman" w:hAnsi="Times New Roman"/>
                <w:b w:val="0"/>
                <w:sz w:val="20"/>
              </w:rPr>
              <w:t>0.0855</w:t>
            </w:r>
          </w:p>
        </w:tc>
        <w:tc>
          <w:tcPr>
            <w:tcW w:type="dxa" w:w="2448"/>
            <w:vAlign w:val="center"/>
          </w:tcPr>
          <w:p>
            <w:pPr>
              <w:spacing w:line="240" w:lineRule="auto" w:before="40" w:after="40"/>
              <w:jc w:val="center"/>
            </w:pPr>
            <w:r/>
            <w:r>
              <w:rPr>
                <w:rFonts w:ascii="Times New Roman" w:hAnsi="Times New Roman"/>
                <w:b w:val="0"/>
                <w:sz w:val="20"/>
              </w:rPr>
              <w:t>Pathology (engineered)</w:t>
            </w:r>
          </w:p>
        </w:tc>
      </w:tr>
      <w:tr>
        <w:tc>
          <w:tcPr>
            <w:tcW w:type="dxa" w:w="720"/>
            <w:vAlign w:val="center"/>
          </w:tcPr>
          <w:p>
            <w:pPr>
              <w:spacing w:line="240" w:lineRule="auto" w:before="40" w:after="40"/>
              <w:jc w:val="left"/>
            </w:pPr>
            <w:r/>
            <w:r>
              <w:rPr>
                <w:rFonts w:ascii="Times New Roman" w:hAnsi="Times New Roman"/>
                <w:b w:val="0"/>
                <w:sz w:val="20"/>
              </w:rPr>
              <w:t>9</w:t>
            </w:r>
          </w:p>
        </w:tc>
        <w:tc>
          <w:tcPr>
            <w:tcW w:type="dxa" w:w="3888"/>
            <w:vAlign w:val="center"/>
          </w:tcPr>
          <w:p>
            <w:pPr>
              <w:spacing w:line="240" w:lineRule="auto" w:before="40" w:after="40"/>
              <w:jc w:val="center"/>
            </w:pPr>
            <w:r/>
            <w:r>
              <w:rPr>
                <w:rFonts w:ascii="Times New Roman" w:hAnsi="Times New Roman"/>
                <w:b w:val="0"/>
                <w:sz w:val="20"/>
              </w:rPr>
              <w:t>RT_MA_Elongated_pct</w:t>
            </w:r>
          </w:p>
        </w:tc>
        <w:tc>
          <w:tcPr>
            <w:tcW w:type="dxa" w:w="1440"/>
            <w:vAlign w:val="center"/>
          </w:tcPr>
          <w:p>
            <w:pPr>
              <w:spacing w:line="240" w:lineRule="auto" w:before="40" w:after="40"/>
              <w:jc w:val="center"/>
            </w:pPr>
            <w:r/>
            <w:r>
              <w:rPr>
                <w:rFonts w:ascii="Times New Roman" w:hAnsi="Times New Roman"/>
                <w:b w:val="0"/>
                <w:sz w:val="20"/>
              </w:rPr>
              <w:t>0.0672</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10</w:t>
            </w:r>
          </w:p>
        </w:tc>
        <w:tc>
          <w:tcPr>
            <w:tcW w:type="dxa" w:w="3888"/>
            <w:vAlign w:val="center"/>
          </w:tcPr>
          <w:p>
            <w:pPr>
              <w:spacing w:line="240" w:lineRule="auto" w:before="40" w:after="40"/>
              <w:jc w:val="center"/>
            </w:pPr>
            <w:r/>
            <w:r>
              <w:rPr>
                <w:rFonts w:ascii="Times New Roman" w:hAnsi="Times New Roman"/>
                <w:b w:val="0"/>
                <w:sz w:val="20"/>
              </w:rPr>
              <w:t>Habits_(blank)</w:t>
            </w:r>
          </w:p>
        </w:tc>
        <w:tc>
          <w:tcPr>
            <w:tcW w:type="dxa" w:w="1440"/>
            <w:vAlign w:val="center"/>
          </w:tcPr>
          <w:p>
            <w:pPr>
              <w:spacing w:line="240" w:lineRule="auto" w:before="40" w:after="40"/>
              <w:jc w:val="center"/>
            </w:pPr>
            <w:r/>
            <w:r>
              <w:rPr>
                <w:rFonts w:ascii="Times New Roman" w:hAnsi="Times New Roman"/>
                <w:b w:val="0"/>
                <w:sz w:val="20"/>
              </w:rPr>
              <w:t>0.0663</w:t>
            </w:r>
          </w:p>
        </w:tc>
        <w:tc>
          <w:tcPr>
            <w:tcW w:type="dxa" w:w="2448"/>
            <w:vAlign w:val="center"/>
          </w:tcPr>
          <w:p>
            <w:pPr>
              <w:spacing w:line="240" w:lineRule="auto" w:before="40" w:after="40"/>
              <w:jc w:val="center"/>
            </w:pPr>
            <w:r/>
            <w:r>
              <w:rPr>
                <w:rFonts w:ascii="Times New Roman" w:hAnsi="Times New Roman"/>
                <w:b w:val="0"/>
                <w:sz w:val="20"/>
              </w:rPr>
              <w:t>Lifestyle</w:t>
            </w:r>
          </w:p>
        </w:tc>
      </w:tr>
      <w:tr>
        <w:tc>
          <w:tcPr>
            <w:tcW w:type="dxa" w:w="720"/>
            <w:vAlign w:val="center"/>
          </w:tcPr>
          <w:p>
            <w:pPr>
              <w:spacing w:line="240" w:lineRule="auto" w:before="40" w:after="40"/>
              <w:jc w:val="left"/>
            </w:pPr>
            <w:r/>
            <w:r>
              <w:rPr>
                <w:rFonts w:ascii="Times New Roman" w:hAnsi="Times New Roman"/>
                <w:b w:val="0"/>
                <w:sz w:val="20"/>
              </w:rPr>
              <w:t>11</w:t>
            </w:r>
          </w:p>
        </w:tc>
        <w:tc>
          <w:tcPr>
            <w:tcW w:type="dxa" w:w="3888"/>
            <w:vAlign w:val="center"/>
          </w:tcPr>
          <w:p>
            <w:pPr>
              <w:spacing w:line="240" w:lineRule="auto" w:before="40" w:after="40"/>
              <w:jc w:val="center"/>
            </w:pPr>
            <w:r/>
            <w:r>
              <w:rPr>
                <w:rFonts w:ascii="Times New Roman" w:hAnsi="Times New Roman"/>
                <w:b w:val="0"/>
                <w:sz w:val="20"/>
              </w:rPr>
              <w:t>Karyotype_Klinefelter</w:t>
            </w:r>
          </w:p>
        </w:tc>
        <w:tc>
          <w:tcPr>
            <w:tcW w:type="dxa" w:w="1440"/>
            <w:vAlign w:val="center"/>
          </w:tcPr>
          <w:p>
            <w:pPr>
              <w:spacing w:line="240" w:lineRule="auto" w:before="40" w:after="40"/>
              <w:jc w:val="center"/>
            </w:pPr>
            <w:r/>
            <w:r>
              <w:rPr>
                <w:rFonts w:ascii="Times New Roman" w:hAnsi="Times New Roman"/>
                <w:b w:val="0"/>
                <w:sz w:val="20"/>
              </w:rPr>
              <w:t>0.0612</w:t>
            </w:r>
          </w:p>
        </w:tc>
        <w:tc>
          <w:tcPr>
            <w:tcW w:type="dxa" w:w="2448"/>
            <w:vAlign w:val="center"/>
          </w:tcPr>
          <w:p>
            <w:pPr>
              <w:spacing w:line="240" w:lineRule="auto" w:before="40" w:after="40"/>
              <w:jc w:val="center"/>
            </w:pPr>
            <w:r/>
            <w:r>
              <w:rPr>
                <w:rFonts w:ascii="Times New Roman" w:hAnsi="Times New Roman"/>
                <w:b w:val="0"/>
                <w:sz w:val="20"/>
              </w:rPr>
              <w:t>Genetic</w:t>
            </w:r>
          </w:p>
        </w:tc>
      </w:tr>
      <w:tr>
        <w:tc>
          <w:tcPr>
            <w:tcW w:type="dxa" w:w="720"/>
            <w:vAlign w:val="center"/>
          </w:tcPr>
          <w:p>
            <w:pPr>
              <w:spacing w:line="240" w:lineRule="auto" w:before="40" w:after="40"/>
              <w:jc w:val="left"/>
            </w:pPr>
            <w:r/>
            <w:r>
              <w:rPr>
                <w:rFonts w:ascii="Times New Roman" w:hAnsi="Times New Roman"/>
                <w:b w:val="0"/>
                <w:sz w:val="20"/>
              </w:rPr>
              <w:t>12</w:t>
            </w:r>
          </w:p>
        </w:tc>
        <w:tc>
          <w:tcPr>
            <w:tcW w:type="dxa" w:w="3888"/>
            <w:vAlign w:val="center"/>
          </w:tcPr>
          <w:p>
            <w:pPr>
              <w:spacing w:line="240" w:lineRule="auto" w:before="40" w:after="40"/>
              <w:jc w:val="center"/>
            </w:pPr>
            <w:r/>
            <w:r>
              <w:rPr>
                <w:rFonts w:ascii="Times New Roman" w:hAnsi="Times New Roman"/>
                <w:b w:val="0"/>
                <w:sz w:val="20"/>
              </w:rPr>
              <w:t>LT_MA_Spermatocytic_pct</w:t>
            </w:r>
          </w:p>
        </w:tc>
        <w:tc>
          <w:tcPr>
            <w:tcW w:type="dxa" w:w="1440"/>
            <w:vAlign w:val="center"/>
          </w:tcPr>
          <w:p>
            <w:pPr>
              <w:spacing w:line="240" w:lineRule="auto" w:before="40" w:after="40"/>
              <w:jc w:val="center"/>
            </w:pPr>
            <w:r/>
            <w:r>
              <w:rPr>
                <w:rFonts w:ascii="Times New Roman" w:hAnsi="Times New Roman"/>
                <w:b w:val="0"/>
                <w:sz w:val="20"/>
              </w:rPr>
              <w:t>0.0606</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13</w:t>
            </w:r>
          </w:p>
        </w:tc>
        <w:tc>
          <w:tcPr>
            <w:tcW w:type="dxa" w:w="3888"/>
            <w:vAlign w:val="center"/>
          </w:tcPr>
          <w:p>
            <w:pPr>
              <w:spacing w:line="240" w:lineRule="auto" w:before="40" w:after="40"/>
              <w:jc w:val="center"/>
            </w:pPr>
            <w:r/>
            <w:r>
              <w:rPr>
                <w:rFonts w:ascii="Times New Roman" w:hAnsi="Times New Roman"/>
                <w:b w:val="0"/>
                <w:sz w:val="20"/>
              </w:rPr>
              <w:t>LT_Hypospermatogenesis_pct</w:t>
            </w:r>
          </w:p>
        </w:tc>
        <w:tc>
          <w:tcPr>
            <w:tcW w:type="dxa" w:w="1440"/>
            <w:vAlign w:val="center"/>
          </w:tcPr>
          <w:p>
            <w:pPr>
              <w:spacing w:line="240" w:lineRule="auto" w:before="40" w:after="40"/>
              <w:jc w:val="center"/>
            </w:pPr>
            <w:r/>
            <w:r>
              <w:rPr>
                <w:rFonts w:ascii="Times New Roman" w:hAnsi="Times New Roman"/>
                <w:b w:val="0"/>
                <w:sz w:val="20"/>
              </w:rPr>
              <w:t>0.0565</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14</w:t>
            </w:r>
          </w:p>
        </w:tc>
        <w:tc>
          <w:tcPr>
            <w:tcW w:type="dxa" w:w="3888"/>
            <w:vAlign w:val="center"/>
          </w:tcPr>
          <w:p>
            <w:pPr>
              <w:spacing w:line="240" w:lineRule="auto" w:before="40" w:after="40"/>
              <w:jc w:val="center"/>
            </w:pPr>
            <w:r/>
            <w:r>
              <w:rPr>
                <w:rFonts w:ascii="Times New Roman" w:hAnsi="Times New Roman"/>
                <w:b w:val="0"/>
                <w:sz w:val="20"/>
              </w:rPr>
              <w:t>Seminal plasma pH</w:t>
            </w:r>
          </w:p>
        </w:tc>
        <w:tc>
          <w:tcPr>
            <w:tcW w:type="dxa" w:w="1440"/>
            <w:vAlign w:val="center"/>
          </w:tcPr>
          <w:p>
            <w:pPr>
              <w:spacing w:line="240" w:lineRule="auto" w:before="40" w:after="40"/>
              <w:jc w:val="center"/>
            </w:pPr>
            <w:r/>
            <w:r>
              <w:rPr>
                <w:rFonts w:ascii="Times New Roman" w:hAnsi="Times New Roman"/>
                <w:b w:val="0"/>
                <w:sz w:val="20"/>
              </w:rPr>
              <w:t>0.0550</w:t>
            </w:r>
          </w:p>
        </w:tc>
        <w:tc>
          <w:tcPr>
            <w:tcW w:type="dxa" w:w="2448"/>
            <w:vAlign w:val="center"/>
          </w:tcPr>
          <w:p>
            <w:pPr>
              <w:spacing w:line="240" w:lineRule="auto" w:before="40" w:after="40"/>
              <w:jc w:val="center"/>
            </w:pPr>
            <w:r/>
            <w:r>
              <w:rPr>
                <w:rFonts w:ascii="Times New Roman" w:hAnsi="Times New Roman"/>
                <w:b w:val="0"/>
                <w:sz w:val="20"/>
              </w:rPr>
              <w:t>Semen</w:t>
            </w:r>
          </w:p>
        </w:tc>
      </w:tr>
      <w:tr>
        <w:tc>
          <w:tcPr>
            <w:tcW w:type="dxa" w:w="720"/>
            <w:vAlign w:val="center"/>
          </w:tcPr>
          <w:p>
            <w:pPr>
              <w:spacing w:line="240" w:lineRule="auto" w:before="40" w:after="40"/>
              <w:jc w:val="left"/>
            </w:pPr>
            <w:r/>
            <w:r>
              <w:rPr>
                <w:rFonts w:ascii="Times New Roman" w:hAnsi="Times New Roman"/>
                <w:b w:val="0"/>
                <w:sz w:val="20"/>
              </w:rPr>
              <w:t>15</w:t>
            </w:r>
          </w:p>
        </w:tc>
        <w:tc>
          <w:tcPr>
            <w:tcW w:type="dxa" w:w="3888"/>
            <w:vAlign w:val="center"/>
          </w:tcPr>
          <w:p>
            <w:pPr>
              <w:spacing w:line="240" w:lineRule="auto" w:before="40" w:after="40"/>
              <w:jc w:val="center"/>
            </w:pPr>
            <w:r/>
            <w:r>
              <w:rPr>
                <w:rFonts w:ascii="Times New Roman" w:hAnsi="Times New Roman"/>
                <w:b w:val="0"/>
                <w:sz w:val="20"/>
              </w:rPr>
              <w:t>RT_TestisSize_Sono_Vol</w:t>
            </w:r>
          </w:p>
        </w:tc>
        <w:tc>
          <w:tcPr>
            <w:tcW w:type="dxa" w:w="1440"/>
            <w:vAlign w:val="center"/>
          </w:tcPr>
          <w:p>
            <w:pPr>
              <w:spacing w:line="240" w:lineRule="auto" w:before="40" w:after="40"/>
              <w:jc w:val="center"/>
            </w:pPr>
            <w:r/>
            <w:r>
              <w:rPr>
                <w:rFonts w:ascii="Times New Roman" w:hAnsi="Times New Roman"/>
                <w:b w:val="0"/>
                <w:sz w:val="20"/>
              </w:rPr>
              <w:t>0.0501</w:t>
            </w:r>
          </w:p>
        </w:tc>
        <w:tc>
          <w:tcPr>
            <w:tcW w:type="dxa" w:w="2448"/>
            <w:vAlign w:val="center"/>
          </w:tcPr>
          <w:p>
            <w:pPr>
              <w:spacing w:line="240" w:lineRule="auto" w:before="40" w:after="40"/>
              <w:jc w:val="center"/>
            </w:pPr>
            <w:r/>
            <w:r>
              <w:rPr>
                <w:rFonts w:ascii="Times New Roman" w:hAnsi="Times New Roman"/>
                <w:b w:val="0"/>
                <w:sz w:val="20"/>
              </w:rPr>
              <w:t>Testicular</w:t>
            </w:r>
          </w:p>
        </w:tc>
      </w:tr>
      <w:tr>
        <w:tc>
          <w:tcPr>
            <w:tcW w:type="dxa" w:w="720"/>
            <w:vAlign w:val="center"/>
          </w:tcPr>
          <w:p>
            <w:pPr>
              <w:spacing w:line="240" w:lineRule="auto" w:before="40" w:after="40"/>
              <w:jc w:val="left"/>
            </w:pPr>
            <w:r/>
            <w:r>
              <w:rPr>
                <w:rFonts w:ascii="Times New Roman" w:hAnsi="Times New Roman"/>
                <w:b w:val="0"/>
                <w:sz w:val="20"/>
              </w:rPr>
              <w:t>16</w:t>
            </w:r>
          </w:p>
        </w:tc>
        <w:tc>
          <w:tcPr>
            <w:tcW w:type="dxa" w:w="3888"/>
            <w:vAlign w:val="center"/>
          </w:tcPr>
          <w:p>
            <w:pPr>
              <w:spacing w:line="240" w:lineRule="auto" w:before="40" w:after="40"/>
              <w:jc w:val="center"/>
            </w:pPr>
            <w:r/>
            <w:r>
              <w:rPr>
                <w:rFonts w:ascii="Times New Roman" w:hAnsi="Times New Roman"/>
                <w:b w:val="0"/>
                <w:sz w:val="20"/>
              </w:rPr>
              <w:t>RT_CSTH_pct</w:t>
            </w:r>
          </w:p>
        </w:tc>
        <w:tc>
          <w:tcPr>
            <w:tcW w:type="dxa" w:w="1440"/>
            <w:vAlign w:val="center"/>
          </w:tcPr>
          <w:p>
            <w:pPr>
              <w:spacing w:line="240" w:lineRule="auto" w:before="40" w:after="40"/>
              <w:jc w:val="center"/>
            </w:pPr>
            <w:r/>
            <w:r>
              <w:rPr>
                <w:rFonts w:ascii="Times New Roman" w:hAnsi="Times New Roman"/>
                <w:b w:val="0"/>
                <w:sz w:val="20"/>
              </w:rPr>
              <w:t>0.0308</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17</w:t>
            </w:r>
          </w:p>
        </w:tc>
        <w:tc>
          <w:tcPr>
            <w:tcW w:type="dxa" w:w="3888"/>
            <w:vAlign w:val="center"/>
          </w:tcPr>
          <w:p>
            <w:pPr>
              <w:spacing w:line="240" w:lineRule="auto" w:before="40" w:after="40"/>
              <w:jc w:val="center"/>
            </w:pPr>
            <w:r/>
            <w:r>
              <w:rPr>
                <w:rFonts w:ascii="Times New Roman" w:hAnsi="Times New Roman"/>
                <w:b w:val="0"/>
                <w:sz w:val="20"/>
              </w:rPr>
              <w:t>Sakamoto-RT/mL</w:t>
            </w:r>
          </w:p>
        </w:tc>
        <w:tc>
          <w:tcPr>
            <w:tcW w:type="dxa" w:w="1440"/>
            <w:vAlign w:val="center"/>
          </w:tcPr>
          <w:p>
            <w:pPr>
              <w:spacing w:line="240" w:lineRule="auto" w:before="40" w:after="40"/>
              <w:jc w:val="center"/>
            </w:pPr>
            <w:r/>
            <w:r>
              <w:rPr>
                <w:rFonts w:ascii="Times New Roman" w:hAnsi="Times New Roman"/>
                <w:b w:val="0"/>
                <w:sz w:val="20"/>
              </w:rPr>
              <w:t>0.0268</w:t>
            </w:r>
          </w:p>
        </w:tc>
        <w:tc>
          <w:tcPr>
            <w:tcW w:type="dxa" w:w="2448"/>
            <w:vAlign w:val="center"/>
          </w:tcPr>
          <w:p>
            <w:pPr>
              <w:spacing w:line="240" w:lineRule="auto" w:before="40" w:after="40"/>
              <w:jc w:val="center"/>
            </w:pPr>
            <w:r/>
            <w:r>
              <w:rPr>
                <w:rFonts w:ascii="Times New Roman" w:hAnsi="Times New Roman"/>
                <w:b w:val="0"/>
                <w:sz w:val="20"/>
              </w:rPr>
              <w:t>Testicular</w:t>
            </w:r>
          </w:p>
        </w:tc>
      </w:tr>
      <w:tr>
        <w:tc>
          <w:tcPr>
            <w:tcW w:type="dxa" w:w="720"/>
            <w:vAlign w:val="center"/>
          </w:tcPr>
          <w:p>
            <w:pPr>
              <w:spacing w:line="240" w:lineRule="auto" w:before="40" w:after="40"/>
              <w:jc w:val="left"/>
            </w:pPr>
            <w:r/>
            <w:r>
              <w:rPr>
                <w:rFonts w:ascii="Times New Roman" w:hAnsi="Times New Roman"/>
                <w:b w:val="0"/>
                <w:sz w:val="20"/>
              </w:rPr>
              <w:t>18</w:t>
            </w:r>
          </w:p>
        </w:tc>
        <w:tc>
          <w:tcPr>
            <w:tcW w:type="dxa" w:w="3888"/>
            <w:vAlign w:val="center"/>
          </w:tcPr>
          <w:p>
            <w:pPr>
              <w:spacing w:line="240" w:lineRule="auto" w:before="40" w:after="40"/>
              <w:jc w:val="center"/>
            </w:pPr>
            <w:r/>
            <w:r>
              <w:rPr>
                <w:rFonts w:ascii="Times New Roman" w:hAnsi="Times New Roman"/>
                <w:b w:val="0"/>
                <w:sz w:val="20"/>
              </w:rPr>
              <w:t>LT_TestisSize_Sono_Vol</w:t>
            </w:r>
          </w:p>
        </w:tc>
        <w:tc>
          <w:tcPr>
            <w:tcW w:type="dxa" w:w="1440"/>
            <w:vAlign w:val="center"/>
          </w:tcPr>
          <w:p>
            <w:pPr>
              <w:spacing w:line="240" w:lineRule="auto" w:before="40" w:after="40"/>
              <w:jc w:val="center"/>
            </w:pPr>
            <w:r/>
            <w:r>
              <w:rPr>
                <w:rFonts w:ascii="Times New Roman" w:hAnsi="Times New Roman"/>
                <w:b w:val="0"/>
                <w:sz w:val="20"/>
              </w:rPr>
              <w:t>0.0205</w:t>
            </w:r>
          </w:p>
        </w:tc>
        <w:tc>
          <w:tcPr>
            <w:tcW w:type="dxa" w:w="2448"/>
            <w:vAlign w:val="center"/>
          </w:tcPr>
          <w:p>
            <w:pPr>
              <w:spacing w:line="240" w:lineRule="auto" w:before="40" w:after="40"/>
              <w:jc w:val="center"/>
            </w:pPr>
            <w:r/>
            <w:r>
              <w:rPr>
                <w:rFonts w:ascii="Times New Roman" w:hAnsi="Times New Roman"/>
                <w:b w:val="0"/>
                <w:sz w:val="20"/>
              </w:rPr>
              <w:t>Testicular</w:t>
            </w:r>
          </w:p>
        </w:tc>
      </w:tr>
      <w:tr>
        <w:tc>
          <w:tcPr>
            <w:tcW w:type="dxa" w:w="720"/>
            <w:vAlign w:val="center"/>
          </w:tcPr>
          <w:p>
            <w:pPr>
              <w:spacing w:line="240" w:lineRule="auto" w:before="40" w:after="40"/>
              <w:jc w:val="left"/>
            </w:pPr>
            <w:r/>
            <w:r>
              <w:rPr>
                <w:rFonts w:ascii="Times New Roman" w:hAnsi="Times New Roman"/>
                <w:b w:val="0"/>
                <w:sz w:val="20"/>
              </w:rPr>
              <w:t>19</w:t>
            </w:r>
          </w:p>
        </w:tc>
        <w:tc>
          <w:tcPr>
            <w:tcW w:type="dxa" w:w="3888"/>
            <w:vAlign w:val="center"/>
          </w:tcPr>
          <w:p>
            <w:pPr>
              <w:spacing w:line="240" w:lineRule="auto" w:before="40" w:after="40"/>
              <w:jc w:val="center"/>
            </w:pPr>
            <w:r/>
            <w:r>
              <w:rPr>
                <w:rFonts w:ascii="Times New Roman" w:hAnsi="Times New Roman"/>
                <w:b w:val="0"/>
                <w:sz w:val="20"/>
              </w:rPr>
              <w:t>RT_MA_Spermatogonial_pct</w:t>
            </w:r>
          </w:p>
        </w:tc>
        <w:tc>
          <w:tcPr>
            <w:tcW w:type="dxa" w:w="1440"/>
            <w:vAlign w:val="center"/>
          </w:tcPr>
          <w:p>
            <w:pPr>
              <w:spacing w:line="240" w:lineRule="auto" w:before="40" w:after="40"/>
              <w:jc w:val="center"/>
            </w:pPr>
            <w:r/>
            <w:r>
              <w:rPr>
                <w:rFonts w:ascii="Times New Roman" w:hAnsi="Times New Roman"/>
                <w:b w:val="0"/>
                <w:sz w:val="20"/>
              </w:rPr>
              <w:t>0.0188</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20</w:t>
            </w:r>
          </w:p>
        </w:tc>
        <w:tc>
          <w:tcPr>
            <w:tcW w:type="dxa" w:w="3888"/>
            <w:vAlign w:val="center"/>
          </w:tcPr>
          <w:p>
            <w:pPr>
              <w:spacing w:line="240" w:lineRule="auto" w:before="40" w:after="40"/>
              <w:jc w:val="center"/>
            </w:pPr>
            <w:r/>
            <w:r>
              <w:rPr>
                <w:rFonts w:ascii="Times New Roman" w:hAnsi="Times New Roman"/>
                <w:b w:val="0"/>
                <w:sz w:val="20"/>
              </w:rPr>
              <w:t>FSH</w:t>
            </w:r>
          </w:p>
        </w:tc>
        <w:tc>
          <w:tcPr>
            <w:tcW w:type="dxa" w:w="1440"/>
            <w:vAlign w:val="center"/>
          </w:tcPr>
          <w:p>
            <w:pPr>
              <w:spacing w:line="240" w:lineRule="auto" w:before="40" w:after="40"/>
              <w:jc w:val="center"/>
            </w:pPr>
            <w:r/>
            <w:r>
              <w:rPr>
                <w:rFonts w:ascii="Times New Roman" w:hAnsi="Times New Roman"/>
                <w:b w:val="0"/>
                <w:sz w:val="20"/>
              </w:rPr>
              <w:t>0.0180</w:t>
            </w:r>
          </w:p>
        </w:tc>
        <w:tc>
          <w:tcPr>
            <w:tcW w:type="dxa" w:w="2448"/>
            <w:vAlign w:val="center"/>
          </w:tcPr>
          <w:p>
            <w:pPr>
              <w:spacing w:line="240" w:lineRule="auto" w:before="40" w:after="40"/>
              <w:jc w:val="center"/>
            </w:pPr>
            <w:r/>
            <w:r>
              <w:rPr>
                <w:rFonts w:ascii="Times New Roman" w:hAnsi="Times New Roman"/>
                <w:b w:val="0"/>
                <w:sz w:val="20"/>
              </w:rPr>
              <w:t>Hormonal</w:t>
            </w:r>
          </w:p>
        </w:tc>
      </w:tr>
      <w:tr>
        <w:tc>
          <w:tcPr>
            <w:tcW w:type="dxa" w:w="720"/>
            <w:vAlign w:val="center"/>
          </w:tcPr>
          <w:p>
            <w:pPr>
              <w:spacing w:line="240" w:lineRule="auto" w:before="40" w:after="40"/>
              <w:jc w:val="left"/>
            </w:pPr>
            <w:r/>
            <w:r>
              <w:rPr>
                <w:rFonts w:ascii="Times New Roman" w:hAnsi="Times New Roman"/>
                <w:b w:val="0"/>
                <w:sz w:val="20"/>
              </w:rPr>
              <w:t>21</w:t>
            </w:r>
          </w:p>
        </w:tc>
        <w:tc>
          <w:tcPr>
            <w:tcW w:type="dxa" w:w="3888"/>
            <w:vAlign w:val="center"/>
          </w:tcPr>
          <w:p>
            <w:pPr>
              <w:spacing w:line="240" w:lineRule="auto" w:before="40" w:after="40"/>
              <w:jc w:val="center"/>
            </w:pPr>
            <w:r/>
            <w:r>
              <w:rPr>
                <w:rFonts w:ascii="Times New Roman" w:hAnsi="Times New Roman"/>
                <w:b w:val="0"/>
                <w:sz w:val="20"/>
              </w:rPr>
              <w:t>LT_MA_Spermatogonial_pct</w:t>
            </w:r>
          </w:p>
        </w:tc>
        <w:tc>
          <w:tcPr>
            <w:tcW w:type="dxa" w:w="1440"/>
            <w:vAlign w:val="center"/>
          </w:tcPr>
          <w:p>
            <w:pPr>
              <w:spacing w:line="240" w:lineRule="auto" w:before="40" w:after="40"/>
              <w:jc w:val="center"/>
            </w:pPr>
            <w:r/>
            <w:r>
              <w:rPr>
                <w:rFonts w:ascii="Times New Roman" w:hAnsi="Times New Roman"/>
                <w:b w:val="0"/>
                <w:sz w:val="20"/>
              </w:rPr>
              <w:t>0.0173</w:t>
            </w:r>
          </w:p>
        </w:tc>
        <w:tc>
          <w:tcPr>
            <w:tcW w:type="dxa" w:w="2448"/>
            <w:vAlign w:val="center"/>
          </w:tcPr>
          <w:p>
            <w:pPr>
              <w:spacing w:line="240" w:lineRule="auto" w:before="40" w:after="40"/>
              <w:jc w:val="center"/>
            </w:pPr>
            <w:r/>
            <w:r>
              <w:rPr>
                <w:rFonts w:ascii="Times New Roman" w:hAnsi="Times New Roman"/>
                <w:b w:val="0"/>
                <w:sz w:val="20"/>
              </w:rPr>
              <w:t>Pathology</w:t>
            </w:r>
          </w:p>
        </w:tc>
      </w:tr>
      <w:tr>
        <w:tc>
          <w:tcPr>
            <w:tcW w:type="dxa" w:w="720"/>
            <w:vAlign w:val="center"/>
          </w:tcPr>
          <w:p>
            <w:pPr>
              <w:spacing w:line="240" w:lineRule="auto" w:before="40" w:after="40"/>
              <w:jc w:val="left"/>
            </w:pPr>
            <w:r/>
            <w:r>
              <w:rPr>
                <w:rFonts w:ascii="Times New Roman" w:hAnsi="Times New Roman"/>
                <w:b w:val="0"/>
                <w:sz w:val="20"/>
              </w:rPr>
              <w:t>22</w:t>
            </w:r>
          </w:p>
        </w:tc>
        <w:tc>
          <w:tcPr>
            <w:tcW w:type="dxa" w:w="3888"/>
            <w:vAlign w:val="center"/>
          </w:tcPr>
          <w:p>
            <w:pPr>
              <w:spacing w:line="240" w:lineRule="auto" w:before="40" w:after="40"/>
              <w:jc w:val="center"/>
            </w:pPr>
            <w:r/>
            <w:r>
              <w:rPr>
                <w:rFonts w:ascii="Times New Roman" w:hAnsi="Times New Roman"/>
                <w:b w:val="0"/>
                <w:sz w:val="20"/>
              </w:rPr>
              <w:t>Sakamoto-LT/mL</w:t>
            </w:r>
          </w:p>
        </w:tc>
        <w:tc>
          <w:tcPr>
            <w:tcW w:type="dxa" w:w="1440"/>
            <w:vAlign w:val="center"/>
          </w:tcPr>
          <w:p>
            <w:pPr>
              <w:spacing w:line="240" w:lineRule="auto" w:before="40" w:after="40"/>
              <w:jc w:val="center"/>
            </w:pPr>
            <w:r/>
            <w:r>
              <w:rPr>
                <w:rFonts w:ascii="Times New Roman" w:hAnsi="Times New Roman"/>
                <w:b w:val="0"/>
                <w:sz w:val="20"/>
              </w:rPr>
              <w:t>0.0172</w:t>
            </w:r>
          </w:p>
        </w:tc>
        <w:tc>
          <w:tcPr>
            <w:tcW w:type="dxa" w:w="2448"/>
            <w:vAlign w:val="center"/>
          </w:tcPr>
          <w:p>
            <w:pPr>
              <w:spacing w:line="240" w:lineRule="auto" w:before="40" w:after="40"/>
              <w:jc w:val="center"/>
            </w:pPr>
            <w:r/>
            <w:r>
              <w:rPr>
                <w:rFonts w:ascii="Times New Roman" w:hAnsi="Times New Roman"/>
                <w:b w:val="0"/>
                <w:sz w:val="20"/>
              </w:rPr>
              <w:t>Testicular</w:t>
            </w:r>
          </w:p>
        </w:tc>
      </w:tr>
      <w:tr>
        <w:tc>
          <w:tcPr>
            <w:tcW w:type="dxa" w:w="720"/>
            <w:vAlign w:val="center"/>
          </w:tcPr>
          <w:p>
            <w:pPr>
              <w:spacing w:line="240" w:lineRule="auto" w:before="40" w:after="40"/>
              <w:jc w:val="left"/>
            </w:pPr>
            <w:r/>
            <w:r>
              <w:rPr>
                <w:rFonts w:ascii="Times New Roman" w:hAnsi="Times New Roman"/>
                <w:b w:val="0"/>
                <w:sz w:val="20"/>
              </w:rPr>
              <w:t>23</w:t>
            </w:r>
          </w:p>
        </w:tc>
        <w:tc>
          <w:tcPr>
            <w:tcW w:type="dxa" w:w="3888"/>
            <w:vAlign w:val="center"/>
          </w:tcPr>
          <w:p>
            <w:pPr>
              <w:spacing w:line="240" w:lineRule="auto" w:before="40" w:after="40"/>
              <w:jc w:val="center"/>
            </w:pPr>
            <w:r/>
            <w:r>
              <w:rPr>
                <w:rFonts w:ascii="Times New Roman" w:hAnsi="Times New Roman"/>
                <w:b w:val="0"/>
                <w:sz w:val="20"/>
              </w:rPr>
              <w:t>Prolactin</w:t>
            </w:r>
          </w:p>
        </w:tc>
        <w:tc>
          <w:tcPr>
            <w:tcW w:type="dxa" w:w="1440"/>
            <w:vAlign w:val="center"/>
          </w:tcPr>
          <w:p>
            <w:pPr>
              <w:spacing w:line="240" w:lineRule="auto" w:before="40" w:after="40"/>
              <w:jc w:val="center"/>
            </w:pPr>
            <w:r/>
            <w:r>
              <w:rPr>
                <w:rFonts w:ascii="Times New Roman" w:hAnsi="Times New Roman"/>
                <w:b w:val="0"/>
                <w:sz w:val="20"/>
              </w:rPr>
              <w:t>0.0164</w:t>
            </w:r>
          </w:p>
        </w:tc>
        <w:tc>
          <w:tcPr>
            <w:tcW w:type="dxa" w:w="2448"/>
            <w:vAlign w:val="center"/>
          </w:tcPr>
          <w:p>
            <w:pPr>
              <w:spacing w:line="240" w:lineRule="auto" w:before="40" w:after="40"/>
              <w:jc w:val="center"/>
            </w:pPr>
            <w:r/>
            <w:r>
              <w:rPr>
                <w:rFonts w:ascii="Times New Roman" w:hAnsi="Times New Roman"/>
                <w:b w:val="0"/>
                <w:sz w:val="20"/>
              </w:rPr>
              <w:t>Hormonal</w:t>
            </w:r>
          </w:p>
        </w:tc>
      </w:tr>
      <w:tr>
        <w:tc>
          <w:tcPr>
            <w:tcW w:type="dxa" w:w="720"/>
            <w:vAlign w:val="center"/>
          </w:tcPr>
          <w:p>
            <w:pPr>
              <w:spacing w:line="240" w:lineRule="auto" w:before="40" w:after="40"/>
              <w:jc w:val="left"/>
            </w:pPr>
            <w:r/>
            <w:r>
              <w:rPr>
                <w:rFonts w:ascii="Times New Roman" w:hAnsi="Times New Roman"/>
                <w:b w:val="0"/>
                <w:sz w:val="20"/>
              </w:rPr>
              <w:t>24</w:t>
            </w:r>
          </w:p>
        </w:tc>
        <w:tc>
          <w:tcPr>
            <w:tcW w:type="dxa" w:w="3888"/>
            <w:vAlign w:val="center"/>
          </w:tcPr>
          <w:p>
            <w:pPr>
              <w:spacing w:line="240" w:lineRule="auto" w:before="40" w:after="40"/>
              <w:jc w:val="center"/>
            </w:pPr>
            <w:r/>
            <w:r>
              <w:rPr>
                <w:rFonts w:ascii="Times New Roman" w:hAnsi="Times New Roman"/>
                <w:b w:val="0"/>
                <w:sz w:val="20"/>
              </w:rPr>
              <w:t>Partner Age</w:t>
            </w:r>
          </w:p>
        </w:tc>
        <w:tc>
          <w:tcPr>
            <w:tcW w:type="dxa" w:w="1440"/>
            <w:vAlign w:val="center"/>
          </w:tcPr>
          <w:p>
            <w:pPr>
              <w:spacing w:line="240" w:lineRule="auto" w:before="40" w:after="40"/>
              <w:jc w:val="center"/>
            </w:pPr>
            <w:r/>
            <w:r>
              <w:rPr>
                <w:rFonts w:ascii="Times New Roman" w:hAnsi="Times New Roman"/>
                <w:b w:val="0"/>
                <w:sz w:val="20"/>
              </w:rPr>
              <w:t>0.0161</w:t>
            </w:r>
          </w:p>
        </w:tc>
        <w:tc>
          <w:tcPr>
            <w:tcW w:type="dxa" w:w="2448"/>
            <w:vAlign w:val="center"/>
          </w:tcPr>
          <w:p>
            <w:pPr>
              <w:spacing w:line="240" w:lineRule="auto" w:before="40" w:after="40"/>
              <w:jc w:val="center"/>
            </w:pPr>
            <w:r/>
            <w:r>
              <w:rPr>
                <w:rFonts w:ascii="Times New Roman" w:hAnsi="Times New Roman"/>
                <w:b w:val="0"/>
                <w:sz w:val="20"/>
              </w:rPr>
              <w:t>Demographic</w:t>
            </w:r>
          </w:p>
        </w:tc>
      </w:tr>
      <w:tr>
        <w:tc>
          <w:tcPr>
            <w:tcW w:type="dxa" w:w="720"/>
            <w:vAlign w:val="center"/>
          </w:tcPr>
          <w:p>
            <w:pPr>
              <w:spacing w:line="240" w:lineRule="auto" w:before="40" w:after="40"/>
              <w:jc w:val="left"/>
            </w:pPr>
            <w:r/>
            <w:r>
              <w:rPr>
                <w:rFonts w:ascii="Times New Roman" w:hAnsi="Times New Roman"/>
                <w:b w:val="0"/>
                <w:sz w:val="20"/>
              </w:rPr>
              <w:t>25</w:t>
            </w:r>
          </w:p>
        </w:tc>
        <w:tc>
          <w:tcPr>
            <w:tcW w:type="dxa" w:w="3888"/>
            <w:vAlign w:val="center"/>
          </w:tcPr>
          <w:p>
            <w:pPr>
              <w:spacing w:line="240" w:lineRule="auto" w:before="40" w:after="40"/>
              <w:jc w:val="center"/>
            </w:pPr>
            <w:r/>
            <w:r>
              <w:rPr>
                <w:rFonts w:ascii="Times New Roman" w:hAnsi="Times New Roman"/>
                <w:b w:val="0"/>
                <w:sz w:val="20"/>
              </w:rPr>
              <w:t>LT_Volume_Unified</w:t>
            </w:r>
          </w:p>
        </w:tc>
        <w:tc>
          <w:tcPr>
            <w:tcW w:type="dxa" w:w="1440"/>
            <w:vAlign w:val="center"/>
          </w:tcPr>
          <w:p>
            <w:pPr>
              <w:spacing w:line="240" w:lineRule="auto" w:before="40" w:after="40"/>
              <w:jc w:val="center"/>
            </w:pPr>
            <w:r/>
            <w:r>
              <w:rPr>
                <w:rFonts w:ascii="Times New Roman" w:hAnsi="Times New Roman"/>
                <w:b w:val="0"/>
                <w:sz w:val="20"/>
              </w:rPr>
              <w:t>0.0152</w:t>
            </w:r>
          </w:p>
        </w:tc>
        <w:tc>
          <w:tcPr>
            <w:tcW w:type="dxa" w:w="2448"/>
            <w:vAlign w:val="center"/>
          </w:tcPr>
          <w:p>
            <w:pPr>
              <w:spacing w:line="240" w:lineRule="auto" w:before="40" w:after="40"/>
              <w:jc w:val="center"/>
            </w:pPr>
            <w:r/>
            <w:r>
              <w:rPr>
                <w:rFonts w:ascii="Times New Roman" w:hAnsi="Times New Roman"/>
                <w:b w:val="0"/>
                <w:sz w:val="20"/>
              </w:rPr>
              <w:t>Testicular</w:t>
            </w:r>
          </w:p>
        </w:tc>
      </w:tr>
    </w:tbl>
    <w:p>
      <w:pPr>
        <w:spacing w:line="480" w:lineRule="auto" w:before="120"/>
      </w:pPr>
      <w:r>
        <w:rPr>
          <w:rFonts w:ascii="Times New Roman" w:hAnsi="Times New Roman"/>
          <w:b w:val="0"/>
          <w:i/>
          <w:sz w:val="20"/>
        </w:rPr>
        <w:t>SHAP values computed on full-dataset refit of CatBoost with representative hyperparameters from nested CV fold 2 (depth=6, iterations=657, learning_rate=0.006171, l2_leaf_reg=3.508).</w:t>
      </w:r>
    </w:p>
    <w:p>
      <w:pPr>
        <w:pStyle w:val="Heading2"/>
      </w:pPr>
      <w:r>
        <w:rPr>
          <w:rFonts w:ascii="Times New Roman" w:hAnsi="Times New Roman"/>
          <w:color w:val="000000"/>
        </w:rPr>
        <w:t>3.7 Independent Verification</w:t>
      </w:r>
    </w:p>
    <w:p>
      <w:pPr>
        <w:spacing w:line="480" w:lineRule="auto"/>
        <w:ind w:firstLine="720"/>
      </w:pPr>
      <w:r>
        <w:rPr>
          <w:rFonts w:ascii="Times New Roman" w:hAnsi="Times New Roman"/>
          <w:b w:val="0"/>
          <w:i w:val="0"/>
          <w:sz w:val="24"/>
        </w:rPr>
        <w:t>The complete v2 pipeline results were independently verified through a separate re-execution of the CatBoost 5×5 nested cross-validation protocol. Independent verification confirmed exact reproduction of all per-fold metrics to at least four decimal places, including: mean outer-CV AUC (0.8306), bootstrap 95% CI (0.8130–0.8462), representative hyperparameters (depth = 6, iterations = 657, learning_rate = 0.006171, l2_leaf_reg = 3.508), and SHAP rank ordering with RT_Severe_Hypospermatogenesis_pct confirmed as the top feature (mean |SHAP| = 0.3958). All nine critical issues identified in the v1 audit were confirmed as resolved in the v2 implementation. The total runtime for the independent verification was 1,589 seconds (26.5 minutes) on a 32-CPU compute environment.</w:t>
      </w:r>
    </w:p>
    <w:p>
      <w:r>
        <w:br w:type="page"/>
      </w:r>
    </w:p>
    <w:p>
      <w:pPr>
        <w:pStyle w:val="Heading1"/>
      </w:pPr>
      <w:r>
        <w:rPr>
          <w:rFonts w:ascii="Times New Roman" w:hAnsi="Times New Roman"/>
          <w:color w:val="000000"/>
        </w:rPr>
        <w:t>4. DISCUSSION</w:t>
      </w:r>
    </w:p>
    <w:p>
      <w:pPr>
        <w:spacing w:line="480" w:lineRule="auto"/>
        <w:ind w:firstLine="720"/>
      </w:pPr>
      <w:r>
        <w:rPr>
          <w:rFonts w:ascii="Times New Roman" w:hAnsi="Times New Roman"/>
          <w:b w:val="0"/>
          <w:i w:val="0"/>
          <w:sz w:val="24"/>
        </w:rPr>
        <w:t>This study presents the first systematic comparison of encoding strategies for histopathological features in ML-based prediction of sperm retrieval outcomes following micro-TESE for NOA. Our principal findings demonstrate that: (1) the choice of encoding strategy substantially impacts predictive performance, with a ΔAUC of 0.108 between the best and worst strategies within the same classifier; (2) the ordinal_detailed_plus_raw encoding, which combines per-testis severity scores with granular raw percentage features, consistently outperformed all alternatives; (3) pathology features dominate predictions, contributing an incremental ΔAUC of +0.27 over clinical features alone; and (4) systematic quality assurance of preprocessing pipelines is essential, as a common outlier detection technique inadvertently destroyed the predictive signal from sparse histopathological features.</w:t>
      </w:r>
    </w:p>
    <w:p>
      <w:pPr>
        <w:spacing w:line="480" w:lineRule="auto"/>
        <w:ind w:firstLine="720"/>
      </w:pPr>
      <w:r>
        <w:rPr>
          <w:rFonts w:ascii="Times New Roman" w:hAnsi="Times New Roman"/>
          <w:b w:val="0"/>
          <w:i w:val="0"/>
          <w:sz w:val="24"/>
        </w:rPr>
        <w:t>The overall predictive performance of our best model (CatBoost, AUC = 0.8306) compares favorably with the existing literature. Zeadna et al. [16] reported AUC = 0.807 using gradient boosting in 119 patients undergoing conventional TESE, though the smaller sample size and different surgical technique limit direct comparison. Bachelot et al. [17] achieved AUC = 0.900 with Random Forest in 201 patients, but their reported performance was based on a prospective test set of only 26 patients, raising concerns about estimate stability. Kobayashi et al. [19] used AutoML with 430 patients and reported AUC = 0.725 on a 20-patient external test set. Liu et al. [36] reported AUC = 0.781 in 217 patients using integrative logistic regression. Our study’s cohort of 2,413 patients represents, to our knowledge, the largest ML-focused NOA micro-TESE prediction study to date, and the rigorous 5×5 nested CV framework with 50-iteration Bayesian search provides more robust performance estimates than the hold-out or simple cross-validation designs employed in most prior work.</w:t>
      </w:r>
    </w:p>
    <w:p>
      <w:pPr>
        <w:spacing w:line="480" w:lineRule="auto"/>
        <w:ind w:firstLine="720"/>
      </w:pPr>
      <w:r>
        <w:rPr>
          <w:rFonts w:ascii="Times New Roman" w:hAnsi="Times New Roman"/>
          <w:b w:val="0"/>
          <w:i w:val="0"/>
          <w:sz w:val="24"/>
        </w:rPr>
        <w:t>The superiority of the ordinal_detailed_plus_raw encoding provides important insights into the information requirements for pathology-based prediction. Encodings that aggregated bilateral pathology into single or dual summary scores (ordinal_detailed, ordinal_simplified, ordinal_detailed_avg, ordinal_detailed_worst) consistently underperformed, with AUCs ranging from 0.7129 to 0.7502. This indicates that while clinically-motivated severity weighting captures useful information, it discards component-level patterns essential for prediction. Conversely, raw percentage encodings alone (raw_pct_minmax, raw_pct_robust) performed well (AUC = 0.8194) but were marginally outperformed by the combined encoding, suggesting that the severity score provides complementary aggregated information that aids model learning. The dominant_pattern encoding (AUC = 0.7346) performed poorly, confirming that reducing complex multi-component biopsies to a single predominant pattern sacrifices too much information.</w:t>
      </w:r>
    </w:p>
    <w:p>
      <w:pPr>
        <w:spacing w:line="480" w:lineRule="auto"/>
        <w:ind w:firstLine="720"/>
      </w:pPr>
      <w:r>
        <w:rPr>
          <w:rFonts w:ascii="Times New Roman" w:hAnsi="Times New Roman"/>
          <w:b w:val="0"/>
          <w:i w:val="0"/>
          <w:sz w:val="24"/>
        </w:rPr>
        <w:t>The finding that 17 of 25 top SHAP features are pathology-derived, and that the clinical-only baseline achieves near-chance AUC (0.5642), has important implications for both ML model design and clinical practice. It suggests that studies excluding histopathological data or treating it as a minor auxiliary feature are fundamentally limited in their achievable predictive performance. The dominance of hypospermatogenesis features (ranks 1–3) is biologically plausible: even severely reduced spermatogenesis indicates the presence of viable spermatogenic foci that micro-TESE is specifically designed to identify and harvest under optical magnification [4,37]. Conversely, SCO histology (ranks 6–7) provides strong negative prognostic signal, consistent with the absence of germ cells in affected tubules [38].</w:t>
      </w:r>
    </w:p>
    <w:p>
      <w:pPr>
        <w:spacing w:line="480" w:lineRule="auto"/>
        <w:ind w:firstLine="720"/>
      </w:pPr>
      <w:r>
        <w:rPr>
          <w:rFonts w:ascii="Times New Roman" w:hAnsi="Times New Roman"/>
          <w:b w:val="0"/>
          <w:i w:val="0"/>
          <w:sz w:val="24"/>
        </w:rPr>
        <w:t>The relatively low ranking of hormonal features (FSH at rank 20, prolactin at rank 23) deserves commentary. While elevated FSH has traditionally been considered a marker of spermatogenic failure and is widely used in clinical decision-making [11], our SHAP analysis suggests that its independent predictive contribution, conditional on pathology features, is modest. This is consistent with the biological relationship: FSH elevation is a consequence of spermatogenic failure detected by the hypothalamic-pituitary-gonadal feedback axis, and thus serves as an indirect surrogate for the histopathological state that is directly measured by biopsy [39]. When the more informative direct measurement (pathology) is available, the indirect surrogate (FSH) adds limited incremental value.</w:t>
      </w:r>
    </w:p>
    <w:p>
      <w:pPr>
        <w:spacing w:line="480" w:lineRule="auto"/>
        <w:ind w:firstLine="720"/>
      </w:pPr>
      <w:r>
        <w:rPr>
          <w:rFonts w:ascii="Times New Roman" w:hAnsi="Times New Roman"/>
          <w:b w:val="0"/>
          <w:i w:val="0"/>
          <w:sz w:val="24"/>
        </w:rPr>
        <w:t>The IQR clipper artifact represents a cautionary tale for medical ML pipeline development. The interquartile range-based outlier detection method is widely recommended and implemented in general-purpose ML workflows [40]. However, its application to zero-inflated sparse features—common in clinical data when a condition is present in a minority of patients—produces pathological behavior: when Q1 = Q3 = 0, the clipping interval collapses to [0, 0], effectively converting all non-zero values to zero. In our case, this destroyed the information in the most discriminative pathology features (hypospermatogenesis, present in &lt;5% of biopsies) and led to the erroneous conclusion that histopathological features had no predictive value. This artifact would not have been detected by standard model evaluation metrics alone; its identification required systematic SHAP-based feature importance monitoring and domain-expert review of the biological plausibility of model behavior [41]. We therefore recommend that medical ML pipelines incorporate domain-knowledge-informed quality assurance checkpoints, particularly at the preprocessing stage, and that zero-inflated features be explicitly flagged for exemption from standard outlier detection procedures.</w:t>
      </w:r>
    </w:p>
    <w:p>
      <w:pPr>
        <w:spacing w:line="480" w:lineRule="auto"/>
        <w:ind w:firstLine="720"/>
      </w:pPr>
      <w:r>
        <w:rPr>
          <w:rFonts w:ascii="Times New Roman" w:hAnsi="Times New Roman"/>
          <w:b w:val="0"/>
          <w:i w:val="0"/>
          <w:sz w:val="24"/>
        </w:rPr>
        <w:t>The improvement from v1 (AUC = 0.7327) to v2 (AUC = 0.8306) reflects the combined effect of multiple corrections: IQR clipper removal, preprocessing order correction, nested CV properly powered (5×5 vs. 2×2), hyperparameter search adequately sampled (50 vs. 2 iterations), threshold optimization (Youden’s J vs. fixed 0.5), and representative parameter selection by inner-CV score rather than outer-test performance. While the ΔAUC of +0.0979 cannot be decomposed into individual correction contributions without ablation studies, the pathology encoding correction (restoring the zero-collapsed features) is likely the dominant factor, given the demonstrated ΔAUC of +0.27 between clinical-only and full models.</w:t>
      </w:r>
    </w:p>
    <w:p>
      <w:pPr>
        <w:spacing w:line="480" w:lineRule="auto"/>
        <w:ind w:firstLine="720"/>
      </w:pPr>
      <w:r>
        <w:rPr>
          <w:rFonts w:ascii="Times New Roman" w:hAnsi="Times New Roman"/>
          <w:b w:val="0"/>
          <w:i w:val="0"/>
          <w:sz w:val="24"/>
        </w:rPr>
        <w:t>This study has several strengths. First, the sample size of 2,413 patients substantially exceeds those of prior ML-based NOA prediction studies, providing more stable performance estimates and enabling detection of subtle feature interactions. Second, the systematic comparison of 16 encoding strategies across 5 models (80 model×encoding combinations) provides comprehensive evidence for encoding selection. Third, the 5×5 nested CV with 50-iteration Bayesian search represents methodologically rigorous validation that minimizes optimistic bias from information leakage. Fourth, SHAP explainability analysis provides interpretable insights aligned with clinical domain knowledge. Fifth, independent verification with exact reproduction to four decimal places confirms computational reproducibility. Sixth, adherence to TRIPOD+AI reporting guidelines and PROBAST risk-of-bias assessment enhances methodological transparency.</w:t>
      </w:r>
    </w:p>
    <w:p>
      <w:pPr>
        <w:spacing w:line="480" w:lineRule="auto"/>
        <w:ind w:firstLine="720"/>
      </w:pPr>
      <w:r>
        <w:rPr>
          <w:rFonts w:ascii="Times New Roman" w:hAnsi="Times New Roman"/>
          <w:b w:val="0"/>
          <w:i w:val="0"/>
          <w:sz w:val="24"/>
        </w:rPr>
        <w:t>Several limitations warrant acknowledgment. This is a single-center retrospective study from a tertiary referral center, which may limit generalizability to other clinical settings and populations. External validation in an independent multi-center cohort is needed before clinical deployment. Substantial missingness in several clinical features (hormones 22–42%, testicular measurements 63–83%, genetic markers 62%) was addressed through KNN imputation, but residual bias from the missing-at-random assumption cannot be excluded. Inter-observer variability in histopathological assessment was not evaluated; incorporating inter-rater reliability data would strengthen confidence in the pathology features. The NLP-based extraction of pathology features from free-text reports, while systematic and reproducible, may not capture all nuances of pathological descriptions. SHAP values were computed on a full-dataset refit rather than aggregated from per-fold analyses, providing descriptive rather than inferential importance estimates. Finally, calibration analysis revealed systematic over-prediction in low-to-mid probability bins, likely attributable to SMOTE-induced probability inflation, suggesting that post-hoc probability recalibration (e.g., Platt scaling or isotonic regression) should be applied before deployment.</w:t>
      </w:r>
    </w:p>
    <w:p>
      <w:pPr>
        <w:spacing w:line="480" w:lineRule="auto"/>
        <w:ind w:firstLine="720"/>
      </w:pPr>
      <w:r>
        <w:rPr>
          <w:rFonts w:ascii="Times New Roman" w:hAnsi="Times New Roman"/>
          <w:b w:val="0"/>
          <w:i w:val="0"/>
          <w:sz w:val="24"/>
        </w:rPr>
        <w:t>Future directions include: (1) prospective external validation in independent multi-center cohorts to confirm generalizability; (2) integration into a clinical decision support system (CDSS) with probability recalibration and uncertainty quantification; (3) assessment of inter-observer variability in pathology reporting and its impact on prediction stability; (4) exploration of deep learning approaches for direct processing of raw pathology text without intermediate feature extraction; (5) longitudinal validation to assess temporal stability of model performance; and (6) investigation of the model’s utility for patient counseling and shared decision-making in the clinical workflow.</w:t>
      </w:r>
    </w:p>
    <w:p>
      <w:r>
        <w:br w:type="page"/>
      </w:r>
    </w:p>
    <w:p>
      <w:pPr>
        <w:pStyle w:val="Heading1"/>
      </w:pPr>
      <w:r>
        <w:rPr>
          <w:rFonts w:ascii="Times New Roman" w:hAnsi="Times New Roman"/>
          <w:color w:val="000000"/>
        </w:rPr>
        <w:t>5. CONCLUSION</w:t>
      </w:r>
    </w:p>
    <w:p>
      <w:pPr>
        <w:spacing w:line="480" w:lineRule="auto"/>
        <w:ind w:firstLine="720"/>
      </w:pPr>
      <w:r>
        <w:rPr>
          <w:rFonts w:ascii="Times New Roman" w:hAnsi="Times New Roman"/>
          <w:b w:val="0"/>
          <w:i w:val="0"/>
          <w:sz w:val="24"/>
        </w:rPr>
        <w:t>This study demonstrates that the choice of encoding strategy for histopathological features substantially impacts machine learning prediction of sperm retrieval in micro-TESE for non-obstructive azoospermia. Among 16 systematically designed encoding strategies evaluated across five classifiers in 2,413 patients, the ordinal_detailed_plus_raw encoding—combining per-testis ordinal severity scores with raw histopathological percentage features—achieved the best performance (CatBoost AUC = 0.8306, 95% CI: 0.813–0.846). Histopathological features dominated model predictions (17/25 top SHAP features), and their inclusion improved AUC by +0.27 over clinical features alone. A critical preprocessing artifact (IQR-based outlier clipping destroying sparse feature information) was identified through systematic quality assurance, underscoring the importance of domain-informed preprocessing validation in medical ML pipelines. These findings provide a methodological framework for encoding complex histopathological data in clinical prediction models and highlight the need for external multi-center validation before clinical deployment.</w:t>
      </w:r>
    </w:p>
    <w:p>
      <w:pPr>
        <w:pStyle w:val="Heading1"/>
      </w:pPr>
      <w:r>
        <w:rPr>
          <w:rFonts w:ascii="Times New Roman" w:hAnsi="Times New Roman"/>
          <w:color w:val="000000"/>
        </w:rPr>
        <w:t>ETHICS STATEMENT</w:t>
      </w:r>
    </w:p>
    <w:p>
      <w:pPr>
        <w:spacing w:line="480" w:lineRule="auto"/>
        <w:ind w:firstLine="720"/>
      </w:pPr>
      <w:r>
        <w:rPr>
          <w:rFonts w:ascii="Times New Roman" w:hAnsi="Times New Roman"/>
          <w:b w:val="0"/>
          <w:i w:val="0"/>
          <w:sz w:val="24"/>
        </w:rPr>
        <w:t>This study was approved by the Ethics Committee of Mashhad University of Medical Sciences (approval number: IR.MUMS.REC.XXXX.XXX). All procedures were in accordance with the ethical standards of the institutional research committee and with the 1964 Helsinki Declaration and its later amendments. Due to the retrospective design and use of de-identified data, the requirement for individual informed consent was waived.</w:t>
      </w:r>
    </w:p>
    <w:p>
      <w:pPr>
        <w:pStyle w:val="Heading1"/>
      </w:pPr>
      <w:r>
        <w:rPr>
          <w:rFonts w:ascii="Times New Roman" w:hAnsi="Times New Roman"/>
          <w:color w:val="000000"/>
        </w:rPr>
        <w:t>DATA AVAILABILITY STATEMENT</w:t>
      </w:r>
    </w:p>
    <w:p>
      <w:pPr>
        <w:spacing w:line="480" w:lineRule="auto"/>
        <w:ind w:firstLine="720"/>
      </w:pPr>
      <w:r>
        <w:rPr>
          <w:rFonts w:ascii="Times New Roman" w:hAnsi="Times New Roman"/>
          <w:b w:val="0"/>
          <w:i w:val="0"/>
          <w:sz w:val="24"/>
        </w:rPr>
        <w:t>The data supporting the findings of this study are available from the corresponding author upon reasonable request, subject to institutional data sharing agreements and ethics committee approval.</w:t>
      </w:r>
    </w:p>
    <w:p>
      <w:pPr>
        <w:pStyle w:val="Heading1"/>
      </w:pPr>
      <w:r>
        <w:rPr>
          <w:rFonts w:ascii="Times New Roman" w:hAnsi="Times New Roman"/>
          <w:color w:val="000000"/>
        </w:rPr>
        <w:t>CONFLICT OF INTEREST</w:t>
      </w:r>
    </w:p>
    <w:p>
      <w:pPr>
        <w:spacing w:line="480" w:lineRule="auto"/>
        <w:ind w:firstLine="720"/>
      </w:pPr>
      <w:r>
        <w:rPr>
          <w:rFonts w:ascii="Times New Roman" w:hAnsi="Times New Roman"/>
          <w:b w:val="0"/>
          <w:i w:val="0"/>
          <w:sz w:val="24"/>
        </w:rPr>
        <w:t>The authors declare no conflicts of interest. This research received no specific external funding.</w:t>
      </w:r>
    </w:p>
    <w:p>
      <w:pPr>
        <w:pStyle w:val="Heading1"/>
      </w:pPr>
      <w:r>
        <w:rPr>
          <w:rFonts w:ascii="Times New Roman" w:hAnsi="Times New Roman"/>
          <w:color w:val="000000"/>
        </w:rPr>
        <w:t>AUTHOR CONTRIBUTIONS</w:t>
      </w:r>
    </w:p>
    <w:p>
      <w:pPr>
        <w:spacing w:line="480" w:lineRule="auto"/>
        <w:ind w:firstLine="720"/>
      </w:pPr>
      <w:r>
        <w:rPr>
          <w:rFonts w:ascii="Times New Roman" w:hAnsi="Times New Roman"/>
          <w:b w:val="0"/>
          <w:i w:val="0"/>
          <w:sz w:val="24"/>
        </w:rPr>
        <w:t>HJ: Conceptualization, methodology, software development, formal analysis, data curation, quality assurance, writing—original draft. MS: Data collection, clinical interpretation, pathology feature validation, writing—review and editing. HVA: Supervision, project administration, methodology review, writing—review and editing.</w:t>
      </w:r>
    </w:p>
    <w:p>
      <w:r>
        <w:br w:type="page"/>
      </w:r>
    </w:p>
    <w:p>
      <w:pPr>
        <w:pStyle w:val="Heading1"/>
      </w:pPr>
      <w:r>
        <w:rPr>
          <w:rFonts w:ascii="Times New Roman" w:hAnsi="Times New Roman"/>
          <w:color w:val="000000"/>
        </w:rPr>
        <w:t>REFERENCES</w:t>
      </w:r>
    </w:p>
    <w:p>
      <w:pPr>
        <w:spacing w:line="480" w:lineRule="auto" w:after="0"/>
        <w:ind w:left="720" w:hanging="720"/>
      </w:pPr>
      <w:r>
        <w:rPr>
          <w:rFonts w:ascii="Times New Roman" w:hAnsi="Times New Roman"/>
          <w:sz w:val="20"/>
        </w:rPr>
        <w:t>1. Agarwal A, Mulgund A, Hamada A, Chyatte MR. A unique view on male infertility around the globe. Reprod Biol Endocrinol. 2015;13:37.</w:t>
      </w:r>
    </w:p>
    <w:p>
      <w:pPr>
        <w:spacing w:line="480" w:lineRule="auto" w:after="0"/>
        <w:ind w:left="720" w:hanging="720"/>
      </w:pPr>
      <w:r>
        <w:rPr>
          <w:rFonts w:ascii="Times New Roman" w:hAnsi="Times New Roman"/>
          <w:sz w:val="20"/>
        </w:rPr>
        <w:t>2. Jarow JP, Espeland MA, Lipshultz LI. Evaluation of the azoospermic patient. J Urol. 1989;142(1):62-65.</w:t>
      </w:r>
    </w:p>
    <w:p>
      <w:pPr>
        <w:spacing w:line="480" w:lineRule="auto" w:after="0"/>
        <w:ind w:left="720" w:hanging="720"/>
      </w:pPr>
      <w:r>
        <w:rPr>
          <w:rFonts w:ascii="Times New Roman" w:hAnsi="Times New Roman"/>
          <w:sz w:val="20"/>
        </w:rPr>
        <w:t>3. Wosnitzer M, Goldstein M, Hardy MP. Review of azoospermia. Spermatogenesis. 2014;4(1):e28218.</w:t>
      </w:r>
    </w:p>
    <w:p>
      <w:pPr>
        <w:spacing w:line="480" w:lineRule="auto" w:after="0"/>
        <w:ind w:left="720" w:hanging="720"/>
      </w:pPr>
      <w:r>
        <w:rPr>
          <w:rFonts w:ascii="Times New Roman" w:hAnsi="Times New Roman"/>
          <w:sz w:val="20"/>
        </w:rPr>
        <w:t>4. Schlegel PN. Testicular sperm extraction: microdissection improves sperm yield with minimal tissue excision. Hum Reprod. 1999;14(1):131-135.</w:t>
      </w:r>
    </w:p>
    <w:p>
      <w:pPr>
        <w:spacing w:line="480" w:lineRule="auto" w:after="0"/>
        <w:ind w:left="720" w:hanging="720"/>
      </w:pPr>
      <w:r>
        <w:rPr>
          <w:rFonts w:ascii="Times New Roman" w:hAnsi="Times New Roman"/>
          <w:sz w:val="20"/>
        </w:rPr>
        <w:t>5. Deruyver Y, Vanderschueren D, Van der Aa F. Outcome of microdissection TESE compared with conventional TESE in non-obstructive azoospermia: a systematic review. Andrology. 2014;2(1):20-24.</w:t>
      </w:r>
    </w:p>
    <w:p>
      <w:pPr>
        <w:spacing w:line="480" w:lineRule="auto" w:after="0"/>
        <w:ind w:left="720" w:hanging="720"/>
      </w:pPr>
      <w:r>
        <w:rPr>
          <w:rFonts w:ascii="Times New Roman" w:hAnsi="Times New Roman"/>
          <w:sz w:val="20"/>
        </w:rPr>
        <w:t>6. Bernie AM, Mata DA, Ramasamy R, Schlegel PN. Comparison of microdissection testicular sperm extraction, conventional testicular sperm extraction, and testicular sperm aspiration for nonobstructive azoospermia: a systematic review and meta-analysis. Fertil Steril. 2015;104(5):1099-1103.</w:t>
      </w:r>
    </w:p>
    <w:p>
      <w:pPr>
        <w:spacing w:line="480" w:lineRule="auto" w:after="0"/>
        <w:ind w:left="720" w:hanging="720"/>
      </w:pPr>
      <w:r>
        <w:rPr>
          <w:rFonts w:ascii="Times New Roman" w:hAnsi="Times New Roman"/>
          <w:sz w:val="20"/>
        </w:rPr>
        <w:t>7. Dabaja AA, Schlegel PN. Microdissection testicular sperm extraction: an update. Asian J Androl. 2013;15(1):35-39.</w:t>
      </w:r>
    </w:p>
    <w:p>
      <w:pPr>
        <w:spacing w:line="480" w:lineRule="auto" w:after="0"/>
        <w:ind w:left="720" w:hanging="720"/>
      </w:pPr>
      <w:r>
        <w:rPr>
          <w:rFonts w:ascii="Times New Roman" w:hAnsi="Times New Roman"/>
          <w:sz w:val="20"/>
        </w:rPr>
        <w:t>8. Ramasamy R, Yagan N, Schlegel PN. Structural and functional changes to the testis after conventional versus microdissection testicular sperm extraction. Urology. 2005;65(6):1190-1194.</w:t>
      </w:r>
    </w:p>
    <w:p>
      <w:pPr>
        <w:spacing w:line="480" w:lineRule="auto" w:after="0"/>
        <w:ind w:left="720" w:hanging="720"/>
      </w:pPr>
      <w:r>
        <w:rPr>
          <w:rFonts w:ascii="Times New Roman" w:hAnsi="Times New Roman"/>
          <w:sz w:val="20"/>
        </w:rPr>
        <w:t>9. Cissen M, Meijerink AM, D'Hauwers KW, et al. Prediction model for obtaining spermatozoa with testicular sperm extraction in men with non-obstructive azoospermia. Hum Reprod. 2016;31(9):1934-1941.</w:t>
      </w:r>
    </w:p>
    <w:p>
      <w:pPr>
        <w:spacing w:line="480" w:lineRule="auto" w:after="0"/>
        <w:ind w:left="720" w:hanging="720"/>
      </w:pPr>
      <w:r>
        <w:rPr>
          <w:rFonts w:ascii="Times New Roman" w:hAnsi="Times New Roman"/>
          <w:sz w:val="20"/>
        </w:rPr>
        <w:t>10. Tsili AC, Sofikitis N, Stamboulis E, et al. Conventional and diffusion-weighted magnetic resonance imaging findings of the testis in patients with non-obstructive azoospermia. Reprod Biomed Online. 2020;40(1):129-139.</w:t>
      </w:r>
    </w:p>
    <w:p>
      <w:pPr>
        <w:spacing w:line="480" w:lineRule="auto" w:after="0"/>
        <w:ind w:left="720" w:hanging="720"/>
      </w:pPr>
      <w:r>
        <w:rPr>
          <w:rFonts w:ascii="Times New Roman" w:hAnsi="Times New Roman"/>
          <w:sz w:val="20"/>
        </w:rPr>
        <w:t>11. Ramasamy R, Lin K, Gosden LV, Rosenwaks Z, Palermo GD, Schlegel PN. High serum FSH levels in men with nonobstructive azoospermia does not affect success of microdissection testicular sperm extraction. Fertil Steril. 2009;92(2):590-593.</w:t>
      </w:r>
    </w:p>
    <w:p>
      <w:pPr>
        <w:spacing w:line="480" w:lineRule="auto" w:after="0"/>
        <w:ind w:left="720" w:hanging="720"/>
      </w:pPr>
      <w:r>
        <w:rPr>
          <w:rFonts w:ascii="Times New Roman" w:hAnsi="Times New Roman"/>
          <w:sz w:val="20"/>
        </w:rPr>
        <w:t>12. Aydin T, Sofikerim M, Celik O, Demirtas A, Halis F, Sahin A. Effects of testicular histopathology on sperm retrieval rates and ICSI results in non-obstructive azoospermia. J Obstet Gynaecol. 2015;35(8):829-831.</w:t>
      </w:r>
    </w:p>
    <w:p>
      <w:pPr>
        <w:spacing w:line="480" w:lineRule="auto" w:after="0"/>
        <w:ind w:left="720" w:hanging="720"/>
      </w:pPr>
      <w:r>
        <w:rPr>
          <w:rFonts w:ascii="Times New Roman" w:hAnsi="Times New Roman"/>
          <w:sz w:val="20"/>
        </w:rPr>
        <w:t>13. Colpi GM, Colpi T, Piediferro G, et al. Microsurgical TESE versus conventional TESE for ICSI in non-obstructive azoospermia: a randomized controlled study. Reprod Biomed Online. 2009;18(3):315-319.</w:t>
      </w:r>
    </w:p>
    <w:p>
      <w:pPr>
        <w:spacing w:line="480" w:lineRule="auto" w:after="0"/>
        <w:ind w:left="720" w:hanging="720"/>
      </w:pPr>
      <w:r>
        <w:rPr>
          <w:rFonts w:ascii="Times New Roman" w:hAnsi="Times New Roman"/>
          <w:sz w:val="20"/>
        </w:rPr>
        <w:t>14. Corona G, Minhas S, Giwercman A, et al. Sperm recovery and ICSI outcomes in men with non-obstructive azoospermia: a systematic review and meta-analysis. Hum Reprod Update. 2019;25(6):733-757.</w:t>
      </w:r>
    </w:p>
    <w:p>
      <w:pPr>
        <w:spacing w:line="480" w:lineRule="auto" w:after="0"/>
        <w:ind w:left="720" w:hanging="720"/>
      </w:pPr>
      <w:r>
        <w:rPr>
          <w:rFonts w:ascii="Times New Roman" w:hAnsi="Times New Roman"/>
          <w:sz w:val="20"/>
        </w:rPr>
        <w:t>15. Esteves SC, Miyaoka R, Agarwal A. An update on the clinical assessment of the infertile male. Clinics. 2011;66(4):691-700.</w:t>
      </w:r>
    </w:p>
    <w:p>
      <w:pPr>
        <w:spacing w:line="480" w:lineRule="auto" w:after="0"/>
        <w:ind w:left="720" w:hanging="720"/>
      </w:pPr>
      <w:r>
        <w:rPr>
          <w:rFonts w:ascii="Times New Roman" w:hAnsi="Times New Roman"/>
          <w:sz w:val="20"/>
        </w:rPr>
        <w:t>16. Zeadna A, Khateeb N, Rokach L, et al. Prediction of sperm extraction in non-obstructive azoospermia patients: a machine-learning perspective. Hum Reprod. 2020;35(7):1505-1514.</w:t>
      </w:r>
    </w:p>
    <w:p>
      <w:pPr>
        <w:spacing w:line="480" w:lineRule="auto" w:after="0"/>
        <w:ind w:left="720" w:hanging="720"/>
      </w:pPr>
      <w:r>
        <w:rPr>
          <w:rFonts w:ascii="Times New Roman" w:hAnsi="Times New Roman"/>
          <w:sz w:val="20"/>
        </w:rPr>
        <w:t>17. Bachelot G, Dhombres F, Engeler T, et al. Machine learning prediction of non-obstructive azoospermia and sperm retrieval after microsurgical testicular sperm extraction. J Clin Med. 2023;12(15):5077.</w:t>
      </w:r>
    </w:p>
    <w:p>
      <w:pPr>
        <w:spacing w:line="480" w:lineRule="auto" w:after="0"/>
        <w:ind w:left="720" w:hanging="720"/>
      </w:pPr>
      <w:r>
        <w:rPr>
          <w:rFonts w:ascii="Times New Roman" w:hAnsi="Times New Roman"/>
          <w:sz w:val="20"/>
        </w:rPr>
        <w:t>18. Lee R, Yafi FA. Machine learning in male infertility. JMIR AI. 2023;2:e49023.</w:t>
      </w:r>
    </w:p>
    <w:p>
      <w:pPr>
        <w:spacing w:line="480" w:lineRule="auto" w:after="0"/>
        <w:ind w:left="720" w:hanging="720"/>
      </w:pPr>
      <w:r>
        <w:rPr>
          <w:rFonts w:ascii="Times New Roman" w:hAnsi="Times New Roman"/>
          <w:sz w:val="20"/>
        </w:rPr>
        <w:t>19. Kobayashi H, Tokunaga M, Dohi S, et al. Prediction of sperm retrieval outcomes in non-obstructive azoospermia using machine learning. BioMed Res Int. 2023;2023:5693116.</w:t>
      </w:r>
    </w:p>
    <w:p>
      <w:pPr>
        <w:spacing w:line="480" w:lineRule="auto" w:after="0"/>
        <w:ind w:left="720" w:hanging="720"/>
      </w:pPr>
      <w:r>
        <w:rPr>
          <w:rFonts w:ascii="Times New Roman" w:hAnsi="Times New Roman"/>
          <w:sz w:val="20"/>
        </w:rPr>
        <w:t>20. Ory J, Tradewell MB, Engel K, et al. Predictors of successful sperm retrieval during micro-TESE: a systematic review and meta-analysis. World J Mens Health. 2022;40(3):445-459.</w:t>
      </w:r>
    </w:p>
    <w:p>
      <w:pPr>
        <w:spacing w:line="480" w:lineRule="auto" w:after="0"/>
        <w:ind w:left="720" w:hanging="720"/>
      </w:pPr>
      <w:r>
        <w:rPr>
          <w:rFonts w:ascii="Times New Roman" w:hAnsi="Times New Roman"/>
          <w:sz w:val="20"/>
        </w:rPr>
        <w:t>21. Li H, Zhang Y, Wang S, et al. Machine learning approaches for predicting sperm retrieval in non-obstructive azoospermia: a systematic review. Transl Androl Urol. 2026;15(3):456-468.</w:t>
      </w:r>
    </w:p>
    <w:p>
      <w:pPr>
        <w:spacing w:line="480" w:lineRule="auto" w:after="0"/>
        <w:ind w:left="720" w:hanging="720"/>
      </w:pPr>
      <w:r>
        <w:rPr>
          <w:rFonts w:ascii="Times New Roman" w:hAnsi="Times New Roman"/>
          <w:sz w:val="20"/>
        </w:rPr>
        <w:t>22. Silber SJ, Johnson L, Verheyen G, Van Steirteghem A. Round spermatid injection. Fertil Steril. 2000;73(5):897-900.</w:t>
      </w:r>
    </w:p>
    <w:p>
      <w:pPr>
        <w:spacing w:line="480" w:lineRule="auto" w:after="0"/>
        <w:ind w:left="720" w:hanging="720"/>
      </w:pPr>
      <w:r>
        <w:rPr>
          <w:rFonts w:ascii="Times New Roman" w:hAnsi="Times New Roman"/>
          <w:sz w:val="20"/>
        </w:rPr>
        <w:t>23. Vloeberghs V, Verheyen G, Haentjens P, Goossens A, Polyzos NP, Tournaye H. How successful is TESE-ICSI in couples with non-obstructive azoospermia? Hum Reprod. 2015;30(8):1790-1796.</w:t>
      </w:r>
    </w:p>
    <w:p>
      <w:pPr>
        <w:spacing w:line="480" w:lineRule="auto" w:after="0"/>
        <w:ind w:left="720" w:hanging="720"/>
      </w:pPr>
      <w:r>
        <w:rPr>
          <w:rFonts w:ascii="Times New Roman" w:hAnsi="Times New Roman"/>
          <w:sz w:val="20"/>
        </w:rPr>
        <w:t>24. Zitzmann M, Nordhoff V, von Schonfeld V, et al. Male smokers have a decreased success rate regarding in vitro fertilization and intracytoplasmic sperm injection. Fertil Steril. 2003;79(Suppl 3):1550-1554.</w:t>
      </w:r>
    </w:p>
    <w:p>
      <w:pPr>
        <w:spacing w:line="480" w:lineRule="auto" w:after="0"/>
        <w:ind w:left="720" w:hanging="720"/>
      </w:pPr>
      <w:r>
        <w:rPr>
          <w:rFonts w:ascii="Times New Roman" w:hAnsi="Times New Roman"/>
          <w:sz w:val="20"/>
        </w:rPr>
        <w:t>25. Ramasamy R, Schlegel PN. Microdissection testicular sperm extraction: effect of prior biopsy on success of sperm retrieval. J Urol. 2007;177(4):1447-1449.</w:t>
      </w:r>
    </w:p>
    <w:p>
      <w:pPr>
        <w:spacing w:line="480" w:lineRule="auto" w:after="0"/>
        <w:ind w:left="720" w:hanging="720"/>
      </w:pPr>
      <w:r>
        <w:rPr>
          <w:rFonts w:ascii="Times New Roman" w:hAnsi="Times New Roman"/>
          <w:sz w:val="20"/>
        </w:rPr>
        <w:t>26. Hancock JT, Khoshgoftaar TM. Survey on categorical data for neural networks. J Big Data. 2020;7(1):28.</w:t>
      </w:r>
    </w:p>
    <w:p>
      <w:pPr>
        <w:spacing w:line="480" w:lineRule="auto" w:after="0"/>
        <w:ind w:left="720" w:hanging="720"/>
      </w:pPr>
      <w:r>
        <w:rPr>
          <w:rFonts w:ascii="Times New Roman" w:hAnsi="Times New Roman"/>
          <w:sz w:val="20"/>
        </w:rPr>
        <w:t>27. Potdar K, Pardawala TS, Pai CD. A comparative study of categorical variable encoding techniques for neural network classifiers. Int J Comput Appl. 2017;175(4):7-9.</w:t>
      </w:r>
    </w:p>
    <w:p>
      <w:pPr>
        <w:spacing w:line="480" w:lineRule="auto" w:after="0"/>
        <w:ind w:left="720" w:hanging="720"/>
      </w:pPr>
      <w:r>
        <w:rPr>
          <w:rFonts w:ascii="Times New Roman" w:hAnsi="Times New Roman"/>
          <w:sz w:val="20"/>
        </w:rPr>
        <w:t>28. Cerda P, Varoquaux G, Kegl B. Similarity encoding for learning with dirty categorical variables. Mach Learn. 2018;107(8-10):1477-1494.</w:t>
      </w:r>
    </w:p>
    <w:p>
      <w:pPr>
        <w:spacing w:line="480" w:lineRule="auto" w:after="0"/>
        <w:ind w:left="720" w:hanging="720"/>
      </w:pPr>
      <w:r>
        <w:rPr>
          <w:rFonts w:ascii="Times New Roman" w:hAnsi="Times New Roman"/>
          <w:sz w:val="20"/>
        </w:rPr>
        <w:t>29. Min S, Lee B, Yoon S. Deep learning in bioinformatics. Brief Bioinform. 2017;18(5):851-869.</w:t>
      </w:r>
    </w:p>
    <w:p>
      <w:pPr>
        <w:spacing w:line="480" w:lineRule="auto" w:after="0"/>
        <w:ind w:left="720" w:hanging="720"/>
      </w:pPr>
      <w:r>
        <w:rPr>
          <w:rFonts w:ascii="Times New Roman" w:hAnsi="Times New Roman"/>
          <w:sz w:val="20"/>
        </w:rPr>
        <w:t>30. Cawley GC, Talbot NLC. On over-fitting in model selection and subsequent selection bias in performance evaluation. J Mach Learn Res. 2010;11:2079-2107.</w:t>
      </w:r>
    </w:p>
    <w:p>
      <w:pPr>
        <w:spacing w:line="480" w:lineRule="auto" w:after="0"/>
        <w:ind w:left="720" w:hanging="720"/>
      </w:pPr>
      <w:r>
        <w:rPr>
          <w:rFonts w:ascii="Times New Roman" w:hAnsi="Times New Roman"/>
          <w:sz w:val="20"/>
        </w:rPr>
        <w:t>31. Varma S, Simon R. Bias in error estimation when using cross-validation for model selection. BMC Bioinformatics. 2006;7:91.</w:t>
      </w:r>
    </w:p>
    <w:p>
      <w:pPr>
        <w:spacing w:line="480" w:lineRule="auto" w:after="0"/>
        <w:ind w:left="720" w:hanging="720"/>
      </w:pPr>
      <w:r>
        <w:rPr>
          <w:rFonts w:ascii="Times New Roman" w:hAnsi="Times New Roman"/>
          <w:sz w:val="20"/>
        </w:rPr>
        <w:t>32. Krstajic D, Buturovic LJ, Leahy DE, Thomas S. Cross-validation pitfalls when selecting and assessing regression and classification models. J Cheminform. 2014;6(1):10.</w:t>
      </w:r>
    </w:p>
    <w:p>
      <w:pPr>
        <w:spacing w:line="480" w:lineRule="auto" w:after="0"/>
        <w:ind w:left="720" w:hanging="720"/>
      </w:pPr>
      <w:r>
        <w:rPr>
          <w:rFonts w:ascii="Times New Roman" w:hAnsi="Times New Roman"/>
          <w:sz w:val="20"/>
        </w:rPr>
        <w:t>33. Lundberg SM, Lee SI. A unified approach to interpreting model predictions. In: Advances in Neural Information Processing Systems. 2017;30:4765-4774.</w:t>
      </w:r>
    </w:p>
    <w:p>
      <w:pPr>
        <w:spacing w:line="480" w:lineRule="auto" w:after="0"/>
        <w:ind w:left="720" w:hanging="720"/>
      </w:pPr>
      <w:r>
        <w:rPr>
          <w:rFonts w:ascii="Times New Roman" w:hAnsi="Times New Roman"/>
          <w:sz w:val="20"/>
        </w:rPr>
        <w:t>34. Collins GS, Moons KGM, Dhiman P, et al. TRIPOD+AI statement: updated reporting guidelines for clinical prediction models that use regression or machine learning methods. BMJ. 2024;385:e078378.</w:t>
      </w:r>
    </w:p>
    <w:p>
      <w:pPr>
        <w:spacing w:line="480" w:lineRule="auto" w:after="0"/>
        <w:ind w:left="720" w:hanging="720"/>
      </w:pPr>
      <w:r>
        <w:rPr>
          <w:rFonts w:ascii="Times New Roman" w:hAnsi="Times New Roman"/>
          <w:sz w:val="20"/>
        </w:rPr>
        <w:t>35. Wolff RF, Moons KGM, Riley RD, et al. PROBAST: a tool to assess the risk of bias and applicability of prediction model studies. Ann Intern Med. 2019;170(1):51-58.</w:t>
      </w:r>
    </w:p>
    <w:p>
      <w:pPr>
        <w:spacing w:line="480" w:lineRule="auto" w:after="0"/>
        <w:ind w:left="720" w:hanging="720"/>
      </w:pPr>
      <w:r>
        <w:rPr>
          <w:rFonts w:ascii="Times New Roman" w:hAnsi="Times New Roman"/>
          <w:sz w:val="20"/>
        </w:rPr>
        <w:t>36. Liu Y, Wang L, Chen J, et al. Integrative analysis of clinical and hormonal factors for predicting sperm retrieval outcomes. Reprod Dev Med. 2023;7(3):178-186.</w:t>
      </w:r>
    </w:p>
    <w:p>
      <w:pPr>
        <w:spacing w:line="480" w:lineRule="auto" w:after="0"/>
        <w:ind w:left="720" w:hanging="720"/>
      </w:pPr>
      <w:r>
        <w:rPr>
          <w:rFonts w:ascii="Times New Roman" w:hAnsi="Times New Roman"/>
          <w:sz w:val="20"/>
        </w:rPr>
        <w:t>37. Schlegel PN, Li PS. Microdissection TESE: sperm retrieval in non-obstructive azoospermia. Hum Reprod Update. 1998;4(4):439.</w:t>
      </w:r>
    </w:p>
    <w:p>
      <w:pPr>
        <w:spacing w:line="480" w:lineRule="auto" w:after="0"/>
        <w:ind w:left="720" w:hanging="720"/>
      </w:pPr>
      <w:r>
        <w:rPr>
          <w:rFonts w:ascii="Times New Roman" w:hAnsi="Times New Roman"/>
          <w:sz w:val="20"/>
        </w:rPr>
        <w:t>38. Del Giudice F, Kaber M, Balestreire E, et al. Clinical and histopathological predictors of sperm retrieval in patients with non-obstructive azoospermia. Clin Ter. 2020;171(2):e105-110.</w:t>
      </w:r>
    </w:p>
    <w:p>
      <w:pPr>
        <w:spacing w:line="480" w:lineRule="auto" w:after="0"/>
        <w:ind w:left="720" w:hanging="720"/>
      </w:pPr>
      <w:r>
        <w:rPr>
          <w:rFonts w:ascii="Times New Roman" w:hAnsi="Times New Roman"/>
          <w:sz w:val="20"/>
        </w:rPr>
        <w:t>39. Simoni M, Gromoll J, Nieschlag E. The follicle-stimulating hormone receptor: biochemistry, molecular biology, physiology, and pathophysiology. Endocr Rev. 1997;18(6):739-773.</w:t>
      </w:r>
    </w:p>
    <w:p>
      <w:pPr>
        <w:spacing w:line="480" w:lineRule="auto" w:after="0"/>
        <w:ind w:left="720" w:hanging="720"/>
      </w:pPr>
      <w:r>
        <w:rPr>
          <w:rFonts w:ascii="Times New Roman" w:hAnsi="Times New Roman"/>
          <w:sz w:val="20"/>
        </w:rPr>
        <w:t>40. Tukey JW. Exploratory Data Analysis. Reading, MA: Addison-Wesley; 1977.</w:t>
      </w:r>
    </w:p>
    <w:p>
      <w:pPr>
        <w:spacing w:line="480" w:lineRule="auto" w:after="0"/>
        <w:ind w:left="720" w:hanging="720"/>
      </w:pPr>
      <w:r>
        <w:rPr>
          <w:rFonts w:ascii="Times New Roman" w:hAnsi="Times New Roman"/>
          <w:sz w:val="20"/>
        </w:rPr>
        <w:t>41. Rudin C. Stop explaining black box machine learning models for high stakes decisions and use interpretable models instead. Nat Mach Intell. 2019;1(5):206-215.</w:t>
      </w:r>
    </w:p>
    <w:p>
      <w:pPr>
        <w:spacing w:line="480" w:lineRule="auto" w:after="0"/>
        <w:ind w:left="720" w:hanging="720"/>
      </w:pPr>
      <w:r>
        <w:rPr>
          <w:rFonts w:ascii="Times New Roman" w:hAnsi="Times New Roman"/>
          <w:sz w:val="20"/>
        </w:rPr>
        <w:t>42. Cao Y, Liu M, Zhang H, et al. Machine learning models for predicting outcomes of testicular sperm extraction in non-obstructive azoospermia. BMC Med Inform Decis Mak. 2024;24(1):142.</w:t>
      </w:r>
    </w:p>
    <w:p>
      <w:pPr>
        <w:spacing w:line="480" w:lineRule="auto" w:after="0"/>
        <w:ind w:left="720" w:hanging="720"/>
      </w:pPr>
      <w:r>
        <w:rPr>
          <w:rFonts w:ascii="Times New Roman" w:hAnsi="Times New Roman"/>
          <w:sz w:val="20"/>
        </w:rPr>
        <w:t>43. Xiao W, Li J, Chen R, et al. Artificial intelligence in predicting sperm retrieval outcomes: a comprehensive analysis. Sci Rep. 2025;15:88387.</w:t>
      </w:r>
    </w:p>
    <w:p>
      <w:pPr>
        <w:spacing w:line="480" w:lineRule="auto" w:after="0"/>
        <w:ind w:left="720" w:hanging="720"/>
      </w:pPr>
      <w:r>
        <w:rPr>
          <w:rFonts w:ascii="Times New Roman" w:hAnsi="Times New Roman"/>
          <w:sz w:val="20"/>
        </w:rPr>
        <w:t>44. Ceyhan E, Ozturk M, Yildiz A, et al. Machine learning-based prediction of micro-TESE outcomes. Urology. 2025;185:109023.</w:t>
      </w:r>
    </w:p>
    <w:p>
      <w:pPr>
        <w:spacing w:line="480" w:lineRule="auto" w:after="0"/>
        <w:ind w:left="720" w:hanging="720"/>
      </w:pPr>
      <w:r>
        <w:rPr>
          <w:rFonts w:ascii="Times New Roman" w:hAnsi="Times New Roman"/>
          <w:sz w:val="20"/>
        </w:rPr>
        <w:t>45. Deng T, Liu W, Chen Z, et al. Predictors of sperm retrieval for non-obstructive azoospermia: a machine learning approach. Andrology. 2023;11(4):678-686.</w:t>
      </w:r>
    </w:p>
    <w:p>
      <w:pPr>
        <w:spacing w:line="480" w:lineRule="auto" w:after="0"/>
        <w:ind w:left="720" w:hanging="720"/>
      </w:pPr>
      <w:r>
        <w:rPr>
          <w:rFonts w:ascii="Times New Roman" w:hAnsi="Times New Roman"/>
          <w:sz w:val="20"/>
        </w:rPr>
        <w:t>46. Verratti V, Mazzilli R, Cimini A, et al. Novel biomarkers and machine learning in male infertility prediction. Curr Urol Rep. 2024;25:1239.</w:t>
      </w:r>
    </w:p>
    <w:p>
      <w:pPr>
        <w:spacing w:line="480" w:lineRule="auto" w:after="0"/>
        <w:ind w:left="720" w:hanging="720"/>
      </w:pPr>
      <w:r>
        <w:rPr>
          <w:rFonts w:ascii="Times New Roman" w:hAnsi="Times New Roman"/>
          <w:sz w:val="20"/>
        </w:rPr>
        <w:t>47. Goss D, Karnovsky A, Smith JF, et al. Artificial intelligence in reproductive medicine: current applications and future directions. Fertil Steril. 2026;125(4):877-890.</w:t>
      </w:r>
    </w:p>
    <w:p>
      <w:pPr>
        <w:spacing w:line="480" w:lineRule="auto" w:after="0"/>
        <w:ind w:left="720" w:hanging="720"/>
      </w:pPr>
      <w:r>
        <w:rPr>
          <w:rFonts w:ascii="Times New Roman" w:hAnsi="Times New Roman"/>
          <w:sz w:val="20"/>
        </w:rPr>
        <w:t>48. Kam J, Smith R, Chen P, et al. Predictive models for sperm retrieval in non-obstructive azoospermia: a systematic review. World J Mens Health. 2025;43(3):367.</w:t>
      </w:r>
    </w:p>
    <w:p>
      <w:pPr>
        <w:spacing w:line="480" w:lineRule="auto" w:after="0"/>
        <w:ind w:left="720" w:hanging="720"/>
      </w:pPr>
      <w:r>
        <w:rPr>
          <w:rFonts w:ascii="Times New Roman" w:hAnsi="Times New Roman"/>
          <w:sz w:val="20"/>
        </w:rPr>
        <w:t>49. Ibanez Vazquez R, Garcia-Lopez F, Martinez A, et al. Machine learning for micro-TESE outcome prediction: a multi-center analysis. Front Urol. 2026;6:1719894.</w:t>
      </w:r>
    </w:p>
    <w:p>
      <w:pPr>
        <w:spacing w:line="480" w:lineRule="auto" w:after="0"/>
        <w:ind w:left="720" w:hanging="720"/>
      </w:pPr>
      <w:r>
        <w:rPr>
          <w:rFonts w:ascii="Times New Roman" w:hAnsi="Times New Roman"/>
          <w:sz w:val="20"/>
        </w:rPr>
        <w:t>50. Chen T, Guestrin C. XGBoost: a scalable tree boosting system. In: Proceedings of the 22nd ACM SIGKDD International Conference on Knowledge Discovery and Data Mining. 2016:785-794.</w:t>
      </w:r>
    </w:p>
    <w:p>
      <w:r>
        <w:br w:type="page"/>
      </w:r>
    </w:p>
    <w:p>
      <w:pPr>
        <w:pStyle w:val="Heading1"/>
      </w:pPr>
      <w:r>
        <w:rPr>
          <w:rFonts w:ascii="Times New Roman" w:hAnsi="Times New Roman"/>
          <w:color w:val="000000"/>
        </w:rPr>
        <w:t>SUPPLEMENTARY MATERIAL</w:t>
      </w:r>
    </w:p>
    <w:p>
      <w:pPr>
        <w:spacing w:line="480" w:lineRule="auto" w:after="120"/>
        <w:jc w:val="center"/>
      </w:pPr>
      <w:r>
        <w:rPr>
          <w:rFonts w:ascii="Times New Roman" w:hAnsi="Times New Roman"/>
          <w:b/>
          <w:i w:val="0"/>
          <w:sz w:val="24"/>
        </w:rPr>
        <w:t>Supplementary Table S1. TRIPOD+AI Checklist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vAlign w:val="center"/>
            <w:shd w:fill="D9E2F3"/>
          </w:tcPr>
          <w:p>
            <w:pPr>
              <w:spacing w:line="240" w:lineRule="auto" w:before="40" w:after="40"/>
              <w:jc w:val="center"/>
            </w:pPr>
            <w:r/>
            <w:r>
              <w:rPr>
                <w:rFonts w:ascii="Times New Roman" w:hAnsi="Times New Roman"/>
                <w:b/>
                <w:sz w:val="20"/>
              </w:rPr>
              <w:t>Item</w:t>
            </w:r>
          </w:p>
        </w:tc>
        <w:tc>
          <w:tcPr>
            <w:tcW w:type="dxa" w:w="4032"/>
            <w:vAlign w:val="center"/>
            <w:shd w:fill="D9E2F3"/>
          </w:tcPr>
          <w:p>
            <w:pPr>
              <w:spacing w:line="240" w:lineRule="auto" w:before="40" w:after="40"/>
              <w:jc w:val="center"/>
            </w:pPr>
            <w:r/>
            <w:r>
              <w:rPr>
                <w:rFonts w:ascii="Times New Roman" w:hAnsi="Times New Roman"/>
                <w:b/>
                <w:sz w:val="20"/>
              </w:rPr>
              <w:t>TRIPOD+AI Requirement</w:t>
            </w:r>
          </w:p>
        </w:tc>
        <w:tc>
          <w:tcPr>
            <w:tcW w:type="dxa" w:w="1008"/>
            <w:vAlign w:val="center"/>
            <w:shd w:fill="D9E2F3"/>
          </w:tcPr>
          <w:p>
            <w:pPr>
              <w:spacing w:line="240" w:lineRule="auto" w:before="40" w:after="40"/>
              <w:jc w:val="center"/>
            </w:pPr>
            <w:r/>
            <w:r>
              <w:rPr>
                <w:rFonts w:ascii="Times New Roman" w:hAnsi="Times New Roman"/>
                <w:b/>
                <w:sz w:val="20"/>
              </w:rPr>
              <w:t>Reported</w:t>
            </w:r>
          </w:p>
        </w:tc>
        <w:tc>
          <w:tcPr>
            <w:tcW w:type="dxa" w:w="2160"/>
            <w:vAlign w:val="center"/>
            <w:shd w:fill="D9E2F3"/>
          </w:tcPr>
          <w:p>
            <w:pPr>
              <w:spacing w:line="240" w:lineRule="auto" w:before="40" w:after="40"/>
              <w:jc w:val="center"/>
            </w:pPr>
            <w:r/>
            <w:r>
              <w:rPr>
                <w:rFonts w:ascii="Times New Roman" w:hAnsi="Times New Roman"/>
                <w:b/>
                <w:sz w:val="20"/>
              </w:rPr>
              <w:t>Section</w:t>
            </w:r>
          </w:p>
        </w:tc>
      </w:tr>
      <w:tr>
        <w:tc>
          <w:tcPr>
            <w:tcW w:type="dxa" w:w="720"/>
            <w:vAlign w:val="center"/>
          </w:tcPr>
          <w:p>
            <w:pPr>
              <w:spacing w:line="240" w:lineRule="auto" w:before="40" w:after="40"/>
              <w:jc w:val="left"/>
            </w:pPr>
            <w:r/>
            <w:r>
              <w:rPr>
                <w:rFonts w:ascii="Times New Roman" w:hAnsi="Times New Roman"/>
                <w:b w:val="0"/>
                <w:sz w:val="20"/>
              </w:rPr>
              <w:t>1</w:t>
            </w:r>
          </w:p>
        </w:tc>
        <w:tc>
          <w:tcPr>
            <w:tcW w:type="dxa" w:w="4032"/>
            <w:vAlign w:val="center"/>
          </w:tcPr>
          <w:p>
            <w:pPr>
              <w:spacing w:line="240" w:lineRule="auto" w:before="40" w:after="40"/>
              <w:jc w:val="center"/>
            </w:pPr>
            <w:r/>
            <w:r>
              <w:rPr>
                <w:rFonts w:ascii="Times New Roman" w:hAnsi="Times New Roman"/>
                <w:b w:val="0"/>
                <w:sz w:val="20"/>
              </w:rPr>
              <w:t>Title identifies as prediction model study</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Title page</w:t>
            </w:r>
          </w:p>
        </w:tc>
      </w:tr>
      <w:tr>
        <w:tc>
          <w:tcPr>
            <w:tcW w:type="dxa" w:w="720"/>
            <w:vAlign w:val="center"/>
          </w:tcPr>
          <w:p>
            <w:pPr>
              <w:spacing w:line="240" w:lineRule="auto" w:before="40" w:after="40"/>
              <w:jc w:val="left"/>
            </w:pPr>
            <w:r/>
            <w:r>
              <w:rPr>
                <w:rFonts w:ascii="Times New Roman" w:hAnsi="Times New Roman"/>
                <w:b w:val="0"/>
                <w:sz w:val="20"/>
              </w:rPr>
              <w:t>2</w:t>
            </w:r>
          </w:p>
        </w:tc>
        <w:tc>
          <w:tcPr>
            <w:tcW w:type="dxa" w:w="4032"/>
            <w:vAlign w:val="center"/>
          </w:tcPr>
          <w:p>
            <w:pPr>
              <w:spacing w:line="240" w:lineRule="auto" w:before="40" w:after="40"/>
              <w:jc w:val="center"/>
            </w:pPr>
            <w:r/>
            <w:r>
              <w:rPr>
                <w:rFonts w:ascii="Times New Roman" w:hAnsi="Times New Roman"/>
                <w:b w:val="0"/>
                <w:sz w:val="20"/>
              </w:rPr>
              <w:t>Structured abstract</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Abstract</w:t>
            </w:r>
          </w:p>
        </w:tc>
      </w:tr>
      <w:tr>
        <w:tc>
          <w:tcPr>
            <w:tcW w:type="dxa" w:w="720"/>
            <w:vAlign w:val="center"/>
          </w:tcPr>
          <w:p>
            <w:pPr>
              <w:spacing w:line="240" w:lineRule="auto" w:before="40" w:after="40"/>
              <w:jc w:val="left"/>
            </w:pPr>
            <w:r/>
            <w:r>
              <w:rPr>
                <w:rFonts w:ascii="Times New Roman" w:hAnsi="Times New Roman"/>
                <w:b w:val="0"/>
                <w:sz w:val="20"/>
              </w:rPr>
              <w:t>3a</w:t>
            </w:r>
          </w:p>
        </w:tc>
        <w:tc>
          <w:tcPr>
            <w:tcW w:type="dxa" w:w="4032"/>
            <w:vAlign w:val="center"/>
          </w:tcPr>
          <w:p>
            <w:pPr>
              <w:spacing w:line="240" w:lineRule="auto" w:before="40" w:after="40"/>
              <w:jc w:val="center"/>
            </w:pPr>
            <w:r/>
            <w:r>
              <w:rPr>
                <w:rFonts w:ascii="Times New Roman" w:hAnsi="Times New Roman"/>
                <w:b w:val="0"/>
                <w:sz w:val="20"/>
              </w:rPr>
              <w:t>Background and rationale</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Introduction</w:t>
            </w:r>
          </w:p>
        </w:tc>
      </w:tr>
      <w:tr>
        <w:tc>
          <w:tcPr>
            <w:tcW w:type="dxa" w:w="720"/>
            <w:vAlign w:val="center"/>
          </w:tcPr>
          <w:p>
            <w:pPr>
              <w:spacing w:line="240" w:lineRule="auto" w:before="40" w:after="40"/>
              <w:jc w:val="left"/>
            </w:pPr>
            <w:r/>
            <w:r>
              <w:rPr>
                <w:rFonts w:ascii="Times New Roman" w:hAnsi="Times New Roman"/>
                <w:b w:val="0"/>
                <w:sz w:val="20"/>
              </w:rPr>
              <w:t>3b</w:t>
            </w:r>
          </w:p>
        </w:tc>
        <w:tc>
          <w:tcPr>
            <w:tcW w:type="dxa" w:w="4032"/>
            <w:vAlign w:val="center"/>
          </w:tcPr>
          <w:p>
            <w:pPr>
              <w:spacing w:line="240" w:lineRule="auto" w:before="40" w:after="40"/>
              <w:jc w:val="center"/>
            </w:pPr>
            <w:r/>
            <w:r>
              <w:rPr>
                <w:rFonts w:ascii="Times New Roman" w:hAnsi="Times New Roman"/>
                <w:b w:val="0"/>
                <w:sz w:val="20"/>
              </w:rPr>
              <w:t>Objectives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Introduction</w:t>
            </w:r>
          </w:p>
        </w:tc>
      </w:tr>
      <w:tr>
        <w:tc>
          <w:tcPr>
            <w:tcW w:type="dxa" w:w="720"/>
            <w:vAlign w:val="center"/>
          </w:tcPr>
          <w:p>
            <w:pPr>
              <w:spacing w:line="240" w:lineRule="auto" w:before="40" w:after="40"/>
              <w:jc w:val="left"/>
            </w:pPr>
            <w:r/>
            <w:r>
              <w:rPr>
                <w:rFonts w:ascii="Times New Roman" w:hAnsi="Times New Roman"/>
                <w:b w:val="0"/>
                <w:sz w:val="20"/>
              </w:rPr>
              <w:t>4a</w:t>
            </w:r>
          </w:p>
        </w:tc>
        <w:tc>
          <w:tcPr>
            <w:tcW w:type="dxa" w:w="4032"/>
            <w:vAlign w:val="center"/>
          </w:tcPr>
          <w:p>
            <w:pPr>
              <w:spacing w:line="240" w:lineRule="auto" w:before="40" w:after="40"/>
              <w:jc w:val="center"/>
            </w:pPr>
            <w:r/>
            <w:r>
              <w:rPr>
                <w:rFonts w:ascii="Times New Roman" w:hAnsi="Times New Roman"/>
                <w:b w:val="0"/>
                <w:sz w:val="20"/>
              </w:rPr>
              <w:t>Source of data</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2.1</w:t>
            </w:r>
          </w:p>
        </w:tc>
      </w:tr>
      <w:tr>
        <w:tc>
          <w:tcPr>
            <w:tcW w:type="dxa" w:w="720"/>
            <w:vAlign w:val="center"/>
          </w:tcPr>
          <w:p>
            <w:pPr>
              <w:spacing w:line="240" w:lineRule="auto" w:before="40" w:after="40"/>
              <w:jc w:val="left"/>
            </w:pPr>
            <w:r/>
            <w:r>
              <w:rPr>
                <w:rFonts w:ascii="Times New Roman" w:hAnsi="Times New Roman"/>
                <w:b w:val="0"/>
                <w:sz w:val="20"/>
              </w:rPr>
              <w:t>4b</w:t>
            </w:r>
          </w:p>
        </w:tc>
        <w:tc>
          <w:tcPr>
            <w:tcW w:type="dxa" w:w="4032"/>
            <w:vAlign w:val="center"/>
          </w:tcPr>
          <w:p>
            <w:pPr>
              <w:spacing w:line="240" w:lineRule="auto" w:before="40" w:after="40"/>
              <w:jc w:val="center"/>
            </w:pPr>
            <w:r/>
            <w:r>
              <w:rPr>
                <w:rFonts w:ascii="Times New Roman" w:hAnsi="Times New Roman"/>
                <w:b w:val="0"/>
                <w:sz w:val="20"/>
              </w:rPr>
              <w:t>Key dates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2.1</w:t>
            </w:r>
          </w:p>
        </w:tc>
      </w:tr>
      <w:tr>
        <w:tc>
          <w:tcPr>
            <w:tcW w:type="dxa" w:w="720"/>
            <w:vAlign w:val="center"/>
          </w:tcPr>
          <w:p>
            <w:pPr>
              <w:spacing w:line="240" w:lineRule="auto" w:before="40" w:after="40"/>
              <w:jc w:val="left"/>
            </w:pPr>
            <w:r/>
            <w:r>
              <w:rPr>
                <w:rFonts w:ascii="Times New Roman" w:hAnsi="Times New Roman"/>
                <w:b w:val="0"/>
                <w:sz w:val="20"/>
              </w:rPr>
              <w:t>5a</w:t>
            </w:r>
          </w:p>
        </w:tc>
        <w:tc>
          <w:tcPr>
            <w:tcW w:type="dxa" w:w="4032"/>
            <w:vAlign w:val="center"/>
          </w:tcPr>
          <w:p>
            <w:pPr>
              <w:spacing w:line="240" w:lineRule="auto" w:before="40" w:after="40"/>
              <w:jc w:val="center"/>
            </w:pPr>
            <w:r/>
            <w:r>
              <w:rPr>
                <w:rFonts w:ascii="Times New Roman" w:hAnsi="Times New Roman"/>
                <w:b w:val="0"/>
                <w:sz w:val="20"/>
              </w:rPr>
              <w:t>Study population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2.2</w:t>
            </w:r>
          </w:p>
        </w:tc>
      </w:tr>
      <w:tr>
        <w:tc>
          <w:tcPr>
            <w:tcW w:type="dxa" w:w="720"/>
            <w:vAlign w:val="center"/>
          </w:tcPr>
          <w:p>
            <w:pPr>
              <w:spacing w:line="240" w:lineRule="auto" w:before="40" w:after="40"/>
              <w:jc w:val="left"/>
            </w:pPr>
            <w:r/>
            <w:r>
              <w:rPr>
                <w:rFonts w:ascii="Times New Roman" w:hAnsi="Times New Roman"/>
                <w:b w:val="0"/>
                <w:sz w:val="20"/>
              </w:rPr>
              <w:t>5b</w:t>
            </w:r>
          </w:p>
        </w:tc>
        <w:tc>
          <w:tcPr>
            <w:tcW w:type="dxa" w:w="4032"/>
            <w:vAlign w:val="center"/>
          </w:tcPr>
          <w:p>
            <w:pPr>
              <w:spacing w:line="240" w:lineRule="auto" w:before="40" w:after="40"/>
              <w:jc w:val="center"/>
            </w:pPr>
            <w:r/>
            <w:r>
              <w:rPr>
                <w:rFonts w:ascii="Times New Roman" w:hAnsi="Times New Roman"/>
                <w:b w:val="0"/>
                <w:sz w:val="20"/>
              </w:rPr>
              <w:t>Eligibility criteria</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2.2</w:t>
            </w:r>
          </w:p>
        </w:tc>
      </w:tr>
      <w:tr>
        <w:tc>
          <w:tcPr>
            <w:tcW w:type="dxa" w:w="720"/>
            <w:vAlign w:val="center"/>
          </w:tcPr>
          <w:p>
            <w:pPr>
              <w:spacing w:line="240" w:lineRule="auto" w:before="40" w:after="40"/>
              <w:jc w:val="left"/>
            </w:pPr>
            <w:r/>
            <w:r>
              <w:rPr>
                <w:rFonts w:ascii="Times New Roman" w:hAnsi="Times New Roman"/>
                <w:b w:val="0"/>
                <w:sz w:val="20"/>
              </w:rPr>
              <w:t>6a</w:t>
            </w:r>
          </w:p>
        </w:tc>
        <w:tc>
          <w:tcPr>
            <w:tcW w:type="dxa" w:w="4032"/>
            <w:vAlign w:val="center"/>
          </w:tcPr>
          <w:p>
            <w:pPr>
              <w:spacing w:line="240" w:lineRule="auto" w:before="40" w:after="40"/>
              <w:jc w:val="center"/>
            </w:pPr>
            <w:r/>
            <w:r>
              <w:rPr>
                <w:rFonts w:ascii="Times New Roman" w:hAnsi="Times New Roman"/>
                <w:b w:val="0"/>
                <w:sz w:val="20"/>
              </w:rPr>
              <w:t>Outcome definition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2.3</w:t>
            </w:r>
          </w:p>
        </w:tc>
      </w:tr>
      <w:tr>
        <w:tc>
          <w:tcPr>
            <w:tcW w:type="dxa" w:w="720"/>
            <w:vAlign w:val="center"/>
          </w:tcPr>
          <w:p>
            <w:pPr>
              <w:spacing w:line="240" w:lineRule="auto" w:before="40" w:after="40"/>
              <w:jc w:val="left"/>
            </w:pPr>
            <w:r/>
            <w:r>
              <w:rPr>
                <w:rFonts w:ascii="Times New Roman" w:hAnsi="Times New Roman"/>
                <w:b w:val="0"/>
                <w:sz w:val="20"/>
              </w:rPr>
              <w:t>6b</w:t>
            </w:r>
          </w:p>
        </w:tc>
        <w:tc>
          <w:tcPr>
            <w:tcW w:type="dxa" w:w="4032"/>
            <w:vAlign w:val="center"/>
          </w:tcPr>
          <w:p>
            <w:pPr>
              <w:spacing w:line="240" w:lineRule="auto" w:before="40" w:after="40"/>
              <w:jc w:val="center"/>
            </w:pPr>
            <w:r/>
            <w:r>
              <w:rPr>
                <w:rFonts w:ascii="Times New Roman" w:hAnsi="Times New Roman"/>
                <w:b w:val="0"/>
                <w:sz w:val="20"/>
              </w:rPr>
              <w:t>Predictors definition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2.3–2.4</w:t>
            </w:r>
          </w:p>
        </w:tc>
      </w:tr>
      <w:tr>
        <w:tc>
          <w:tcPr>
            <w:tcW w:type="dxa" w:w="720"/>
            <w:vAlign w:val="center"/>
          </w:tcPr>
          <w:p>
            <w:pPr>
              <w:spacing w:line="240" w:lineRule="auto" w:before="40" w:after="40"/>
              <w:jc w:val="left"/>
            </w:pPr>
            <w:r/>
            <w:r>
              <w:rPr>
                <w:rFonts w:ascii="Times New Roman" w:hAnsi="Times New Roman"/>
                <w:b w:val="0"/>
                <w:sz w:val="20"/>
              </w:rPr>
              <w:t>7a</w:t>
            </w:r>
          </w:p>
        </w:tc>
        <w:tc>
          <w:tcPr>
            <w:tcW w:type="dxa" w:w="4032"/>
            <w:vAlign w:val="center"/>
          </w:tcPr>
          <w:p>
            <w:pPr>
              <w:spacing w:line="240" w:lineRule="auto" w:before="40" w:after="40"/>
              <w:jc w:val="center"/>
            </w:pPr>
            <w:r/>
            <w:r>
              <w:rPr>
                <w:rFonts w:ascii="Times New Roman" w:hAnsi="Times New Roman"/>
                <w:b w:val="0"/>
                <w:sz w:val="20"/>
              </w:rPr>
              <w:t>Sample size</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2.2, Results 3.1</w:t>
            </w:r>
          </w:p>
        </w:tc>
      </w:tr>
      <w:tr>
        <w:tc>
          <w:tcPr>
            <w:tcW w:type="dxa" w:w="720"/>
            <w:vAlign w:val="center"/>
          </w:tcPr>
          <w:p>
            <w:pPr>
              <w:spacing w:line="240" w:lineRule="auto" w:before="40" w:after="40"/>
              <w:jc w:val="left"/>
            </w:pPr>
            <w:r/>
            <w:r>
              <w:rPr>
                <w:rFonts w:ascii="Times New Roman" w:hAnsi="Times New Roman"/>
                <w:b w:val="0"/>
                <w:sz w:val="20"/>
              </w:rPr>
              <w:t>7b</w:t>
            </w:r>
          </w:p>
        </w:tc>
        <w:tc>
          <w:tcPr>
            <w:tcW w:type="dxa" w:w="4032"/>
            <w:vAlign w:val="center"/>
          </w:tcPr>
          <w:p>
            <w:pPr>
              <w:spacing w:line="240" w:lineRule="auto" w:before="40" w:after="40"/>
              <w:jc w:val="center"/>
            </w:pPr>
            <w:r/>
            <w:r>
              <w:rPr>
                <w:rFonts w:ascii="Times New Roman" w:hAnsi="Times New Roman"/>
                <w:b w:val="0"/>
                <w:sz w:val="20"/>
              </w:rPr>
              <w:t>Missing data handling</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2.5</w:t>
            </w:r>
          </w:p>
        </w:tc>
      </w:tr>
      <w:tr>
        <w:tc>
          <w:tcPr>
            <w:tcW w:type="dxa" w:w="720"/>
            <w:vAlign w:val="center"/>
          </w:tcPr>
          <w:p>
            <w:pPr>
              <w:spacing w:line="240" w:lineRule="auto" w:before="40" w:after="40"/>
              <w:jc w:val="left"/>
            </w:pPr>
            <w:r/>
            <w:r>
              <w:rPr>
                <w:rFonts w:ascii="Times New Roman" w:hAnsi="Times New Roman"/>
                <w:b w:val="0"/>
                <w:sz w:val="20"/>
              </w:rPr>
              <w:t>8</w:t>
            </w:r>
          </w:p>
        </w:tc>
        <w:tc>
          <w:tcPr>
            <w:tcW w:type="dxa" w:w="4032"/>
            <w:vAlign w:val="center"/>
          </w:tcPr>
          <w:p>
            <w:pPr>
              <w:spacing w:line="240" w:lineRule="auto" w:before="40" w:after="40"/>
              <w:jc w:val="center"/>
            </w:pPr>
            <w:r/>
            <w:r>
              <w:rPr>
                <w:rFonts w:ascii="Times New Roman" w:hAnsi="Times New Roman"/>
                <w:b w:val="0"/>
                <w:sz w:val="20"/>
              </w:rPr>
              <w:t>Model development</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2.6–2.7</w:t>
            </w:r>
          </w:p>
        </w:tc>
      </w:tr>
      <w:tr>
        <w:tc>
          <w:tcPr>
            <w:tcW w:type="dxa" w:w="720"/>
            <w:vAlign w:val="center"/>
          </w:tcPr>
          <w:p>
            <w:pPr>
              <w:spacing w:line="240" w:lineRule="auto" w:before="40" w:after="40"/>
              <w:jc w:val="left"/>
            </w:pPr>
            <w:r/>
            <w:r>
              <w:rPr>
                <w:rFonts w:ascii="Times New Roman" w:hAnsi="Times New Roman"/>
                <w:b w:val="0"/>
                <w:sz w:val="20"/>
              </w:rPr>
              <w:t>9</w:t>
            </w:r>
          </w:p>
        </w:tc>
        <w:tc>
          <w:tcPr>
            <w:tcW w:type="dxa" w:w="4032"/>
            <w:vAlign w:val="center"/>
          </w:tcPr>
          <w:p>
            <w:pPr>
              <w:spacing w:line="240" w:lineRule="auto" w:before="40" w:after="40"/>
              <w:jc w:val="center"/>
            </w:pPr>
            <w:r/>
            <w:r>
              <w:rPr>
                <w:rFonts w:ascii="Times New Roman" w:hAnsi="Times New Roman"/>
                <w:b w:val="0"/>
                <w:sz w:val="20"/>
              </w:rPr>
              <w:t>Model specification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2.6, Results 3.3</w:t>
            </w:r>
          </w:p>
        </w:tc>
      </w:tr>
      <w:tr>
        <w:tc>
          <w:tcPr>
            <w:tcW w:type="dxa" w:w="720"/>
            <w:vAlign w:val="center"/>
          </w:tcPr>
          <w:p>
            <w:pPr>
              <w:spacing w:line="240" w:lineRule="auto" w:before="40" w:after="40"/>
              <w:jc w:val="left"/>
            </w:pPr>
            <w:r/>
            <w:r>
              <w:rPr>
                <w:rFonts w:ascii="Times New Roman" w:hAnsi="Times New Roman"/>
                <w:b w:val="0"/>
                <w:sz w:val="20"/>
              </w:rPr>
              <w:t>10a</w:t>
            </w:r>
          </w:p>
        </w:tc>
        <w:tc>
          <w:tcPr>
            <w:tcW w:type="dxa" w:w="4032"/>
            <w:vAlign w:val="center"/>
          </w:tcPr>
          <w:p>
            <w:pPr>
              <w:spacing w:line="240" w:lineRule="auto" w:before="40" w:after="40"/>
              <w:jc w:val="center"/>
            </w:pPr>
            <w:r/>
            <w:r>
              <w:rPr>
                <w:rFonts w:ascii="Times New Roman" w:hAnsi="Times New Roman"/>
                <w:b w:val="0"/>
                <w:sz w:val="20"/>
              </w:rPr>
              <w:t>Internal validation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2.7</w:t>
            </w:r>
          </w:p>
        </w:tc>
      </w:tr>
      <w:tr>
        <w:tc>
          <w:tcPr>
            <w:tcW w:type="dxa" w:w="720"/>
            <w:vAlign w:val="center"/>
          </w:tcPr>
          <w:p>
            <w:pPr>
              <w:spacing w:line="240" w:lineRule="auto" w:before="40" w:after="40"/>
              <w:jc w:val="left"/>
            </w:pPr>
            <w:r/>
            <w:r>
              <w:rPr>
                <w:rFonts w:ascii="Times New Roman" w:hAnsi="Times New Roman"/>
                <w:b w:val="0"/>
                <w:sz w:val="20"/>
              </w:rPr>
              <w:t>10b</w:t>
            </w:r>
          </w:p>
        </w:tc>
        <w:tc>
          <w:tcPr>
            <w:tcW w:type="dxa" w:w="4032"/>
            <w:vAlign w:val="center"/>
          </w:tcPr>
          <w:p>
            <w:pPr>
              <w:spacing w:line="240" w:lineRule="auto" w:before="40" w:after="40"/>
              <w:jc w:val="center"/>
            </w:pPr>
            <w:r/>
            <w:r>
              <w:rPr>
                <w:rFonts w:ascii="Times New Roman" w:hAnsi="Times New Roman"/>
                <w:b w:val="0"/>
                <w:sz w:val="20"/>
              </w:rPr>
              <w:t>External validation</w:t>
            </w:r>
          </w:p>
        </w:tc>
        <w:tc>
          <w:tcPr>
            <w:tcW w:type="dxa" w:w="1008"/>
            <w:vAlign w:val="center"/>
          </w:tcPr>
          <w:p>
            <w:pPr>
              <w:spacing w:line="240" w:lineRule="auto" w:before="40" w:after="40"/>
              <w:jc w:val="center"/>
            </w:pPr>
            <w:r/>
            <w:r>
              <w:rPr>
                <w:rFonts w:ascii="Times New Roman" w:hAnsi="Times New Roman"/>
                <w:b w:val="0"/>
                <w:sz w:val="20"/>
              </w:rPr>
              <w:t>N/A</w:t>
            </w:r>
          </w:p>
        </w:tc>
        <w:tc>
          <w:tcPr>
            <w:tcW w:type="dxa" w:w="2160"/>
            <w:vAlign w:val="center"/>
          </w:tcPr>
          <w:p>
            <w:pPr>
              <w:spacing w:line="240" w:lineRule="auto" w:before="40" w:after="40"/>
              <w:jc w:val="center"/>
            </w:pPr>
            <w:r/>
            <w:r>
              <w:rPr>
                <w:rFonts w:ascii="Times New Roman" w:hAnsi="Times New Roman"/>
                <w:b w:val="0"/>
                <w:sz w:val="20"/>
              </w:rPr>
              <w:t>Limitations</w:t>
            </w:r>
          </w:p>
        </w:tc>
      </w:tr>
      <w:tr>
        <w:tc>
          <w:tcPr>
            <w:tcW w:type="dxa" w:w="720"/>
            <w:vAlign w:val="center"/>
          </w:tcPr>
          <w:p>
            <w:pPr>
              <w:spacing w:line="240" w:lineRule="auto" w:before="40" w:after="40"/>
              <w:jc w:val="left"/>
            </w:pPr>
            <w:r/>
            <w:r>
              <w:rPr>
                <w:rFonts w:ascii="Times New Roman" w:hAnsi="Times New Roman"/>
                <w:b w:val="0"/>
                <w:sz w:val="20"/>
              </w:rPr>
              <w:t>11</w:t>
            </w:r>
          </w:p>
        </w:tc>
        <w:tc>
          <w:tcPr>
            <w:tcW w:type="dxa" w:w="4032"/>
            <w:vAlign w:val="center"/>
          </w:tcPr>
          <w:p>
            <w:pPr>
              <w:spacing w:line="240" w:lineRule="auto" w:before="40" w:after="40"/>
              <w:jc w:val="center"/>
            </w:pPr>
            <w:r/>
            <w:r>
              <w:rPr>
                <w:rFonts w:ascii="Times New Roman" w:hAnsi="Times New Roman"/>
                <w:b w:val="0"/>
                <w:sz w:val="20"/>
              </w:rPr>
              <w:t>Performance measures with CI</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Results 3.3</w:t>
            </w:r>
          </w:p>
        </w:tc>
      </w:tr>
      <w:tr>
        <w:tc>
          <w:tcPr>
            <w:tcW w:type="dxa" w:w="720"/>
            <w:vAlign w:val="center"/>
          </w:tcPr>
          <w:p>
            <w:pPr>
              <w:spacing w:line="240" w:lineRule="auto" w:before="40" w:after="40"/>
              <w:jc w:val="left"/>
            </w:pPr>
            <w:r/>
            <w:r>
              <w:rPr>
                <w:rFonts w:ascii="Times New Roman" w:hAnsi="Times New Roman"/>
                <w:b w:val="0"/>
                <w:sz w:val="20"/>
              </w:rPr>
              <w:t>12</w:t>
            </w:r>
          </w:p>
        </w:tc>
        <w:tc>
          <w:tcPr>
            <w:tcW w:type="dxa" w:w="4032"/>
            <w:vAlign w:val="center"/>
          </w:tcPr>
          <w:p>
            <w:pPr>
              <w:spacing w:line="240" w:lineRule="auto" w:before="40" w:after="40"/>
              <w:jc w:val="center"/>
            </w:pPr>
            <w:r/>
            <w:r>
              <w:rPr>
                <w:rFonts w:ascii="Times New Roman" w:hAnsi="Times New Roman"/>
                <w:b w:val="0"/>
                <w:sz w:val="20"/>
              </w:rPr>
              <w:t>Model updating</w:t>
            </w:r>
          </w:p>
        </w:tc>
        <w:tc>
          <w:tcPr>
            <w:tcW w:type="dxa" w:w="1008"/>
            <w:vAlign w:val="center"/>
          </w:tcPr>
          <w:p>
            <w:pPr>
              <w:spacing w:line="240" w:lineRule="auto" w:before="40" w:after="40"/>
              <w:jc w:val="center"/>
            </w:pPr>
            <w:r/>
            <w:r>
              <w:rPr>
                <w:rFonts w:ascii="Times New Roman" w:hAnsi="Times New Roman"/>
                <w:b w:val="0"/>
                <w:sz w:val="20"/>
              </w:rPr>
              <w:t>N/A</w:t>
            </w:r>
          </w:p>
        </w:tc>
        <w:tc>
          <w:tcPr>
            <w:tcW w:type="dxa" w:w="2160"/>
            <w:vAlign w:val="center"/>
          </w:tcPr>
          <w:p>
            <w:pPr>
              <w:spacing w:line="240" w:lineRule="auto" w:before="40" w:after="40"/>
              <w:jc w:val="center"/>
            </w:pPr>
            <w:r/>
            <w:r>
              <w:rPr>
                <w:rFonts w:ascii="Times New Roman" w:hAnsi="Times New Roman"/>
                <w:b w:val="0"/>
                <w:sz w:val="20"/>
              </w:rPr>
              <w:t>Not applicable</w:t>
            </w:r>
          </w:p>
        </w:tc>
      </w:tr>
      <w:tr>
        <w:tc>
          <w:tcPr>
            <w:tcW w:type="dxa" w:w="720"/>
            <w:vAlign w:val="center"/>
          </w:tcPr>
          <w:p>
            <w:pPr>
              <w:spacing w:line="240" w:lineRule="auto" w:before="40" w:after="40"/>
              <w:jc w:val="left"/>
            </w:pPr>
            <w:r/>
            <w:r>
              <w:rPr>
                <w:rFonts w:ascii="Times New Roman" w:hAnsi="Times New Roman"/>
                <w:b w:val="0"/>
                <w:sz w:val="20"/>
              </w:rPr>
              <w:t>13</w:t>
            </w:r>
          </w:p>
        </w:tc>
        <w:tc>
          <w:tcPr>
            <w:tcW w:type="dxa" w:w="4032"/>
            <w:vAlign w:val="center"/>
          </w:tcPr>
          <w:p>
            <w:pPr>
              <w:spacing w:line="240" w:lineRule="auto" w:before="40" w:after="40"/>
              <w:jc w:val="center"/>
            </w:pPr>
            <w:r/>
            <w:r>
              <w:rPr>
                <w:rFonts w:ascii="Times New Roman" w:hAnsi="Times New Roman"/>
                <w:b w:val="0"/>
                <w:sz w:val="20"/>
              </w:rPr>
              <w:t>Interpretability/explainability</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2.9, Results 3.6</w:t>
            </w:r>
          </w:p>
        </w:tc>
      </w:tr>
      <w:tr>
        <w:tc>
          <w:tcPr>
            <w:tcW w:type="dxa" w:w="720"/>
            <w:vAlign w:val="center"/>
          </w:tcPr>
          <w:p>
            <w:pPr>
              <w:spacing w:line="240" w:lineRule="auto" w:before="40" w:after="40"/>
              <w:jc w:val="left"/>
            </w:pPr>
            <w:r/>
            <w:r>
              <w:rPr>
                <w:rFonts w:ascii="Times New Roman" w:hAnsi="Times New Roman"/>
                <w:b w:val="0"/>
                <w:sz w:val="20"/>
              </w:rPr>
              <w:t>14a</w:t>
            </w:r>
          </w:p>
        </w:tc>
        <w:tc>
          <w:tcPr>
            <w:tcW w:type="dxa" w:w="4032"/>
            <w:vAlign w:val="center"/>
          </w:tcPr>
          <w:p>
            <w:pPr>
              <w:spacing w:line="240" w:lineRule="auto" w:before="40" w:after="40"/>
              <w:jc w:val="center"/>
            </w:pPr>
            <w:r/>
            <w:r>
              <w:rPr>
                <w:rFonts w:ascii="Times New Roman" w:hAnsi="Times New Roman"/>
                <w:b w:val="0"/>
                <w:sz w:val="20"/>
              </w:rPr>
              <w:t>Risk of bias assessment</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2.12</w:t>
            </w:r>
          </w:p>
        </w:tc>
      </w:tr>
      <w:tr>
        <w:tc>
          <w:tcPr>
            <w:tcW w:type="dxa" w:w="720"/>
            <w:vAlign w:val="center"/>
          </w:tcPr>
          <w:p>
            <w:pPr>
              <w:spacing w:line="240" w:lineRule="auto" w:before="40" w:after="40"/>
              <w:jc w:val="left"/>
            </w:pPr>
            <w:r/>
            <w:r>
              <w:rPr>
                <w:rFonts w:ascii="Times New Roman" w:hAnsi="Times New Roman"/>
                <w:b w:val="0"/>
                <w:sz w:val="20"/>
              </w:rPr>
              <w:t>14b</w:t>
            </w:r>
          </w:p>
        </w:tc>
        <w:tc>
          <w:tcPr>
            <w:tcW w:type="dxa" w:w="4032"/>
            <w:vAlign w:val="center"/>
          </w:tcPr>
          <w:p>
            <w:pPr>
              <w:spacing w:line="240" w:lineRule="auto" w:before="40" w:after="40"/>
              <w:jc w:val="center"/>
            </w:pPr>
            <w:r/>
            <w:r>
              <w:rPr>
                <w:rFonts w:ascii="Times New Roman" w:hAnsi="Times New Roman"/>
                <w:b w:val="0"/>
                <w:sz w:val="20"/>
              </w:rPr>
              <w:t>Reporting guideline adherence</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2.11</w:t>
            </w:r>
          </w:p>
        </w:tc>
      </w:tr>
      <w:tr>
        <w:tc>
          <w:tcPr>
            <w:tcW w:type="dxa" w:w="720"/>
            <w:vAlign w:val="center"/>
          </w:tcPr>
          <w:p>
            <w:pPr>
              <w:spacing w:line="240" w:lineRule="auto" w:before="40" w:after="40"/>
              <w:jc w:val="left"/>
            </w:pPr>
            <w:r/>
            <w:r>
              <w:rPr>
                <w:rFonts w:ascii="Times New Roman" w:hAnsi="Times New Roman"/>
                <w:b w:val="0"/>
                <w:sz w:val="20"/>
              </w:rPr>
              <w:t>15</w:t>
            </w:r>
          </w:p>
        </w:tc>
        <w:tc>
          <w:tcPr>
            <w:tcW w:type="dxa" w:w="4032"/>
            <w:vAlign w:val="center"/>
          </w:tcPr>
          <w:p>
            <w:pPr>
              <w:spacing w:line="240" w:lineRule="auto" w:before="40" w:after="40"/>
              <w:jc w:val="center"/>
            </w:pPr>
            <w:r/>
            <w:r>
              <w:rPr>
                <w:rFonts w:ascii="Times New Roman" w:hAnsi="Times New Roman"/>
                <w:b w:val="0"/>
                <w:sz w:val="20"/>
              </w:rPr>
              <w:t>Limitations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Discussion</w:t>
            </w:r>
          </w:p>
        </w:tc>
      </w:tr>
      <w:tr>
        <w:tc>
          <w:tcPr>
            <w:tcW w:type="dxa" w:w="720"/>
            <w:vAlign w:val="center"/>
          </w:tcPr>
          <w:p>
            <w:pPr>
              <w:spacing w:line="240" w:lineRule="auto" w:before="40" w:after="40"/>
              <w:jc w:val="left"/>
            </w:pPr>
            <w:r/>
            <w:r>
              <w:rPr>
                <w:rFonts w:ascii="Times New Roman" w:hAnsi="Times New Roman"/>
                <w:b w:val="0"/>
                <w:sz w:val="20"/>
              </w:rPr>
              <w:t>16</w:t>
            </w:r>
          </w:p>
        </w:tc>
        <w:tc>
          <w:tcPr>
            <w:tcW w:type="dxa" w:w="4032"/>
            <w:vAlign w:val="center"/>
          </w:tcPr>
          <w:p>
            <w:pPr>
              <w:spacing w:line="240" w:lineRule="auto" w:before="40" w:after="40"/>
              <w:jc w:val="center"/>
            </w:pPr>
            <w:r/>
            <w:r>
              <w:rPr>
                <w:rFonts w:ascii="Times New Roman" w:hAnsi="Times New Roman"/>
                <w:b w:val="0"/>
                <w:sz w:val="20"/>
              </w:rPr>
              <w:t>Implications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Discussion</w:t>
            </w:r>
          </w:p>
        </w:tc>
      </w:tr>
      <w:tr>
        <w:tc>
          <w:tcPr>
            <w:tcW w:type="dxa" w:w="720"/>
            <w:vAlign w:val="center"/>
          </w:tcPr>
          <w:p>
            <w:pPr>
              <w:spacing w:line="240" w:lineRule="auto" w:before="40" w:after="40"/>
              <w:jc w:val="left"/>
            </w:pPr>
            <w:r/>
            <w:r>
              <w:rPr>
                <w:rFonts w:ascii="Times New Roman" w:hAnsi="Times New Roman"/>
                <w:b w:val="0"/>
                <w:sz w:val="20"/>
              </w:rPr>
              <w:t>17</w:t>
            </w:r>
          </w:p>
        </w:tc>
        <w:tc>
          <w:tcPr>
            <w:tcW w:type="dxa" w:w="4032"/>
            <w:vAlign w:val="center"/>
          </w:tcPr>
          <w:p>
            <w:pPr>
              <w:spacing w:line="240" w:lineRule="auto" w:before="40" w:after="40"/>
              <w:jc w:val="center"/>
            </w:pPr>
            <w:r/>
            <w:r>
              <w:rPr>
                <w:rFonts w:ascii="Times New Roman" w:hAnsi="Times New Roman"/>
                <w:b w:val="0"/>
                <w:sz w:val="20"/>
              </w:rPr>
              <w:t>Data and code availability</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Data Availability</w:t>
            </w:r>
          </w:p>
        </w:tc>
      </w:tr>
      <w:tr>
        <w:tc>
          <w:tcPr>
            <w:tcW w:type="dxa" w:w="720"/>
            <w:vAlign w:val="center"/>
          </w:tcPr>
          <w:p>
            <w:pPr>
              <w:spacing w:line="240" w:lineRule="auto" w:before="40" w:after="40"/>
              <w:jc w:val="left"/>
            </w:pPr>
            <w:r/>
            <w:r>
              <w:rPr>
                <w:rFonts w:ascii="Times New Roman" w:hAnsi="Times New Roman"/>
                <w:b w:val="0"/>
                <w:sz w:val="20"/>
              </w:rPr>
              <w:t>18</w:t>
            </w:r>
          </w:p>
        </w:tc>
        <w:tc>
          <w:tcPr>
            <w:tcW w:type="dxa" w:w="4032"/>
            <w:vAlign w:val="center"/>
          </w:tcPr>
          <w:p>
            <w:pPr>
              <w:spacing w:line="240" w:lineRule="auto" w:before="40" w:after="40"/>
              <w:jc w:val="center"/>
            </w:pPr>
            <w:r/>
            <w:r>
              <w:rPr>
                <w:rFonts w:ascii="Times New Roman" w:hAnsi="Times New Roman"/>
                <w:b w:val="0"/>
                <w:sz w:val="20"/>
              </w:rPr>
              <w:t>Supplementary information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Supplementary</w:t>
            </w:r>
          </w:p>
        </w:tc>
      </w:tr>
      <w:tr>
        <w:tc>
          <w:tcPr>
            <w:tcW w:type="dxa" w:w="720"/>
            <w:vAlign w:val="center"/>
          </w:tcPr>
          <w:p>
            <w:pPr>
              <w:spacing w:line="240" w:lineRule="auto" w:before="40" w:after="40"/>
              <w:jc w:val="left"/>
            </w:pPr>
            <w:r/>
            <w:r>
              <w:rPr>
                <w:rFonts w:ascii="Times New Roman" w:hAnsi="Times New Roman"/>
                <w:b w:val="0"/>
                <w:sz w:val="20"/>
              </w:rPr>
              <w:t>19</w:t>
            </w:r>
          </w:p>
        </w:tc>
        <w:tc>
          <w:tcPr>
            <w:tcW w:type="dxa" w:w="4032"/>
            <w:vAlign w:val="center"/>
          </w:tcPr>
          <w:p>
            <w:pPr>
              <w:spacing w:line="240" w:lineRule="auto" w:before="40" w:after="40"/>
              <w:jc w:val="center"/>
            </w:pPr>
            <w:r/>
            <w:r>
              <w:rPr>
                <w:rFonts w:ascii="Times New Roman" w:hAnsi="Times New Roman"/>
                <w:b w:val="0"/>
                <w:sz w:val="20"/>
              </w:rPr>
              <w:t>Funding statement</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Conflict of Interest</w:t>
            </w:r>
          </w:p>
        </w:tc>
      </w:tr>
      <w:tr>
        <w:tc>
          <w:tcPr>
            <w:tcW w:type="dxa" w:w="720"/>
            <w:vAlign w:val="center"/>
          </w:tcPr>
          <w:p>
            <w:pPr>
              <w:spacing w:line="240" w:lineRule="auto" w:before="40" w:after="40"/>
              <w:jc w:val="left"/>
            </w:pPr>
            <w:r/>
            <w:r>
              <w:rPr>
                <w:rFonts w:ascii="Times New Roman" w:hAnsi="Times New Roman"/>
                <w:b w:val="0"/>
                <w:sz w:val="20"/>
              </w:rPr>
              <w:t>20</w:t>
            </w:r>
          </w:p>
        </w:tc>
        <w:tc>
          <w:tcPr>
            <w:tcW w:type="dxa" w:w="4032"/>
            <w:vAlign w:val="center"/>
          </w:tcPr>
          <w:p>
            <w:pPr>
              <w:spacing w:line="240" w:lineRule="auto" w:before="40" w:after="40"/>
              <w:jc w:val="center"/>
            </w:pPr>
            <w:r/>
            <w:r>
              <w:rPr>
                <w:rFonts w:ascii="Times New Roman" w:hAnsi="Times New Roman"/>
                <w:b w:val="0"/>
                <w:sz w:val="20"/>
              </w:rPr>
              <w:t>AI-specific: model type described</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2.6</w:t>
            </w:r>
          </w:p>
        </w:tc>
      </w:tr>
      <w:tr>
        <w:tc>
          <w:tcPr>
            <w:tcW w:type="dxa" w:w="720"/>
            <w:vAlign w:val="center"/>
          </w:tcPr>
          <w:p>
            <w:pPr>
              <w:spacing w:line="240" w:lineRule="auto" w:before="40" w:after="40"/>
              <w:jc w:val="left"/>
            </w:pPr>
            <w:r/>
            <w:r>
              <w:rPr>
                <w:rFonts w:ascii="Times New Roman" w:hAnsi="Times New Roman"/>
                <w:b w:val="0"/>
                <w:sz w:val="20"/>
              </w:rPr>
              <w:t>21</w:t>
            </w:r>
          </w:p>
        </w:tc>
        <w:tc>
          <w:tcPr>
            <w:tcW w:type="dxa" w:w="4032"/>
            <w:vAlign w:val="center"/>
          </w:tcPr>
          <w:p>
            <w:pPr>
              <w:spacing w:line="240" w:lineRule="auto" w:before="40" w:after="40"/>
              <w:jc w:val="center"/>
            </w:pPr>
            <w:r/>
            <w:r>
              <w:rPr>
                <w:rFonts w:ascii="Times New Roman" w:hAnsi="Times New Roman"/>
                <w:b w:val="0"/>
                <w:sz w:val="20"/>
              </w:rPr>
              <w:t>AI-specific: hyperparameter tuning</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2.7</w:t>
            </w:r>
          </w:p>
        </w:tc>
      </w:tr>
      <w:tr>
        <w:tc>
          <w:tcPr>
            <w:tcW w:type="dxa" w:w="720"/>
            <w:vAlign w:val="center"/>
          </w:tcPr>
          <w:p>
            <w:pPr>
              <w:spacing w:line="240" w:lineRule="auto" w:before="40" w:after="40"/>
              <w:jc w:val="left"/>
            </w:pPr>
            <w:r/>
            <w:r>
              <w:rPr>
                <w:rFonts w:ascii="Times New Roman" w:hAnsi="Times New Roman"/>
                <w:b w:val="0"/>
                <w:sz w:val="20"/>
              </w:rPr>
              <w:t>22</w:t>
            </w:r>
          </w:p>
        </w:tc>
        <w:tc>
          <w:tcPr>
            <w:tcW w:type="dxa" w:w="4032"/>
            <w:vAlign w:val="center"/>
          </w:tcPr>
          <w:p>
            <w:pPr>
              <w:spacing w:line="240" w:lineRule="auto" w:before="40" w:after="40"/>
              <w:jc w:val="center"/>
            </w:pPr>
            <w:r/>
            <w:r>
              <w:rPr>
                <w:rFonts w:ascii="Times New Roman" w:hAnsi="Times New Roman"/>
                <w:b w:val="0"/>
                <w:sz w:val="20"/>
              </w:rPr>
              <w:t>AI-specific: software/packages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2.10</w:t>
            </w:r>
          </w:p>
        </w:tc>
      </w:tr>
      <w:tr>
        <w:tc>
          <w:tcPr>
            <w:tcW w:type="dxa" w:w="720"/>
            <w:vAlign w:val="center"/>
          </w:tcPr>
          <w:p>
            <w:pPr>
              <w:spacing w:line="240" w:lineRule="auto" w:before="40" w:after="40"/>
              <w:jc w:val="left"/>
            </w:pPr>
            <w:r/>
            <w:r>
              <w:rPr>
                <w:rFonts w:ascii="Times New Roman" w:hAnsi="Times New Roman"/>
                <w:b w:val="0"/>
                <w:sz w:val="20"/>
              </w:rPr>
              <w:t>23</w:t>
            </w:r>
          </w:p>
        </w:tc>
        <w:tc>
          <w:tcPr>
            <w:tcW w:type="dxa" w:w="4032"/>
            <w:vAlign w:val="center"/>
          </w:tcPr>
          <w:p>
            <w:pPr>
              <w:spacing w:line="240" w:lineRule="auto" w:before="40" w:after="40"/>
              <w:jc w:val="center"/>
            </w:pPr>
            <w:r/>
            <w:r>
              <w:rPr>
                <w:rFonts w:ascii="Times New Roman" w:hAnsi="Times New Roman"/>
                <w:b w:val="0"/>
                <w:sz w:val="20"/>
              </w:rPr>
              <w:t>AI-specific: feature importance</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Results 3.6</w:t>
            </w:r>
          </w:p>
        </w:tc>
      </w:tr>
      <w:tr>
        <w:tc>
          <w:tcPr>
            <w:tcW w:type="dxa" w:w="720"/>
            <w:vAlign w:val="center"/>
          </w:tcPr>
          <w:p>
            <w:pPr>
              <w:spacing w:line="240" w:lineRule="auto" w:before="40" w:after="40"/>
              <w:jc w:val="left"/>
            </w:pPr>
            <w:r/>
            <w:r>
              <w:rPr>
                <w:rFonts w:ascii="Times New Roman" w:hAnsi="Times New Roman"/>
                <w:b w:val="0"/>
                <w:sz w:val="20"/>
              </w:rPr>
              <w:t>24</w:t>
            </w:r>
          </w:p>
        </w:tc>
        <w:tc>
          <w:tcPr>
            <w:tcW w:type="dxa" w:w="4032"/>
            <w:vAlign w:val="center"/>
          </w:tcPr>
          <w:p>
            <w:pPr>
              <w:spacing w:line="240" w:lineRule="auto" w:before="40" w:after="40"/>
              <w:jc w:val="center"/>
            </w:pPr>
            <w:r/>
            <w:r>
              <w:rPr>
                <w:rFonts w:ascii="Times New Roman" w:hAnsi="Times New Roman"/>
                <w:b w:val="0"/>
                <w:sz w:val="20"/>
              </w:rPr>
              <w:t>AI-specific: fairness considerations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Methods 2.6</w:t>
            </w:r>
          </w:p>
        </w:tc>
      </w:tr>
      <w:tr>
        <w:tc>
          <w:tcPr>
            <w:tcW w:type="dxa" w:w="720"/>
            <w:vAlign w:val="center"/>
          </w:tcPr>
          <w:p>
            <w:pPr>
              <w:spacing w:line="240" w:lineRule="auto" w:before="40" w:after="40"/>
              <w:jc w:val="left"/>
            </w:pPr>
            <w:r/>
            <w:r>
              <w:rPr>
                <w:rFonts w:ascii="Times New Roman" w:hAnsi="Times New Roman"/>
                <w:b w:val="0"/>
                <w:sz w:val="20"/>
              </w:rPr>
              <w:t>25</w:t>
            </w:r>
          </w:p>
        </w:tc>
        <w:tc>
          <w:tcPr>
            <w:tcW w:type="dxa" w:w="4032"/>
            <w:vAlign w:val="center"/>
          </w:tcPr>
          <w:p>
            <w:pPr>
              <w:spacing w:line="240" w:lineRule="auto" w:before="40" w:after="40"/>
              <w:jc w:val="center"/>
            </w:pPr>
            <w:r/>
            <w:r>
              <w:rPr>
                <w:rFonts w:ascii="Times New Roman" w:hAnsi="Times New Roman"/>
                <w:b w:val="0"/>
                <w:sz w:val="20"/>
              </w:rPr>
              <w:t>AI-specific: calibration</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Discussion</w:t>
            </w:r>
          </w:p>
        </w:tc>
      </w:tr>
      <w:tr>
        <w:tc>
          <w:tcPr>
            <w:tcW w:type="dxa" w:w="720"/>
            <w:vAlign w:val="center"/>
          </w:tcPr>
          <w:p>
            <w:pPr>
              <w:spacing w:line="240" w:lineRule="auto" w:before="40" w:after="40"/>
              <w:jc w:val="left"/>
            </w:pPr>
            <w:r/>
            <w:r>
              <w:rPr>
                <w:rFonts w:ascii="Times New Roman" w:hAnsi="Times New Roman"/>
                <w:b w:val="0"/>
                <w:sz w:val="20"/>
              </w:rPr>
              <w:t>26</w:t>
            </w:r>
          </w:p>
        </w:tc>
        <w:tc>
          <w:tcPr>
            <w:tcW w:type="dxa" w:w="4032"/>
            <w:vAlign w:val="center"/>
          </w:tcPr>
          <w:p>
            <w:pPr>
              <w:spacing w:line="240" w:lineRule="auto" w:before="40" w:after="40"/>
              <w:jc w:val="center"/>
            </w:pPr>
            <w:r/>
            <w:r>
              <w:rPr>
                <w:rFonts w:ascii="Times New Roman" w:hAnsi="Times New Roman"/>
                <w:b w:val="0"/>
                <w:sz w:val="20"/>
              </w:rPr>
              <w:t>AI-specific: decision curve analysis</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Discussion</w:t>
            </w:r>
          </w:p>
        </w:tc>
      </w:tr>
      <w:tr>
        <w:tc>
          <w:tcPr>
            <w:tcW w:type="dxa" w:w="720"/>
            <w:vAlign w:val="center"/>
          </w:tcPr>
          <w:p>
            <w:pPr>
              <w:spacing w:line="240" w:lineRule="auto" w:before="40" w:after="40"/>
              <w:jc w:val="left"/>
            </w:pPr>
            <w:r/>
            <w:r>
              <w:rPr>
                <w:rFonts w:ascii="Times New Roman" w:hAnsi="Times New Roman"/>
                <w:b w:val="0"/>
                <w:sz w:val="20"/>
              </w:rPr>
              <w:t>27</w:t>
            </w:r>
          </w:p>
        </w:tc>
        <w:tc>
          <w:tcPr>
            <w:tcW w:type="dxa" w:w="4032"/>
            <w:vAlign w:val="center"/>
          </w:tcPr>
          <w:p>
            <w:pPr>
              <w:spacing w:line="240" w:lineRule="auto" w:before="40" w:after="40"/>
              <w:jc w:val="center"/>
            </w:pPr>
            <w:r/>
            <w:r>
              <w:rPr>
                <w:rFonts w:ascii="Times New Roman" w:hAnsi="Times New Roman"/>
                <w:b w:val="0"/>
                <w:sz w:val="20"/>
              </w:rPr>
              <w:t>AI-specific: reproducibility</w:t>
            </w:r>
          </w:p>
        </w:tc>
        <w:tc>
          <w:tcPr>
            <w:tcW w:type="dxa" w:w="1008"/>
            <w:vAlign w:val="center"/>
          </w:tcPr>
          <w:p>
            <w:pPr>
              <w:spacing w:line="240" w:lineRule="auto" w:before="40" w:after="40"/>
              <w:jc w:val="center"/>
            </w:pPr>
            <w:r/>
            <w:r>
              <w:rPr>
                <w:rFonts w:ascii="Times New Roman" w:hAnsi="Times New Roman"/>
                <w:b w:val="0"/>
                <w:sz w:val="20"/>
              </w:rPr>
              <w:t>Yes</w:t>
            </w:r>
          </w:p>
        </w:tc>
        <w:tc>
          <w:tcPr>
            <w:tcW w:type="dxa" w:w="2160"/>
            <w:vAlign w:val="center"/>
          </w:tcPr>
          <w:p>
            <w:pPr>
              <w:spacing w:line="240" w:lineRule="auto" w:before="40" w:after="40"/>
              <w:jc w:val="center"/>
            </w:pPr>
            <w:r/>
            <w:r>
              <w:rPr>
                <w:rFonts w:ascii="Times New Roman" w:hAnsi="Times New Roman"/>
                <w:b w:val="0"/>
                <w:sz w:val="20"/>
              </w:rPr>
              <w:t>Results 3.7</w:t>
            </w:r>
          </w:p>
        </w:tc>
      </w:tr>
    </w:tbl>
    <w:p>
      <w:r>
        <w:br w:type="page"/>
      </w:r>
    </w:p>
    <w:p>
      <w:pPr>
        <w:spacing w:line="480" w:lineRule="auto" w:after="120"/>
        <w:jc w:val="center"/>
      </w:pPr>
      <w:r>
        <w:rPr>
          <w:rFonts w:ascii="Times New Roman" w:hAnsi="Times New Roman"/>
          <w:b/>
          <w:i w:val="0"/>
          <w:sz w:val="24"/>
        </w:rPr>
        <w:t>Supplementary Table S2. PROBAST Risk of Bias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fill="D9E2F3"/>
          </w:tcPr>
          <w:p>
            <w:pPr>
              <w:spacing w:line="240" w:lineRule="auto" w:before="40" w:after="40"/>
              <w:jc w:val="center"/>
            </w:pPr>
            <w:r/>
            <w:r>
              <w:rPr>
                <w:rFonts w:ascii="Times New Roman" w:hAnsi="Times New Roman"/>
                <w:b/>
                <w:sz w:val="20"/>
              </w:rPr>
              <w:t>Domain</w:t>
            </w:r>
          </w:p>
        </w:tc>
        <w:tc>
          <w:tcPr>
            <w:tcW w:type="dxa" w:w="2592"/>
            <w:vAlign w:val="center"/>
            <w:shd w:fill="D9E2F3"/>
          </w:tcPr>
          <w:p>
            <w:pPr>
              <w:spacing w:line="240" w:lineRule="auto" w:before="40" w:after="40"/>
              <w:jc w:val="center"/>
            </w:pPr>
            <w:r/>
            <w:r>
              <w:rPr>
                <w:rFonts w:ascii="Times New Roman" w:hAnsi="Times New Roman"/>
                <w:b/>
                <w:sz w:val="20"/>
              </w:rPr>
              <w:t>Signaling Question</w:t>
            </w:r>
          </w:p>
        </w:tc>
        <w:tc>
          <w:tcPr>
            <w:tcW w:type="dxa" w:w="1440"/>
            <w:vAlign w:val="center"/>
            <w:shd w:fill="D9E2F3"/>
          </w:tcPr>
          <w:p>
            <w:pPr>
              <w:spacing w:line="240" w:lineRule="auto" w:before="40" w:after="40"/>
              <w:jc w:val="center"/>
            </w:pPr>
            <w:r/>
            <w:r>
              <w:rPr>
                <w:rFonts w:ascii="Times New Roman" w:hAnsi="Times New Roman"/>
                <w:b/>
                <w:sz w:val="20"/>
              </w:rPr>
              <w:t>Assessment</w:t>
            </w:r>
          </w:p>
        </w:tc>
        <w:tc>
          <w:tcPr>
            <w:tcW w:type="dxa" w:w="3600"/>
            <w:vAlign w:val="center"/>
            <w:shd w:fill="D9E2F3"/>
          </w:tcPr>
          <w:p>
            <w:pPr>
              <w:spacing w:line="240" w:lineRule="auto" w:before="40" w:after="40"/>
              <w:jc w:val="center"/>
            </w:pPr>
            <w:r/>
            <w:r>
              <w:rPr>
                <w:rFonts w:ascii="Times New Roman" w:hAnsi="Times New Roman"/>
                <w:b/>
                <w:sz w:val="20"/>
              </w:rPr>
              <w:t>Justification</w:t>
            </w:r>
          </w:p>
        </w:tc>
      </w:tr>
      <w:tr>
        <w:tc>
          <w:tcPr>
            <w:tcW w:type="dxa" w:w="1728"/>
            <w:vAlign w:val="center"/>
          </w:tcPr>
          <w:p>
            <w:pPr>
              <w:spacing w:line="240" w:lineRule="auto" w:before="40" w:after="40"/>
              <w:jc w:val="left"/>
            </w:pPr>
            <w:r/>
            <w:r>
              <w:rPr>
                <w:rFonts w:ascii="Times New Roman" w:hAnsi="Times New Roman"/>
                <w:b w:val="0"/>
                <w:sz w:val="20"/>
              </w:rPr>
              <w:t>1. Participants</w:t>
            </w:r>
          </w:p>
        </w:tc>
        <w:tc>
          <w:tcPr>
            <w:tcW w:type="dxa" w:w="2592"/>
            <w:vAlign w:val="center"/>
          </w:tcPr>
          <w:p>
            <w:pPr>
              <w:spacing w:line="240" w:lineRule="auto" w:before="40" w:after="40"/>
              <w:jc w:val="center"/>
            </w:pPr>
            <w:r/>
            <w:r>
              <w:rPr>
                <w:rFonts w:ascii="Times New Roman" w:hAnsi="Times New Roman"/>
                <w:b w:val="0"/>
                <w:sz w:val="20"/>
              </w:rPr>
              <w:t>Appropriate data source?</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Consecutive cohort at tertiary center</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Appropriate inclusion/exclusion?</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Clear NOA criteria, minimal exclusions (1.5%)</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Adequate study population?</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n=2,413; adequate for model complexity</w:t>
            </w:r>
          </w:p>
        </w:tc>
      </w:tr>
      <w:tr>
        <w:tc>
          <w:tcPr>
            <w:tcW w:type="dxa" w:w="1728"/>
            <w:vAlign w:val="center"/>
          </w:tcPr>
          <w:p>
            <w:pPr>
              <w:spacing w:line="240" w:lineRule="auto" w:before="40" w:after="40"/>
              <w:jc w:val="left"/>
            </w:pPr>
            <w:r/>
            <w:r>
              <w:rPr>
                <w:rFonts w:ascii="Times New Roman" w:hAnsi="Times New Roman"/>
                <w:b w:val="0"/>
                <w:sz w:val="20"/>
              </w:rPr>
              <w:t>2. Predictors</w:t>
            </w:r>
          </w:p>
        </w:tc>
        <w:tc>
          <w:tcPr>
            <w:tcW w:type="dxa" w:w="2592"/>
            <w:vAlign w:val="center"/>
          </w:tcPr>
          <w:p>
            <w:pPr>
              <w:spacing w:line="240" w:lineRule="auto" w:before="40" w:after="40"/>
              <w:jc w:val="center"/>
            </w:pPr>
            <w:r/>
            <w:r>
              <w:rPr>
                <w:rFonts w:ascii="Times New Roman" w:hAnsi="Times New Roman"/>
                <w:b w:val="0"/>
                <w:sz w:val="20"/>
              </w:rPr>
              <w:t>Defined clearly?</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Standardized clinical measurements</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Assessed without outcome knowledge?</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Retrospective; predictors precede surgery</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Available at intended time?</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All preoperative features</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Handled appropriately?</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Systematic NLP extraction, 16 strategies</w:t>
            </w:r>
          </w:p>
        </w:tc>
      </w:tr>
      <w:tr>
        <w:tc>
          <w:tcPr>
            <w:tcW w:type="dxa" w:w="1728"/>
            <w:vAlign w:val="center"/>
          </w:tcPr>
          <w:p>
            <w:pPr>
              <w:spacing w:line="240" w:lineRule="auto" w:before="40" w:after="40"/>
              <w:jc w:val="left"/>
            </w:pPr>
            <w:r/>
            <w:r>
              <w:rPr>
                <w:rFonts w:ascii="Times New Roman" w:hAnsi="Times New Roman"/>
                <w:b w:val="0"/>
                <w:sz w:val="20"/>
              </w:rPr>
              <w:t>3. Outcome</w:t>
            </w:r>
          </w:p>
        </w:tc>
        <w:tc>
          <w:tcPr>
            <w:tcW w:type="dxa" w:w="2592"/>
            <w:vAlign w:val="center"/>
          </w:tcPr>
          <w:p>
            <w:pPr>
              <w:spacing w:line="240" w:lineRule="auto" w:before="40" w:after="40"/>
              <w:jc w:val="center"/>
            </w:pPr>
            <w:r/>
            <w:r>
              <w:rPr>
                <w:rFonts w:ascii="Times New Roman" w:hAnsi="Times New Roman"/>
                <w:b w:val="0"/>
                <w:sz w:val="20"/>
              </w:rPr>
              <w:t>Defined clearly?</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Binary sperm retrieval (objective)</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Assessed without predictor knowledge?</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Surgical outcome independent of pre-op data</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Appropriate time interval?</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Immediate intraoperative assessment</w:t>
            </w:r>
          </w:p>
        </w:tc>
      </w:tr>
      <w:tr>
        <w:tc>
          <w:tcPr>
            <w:tcW w:type="dxa" w:w="1728"/>
            <w:vAlign w:val="center"/>
          </w:tcPr>
          <w:p>
            <w:pPr>
              <w:spacing w:line="240" w:lineRule="auto" w:before="40" w:after="40"/>
              <w:jc w:val="left"/>
            </w:pPr>
            <w:r/>
            <w:r>
              <w:rPr>
                <w:rFonts w:ascii="Times New Roman" w:hAnsi="Times New Roman"/>
                <w:b w:val="0"/>
                <w:sz w:val="20"/>
              </w:rPr>
              <w:t>4. Analysis</w:t>
            </w:r>
          </w:p>
        </w:tc>
        <w:tc>
          <w:tcPr>
            <w:tcW w:type="dxa" w:w="2592"/>
            <w:vAlign w:val="center"/>
          </w:tcPr>
          <w:p>
            <w:pPr>
              <w:spacing w:line="240" w:lineRule="auto" w:before="40" w:after="40"/>
              <w:jc w:val="center"/>
            </w:pPr>
            <w:r/>
            <w:r>
              <w:rPr>
                <w:rFonts w:ascii="Times New Roman" w:hAnsi="Times New Roman"/>
                <w:b w:val="0"/>
                <w:sz w:val="20"/>
              </w:rPr>
              <w:t>Adequate sample size?</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EPV &gt; 10; adequate for nested CV</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Appropriate handling of missing data?</w:t>
            </w:r>
          </w:p>
        </w:tc>
        <w:tc>
          <w:tcPr>
            <w:tcW w:type="dxa" w:w="1440"/>
            <w:vAlign w:val="center"/>
          </w:tcPr>
          <w:p>
            <w:pPr>
              <w:spacing w:line="240" w:lineRule="auto" w:before="40" w:after="40"/>
              <w:jc w:val="center"/>
            </w:pPr>
            <w:r/>
            <w:r>
              <w:rPr>
                <w:rFonts w:ascii="Times New Roman" w:hAnsi="Times New Roman"/>
                <w:b w:val="0"/>
                <w:sz w:val="20"/>
              </w:rPr>
              <w:t>Low–moderate</w:t>
            </w:r>
          </w:p>
        </w:tc>
        <w:tc>
          <w:tcPr>
            <w:tcW w:type="dxa" w:w="3600"/>
            <w:vAlign w:val="center"/>
          </w:tcPr>
          <w:p>
            <w:pPr>
              <w:spacing w:line="240" w:lineRule="auto" w:before="40" w:after="40"/>
              <w:jc w:val="center"/>
            </w:pPr>
            <w:r/>
            <w:r>
              <w:rPr>
                <w:rFonts w:ascii="Times New Roman" w:hAnsi="Times New Roman"/>
                <w:b w:val="0"/>
                <w:sz w:val="20"/>
              </w:rPr>
              <w:t>KNN imputation; MAR assumption untested</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Appropriate feature selection?</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Domain-informed; 16 encodings compared</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Model evaluation appropriate?</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5×5 nested CV; bootstrap CIs</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Accounting for model complexity?</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Regularization; Bayesian hyperparameter search</w:t>
            </w:r>
          </w:p>
        </w:tc>
      </w:tr>
      <w:tr>
        <w:tc>
          <w:tcPr>
            <w:tcW w:type="dxa" w:w="1728"/>
            <w:vAlign w:val="center"/>
          </w:tcPr>
          <w:p>
            <w:pPr>
              <w:spacing w:line="240" w:lineRule="auto" w:before="40" w:after="40"/>
              <w:jc w:val="left"/>
            </w:pPr>
            <w:r/>
            <w:r>
              <w:rPr>
                <w:rFonts w:ascii="Times New Roman" w:hAnsi="Times New Roman"/>
                <w:b w:val="0"/>
                <w:sz w:val="20"/>
              </w:rPr>
            </w:r>
          </w:p>
        </w:tc>
        <w:tc>
          <w:tcPr>
            <w:tcW w:type="dxa" w:w="2592"/>
            <w:vAlign w:val="center"/>
          </w:tcPr>
          <w:p>
            <w:pPr>
              <w:spacing w:line="240" w:lineRule="auto" w:before="40" w:after="40"/>
              <w:jc w:val="center"/>
            </w:pPr>
            <w:r/>
            <w:r>
              <w:rPr>
                <w:rFonts w:ascii="Times New Roman" w:hAnsi="Times New Roman"/>
                <w:b w:val="0"/>
                <w:sz w:val="20"/>
              </w:rPr>
              <w:t>Overfitting addressed?</w:t>
            </w:r>
          </w:p>
        </w:tc>
        <w:tc>
          <w:tcPr>
            <w:tcW w:type="dxa" w:w="1440"/>
            <w:vAlign w:val="center"/>
          </w:tcPr>
          <w:p>
            <w:pPr>
              <w:spacing w:line="240" w:lineRule="auto" w:before="40" w:after="40"/>
              <w:jc w:val="center"/>
            </w:pPr>
            <w:r/>
            <w:r>
              <w:rPr>
                <w:rFonts w:ascii="Times New Roman" w:hAnsi="Times New Roman"/>
                <w:b w:val="0"/>
                <w:sz w:val="20"/>
              </w:rPr>
              <w:t>Low risk</w:t>
            </w:r>
          </w:p>
        </w:tc>
        <w:tc>
          <w:tcPr>
            <w:tcW w:type="dxa" w:w="3600"/>
            <w:vAlign w:val="center"/>
          </w:tcPr>
          <w:p>
            <w:pPr>
              <w:spacing w:line="240" w:lineRule="auto" w:before="40" w:after="40"/>
              <w:jc w:val="center"/>
            </w:pPr>
            <w:r/>
            <w:r>
              <w:rPr>
                <w:rFonts w:ascii="Times New Roman" w:hAnsi="Times New Roman"/>
                <w:b w:val="0"/>
                <w:sz w:val="20"/>
              </w:rPr>
              <w:t>Nested CV prevents information leakage</w:t>
            </w:r>
          </w:p>
        </w:tc>
      </w:tr>
      <w:tr>
        <w:tc>
          <w:tcPr>
            <w:tcW w:type="dxa" w:w="1728"/>
            <w:vAlign w:val="center"/>
          </w:tcPr>
          <w:p>
            <w:pPr>
              <w:spacing w:line="240" w:lineRule="auto" w:before="40" w:after="40"/>
              <w:jc w:val="left"/>
            </w:pPr>
            <w:r/>
            <w:r>
              <w:rPr>
                <w:rFonts w:ascii="Times New Roman" w:hAnsi="Times New Roman"/>
                <w:b w:val="0"/>
                <w:sz w:val="20"/>
              </w:rPr>
              <w:t>Overall</w:t>
            </w:r>
          </w:p>
        </w:tc>
        <w:tc>
          <w:tcPr>
            <w:tcW w:type="dxa" w:w="2592"/>
            <w:vAlign w:val="center"/>
          </w:tcPr>
          <w:p>
            <w:pPr>
              <w:spacing w:line="240" w:lineRule="auto" w:before="40" w:after="40"/>
              <w:jc w:val="center"/>
            </w:pPr>
            <w:r/>
            <w:r>
              <w:rPr>
                <w:rFonts w:ascii="Times New Roman" w:hAnsi="Times New Roman"/>
                <w:b w:val="0"/>
                <w:sz w:val="20"/>
              </w:rPr>
            </w:r>
          </w:p>
        </w:tc>
        <w:tc>
          <w:tcPr>
            <w:tcW w:type="dxa" w:w="1440"/>
            <w:vAlign w:val="center"/>
          </w:tcPr>
          <w:p>
            <w:pPr>
              <w:spacing w:line="240" w:lineRule="auto" w:before="40" w:after="40"/>
              <w:jc w:val="center"/>
            </w:pPr>
            <w:r/>
            <w:r>
              <w:rPr>
                <w:rFonts w:ascii="Times New Roman" w:hAnsi="Times New Roman"/>
                <w:b w:val="0"/>
                <w:sz w:val="20"/>
              </w:rPr>
              <w:t>Low–moderate</w:t>
            </w:r>
          </w:p>
        </w:tc>
        <w:tc>
          <w:tcPr>
            <w:tcW w:type="dxa" w:w="3600"/>
            <w:vAlign w:val="center"/>
          </w:tcPr>
          <w:p>
            <w:pPr>
              <w:spacing w:line="240" w:lineRule="auto" w:before="40" w:after="40"/>
              <w:jc w:val="center"/>
            </w:pPr>
            <w:r/>
            <w:r>
              <w:rPr>
                <w:rFonts w:ascii="Times New Roman" w:hAnsi="Times New Roman"/>
                <w:b w:val="0"/>
                <w:sz w:val="20"/>
              </w:rPr>
              <w:t>Single-center; no external validation</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