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r>
        <w:rPr>
          <w:rFonts w:ascii="Times New Roman" w:hAnsi="Times New Roman"/>
          <w:b w:val="0"/>
          <w:i w:val="0"/>
        </w:rPr>
      </w:r>
    </w:p>
    <w:p>
      <w:pPr>
        <w:jc w:val="center"/>
      </w:pPr>
      <w:r>
        <w:rPr>
          <w:rFonts w:ascii="Times New Roman" w:hAnsi="Times New Roman"/>
          <w:b/>
          <w:i w:val="0"/>
          <w:sz w:val="32"/>
        </w:rPr>
        <w:t>Development and Internal Validation of an Explainable Clinical Decision Support System for Predicting Micro-TESE Outcomes in Non-Obstructive Azoospermia: A Multi-Agent AI-Assisted Approach</w:t>
      </w:r>
    </w:p>
    <w:p>
      <w:pPr>
        <w:spacing w:after="240"/>
      </w:pPr>
      <w:r>
        <w:rPr>
          <w:rFonts w:ascii="Times New Roman" w:hAnsi="Times New Roman"/>
          <w:b w:val="0"/>
          <w:i w:val="0"/>
        </w:rPr>
      </w:r>
    </w:p>
    <w:p>
      <w:pPr>
        <w:jc w:val="center"/>
      </w:pPr>
      <w:r>
        <w:rPr>
          <w:rFonts w:ascii="Times New Roman" w:hAnsi="Times New Roman"/>
          <w:b/>
          <w:i w:val="0"/>
          <w:sz w:val="24"/>
        </w:rPr>
        <w:t>Hossein Jamalirad</w:t>
      </w:r>
      <w:r>
        <w:rPr>
          <w:rFonts w:ascii="Times New Roman" w:hAnsi="Times New Roman"/>
          <w:b w:val="0"/>
          <w:i w:val="0"/>
          <w:sz w:val="24"/>
        </w:rPr>
        <w:t xml:space="preserve">¹*, </w:t>
      </w:r>
      <w:r>
        <w:rPr>
          <w:rFonts w:ascii="Times New Roman" w:hAnsi="Times New Roman"/>
          <w:b/>
          <w:i w:val="0"/>
          <w:sz w:val="24"/>
        </w:rPr>
        <w:t>Marjan Sabbaghian</w:t>
      </w:r>
      <w:r>
        <w:rPr>
          <w:rFonts w:ascii="Times New Roman" w:hAnsi="Times New Roman"/>
          <w:b w:val="0"/>
          <w:i w:val="0"/>
          <w:sz w:val="24"/>
        </w:rPr>
        <w:t xml:space="preserve">², </w:t>
      </w:r>
      <w:r>
        <w:rPr>
          <w:rFonts w:ascii="Times New Roman" w:hAnsi="Times New Roman"/>
          <w:b/>
          <w:i w:val="0"/>
          <w:sz w:val="24"/>
        </w:rPr>
        <w:t>Hassan Vakili Arki</w:t>
      </w:r>
      <w:r>
        <w:rPr>
          <w:rFonts w:ascii="Times New Roman" w:hAnsi="Times New Roman"/>
          <w:b w:val="0"/>
          <w:i w:val="0"/>
          <w:sz w:val="24"/>
        </w:rPr>
        <w:t>¹</w:t>
      </w:r>
    </w:p>
    <w:p>
      <w:pPr>
        <w:spacing w:after="120"/>
      </w:pPr>
      <w:r>
        <w:rPr>
          <w:rFonts w:ascii="Times New Roman" w:hAnsi="Times New Roman"/>
          <w:b w:val="0"/>
          <w:i w:val="0"/>
        </w:rPr>
      </w:r>
    </w:p>
    <w:p>
      <w:pPr>
        <w:jc w:val="center"/>
      </w:pPr>
      <w:r>
        <w:rPr>
          <w:rFonts w:ascii="Times New Roman" w:hAnsi="Times New Roman"/>
          <w:b w:val="0"/>
          <w:i/>
          <w:sz w:val="22"/>
        </w:rPr>
        <w:t>¹ Department of Medical Informatics, Faculty of Medicine, Mashhad University of Medical Sciences, Mashhad, Iran</w:t>
      </w:r>
    </w:p>
    <w:p>
      <w:pPr>
        <w:jc w:val="center"/>
      </w:pPr>
      <w:r>
        <w:rPr>
          <w:rFonts w:ascii="Times New Roman" w:hAnsi="Times New Roman"/>
          <w:b w:val="0"/>
          <w:i/>
          <w:sz w:val="22"/>
        </w:rPr>
        <w:t>² Department of Andrology, Reproductive Biomedicine Research Center, Royan Institute for Reproductive Biomedicine, ACECR, Tehran, Iran</w:t>
      </w:r>
    </w:p>
    <w:p>
      <w:pPr>
        <w:spacing w:after="360"/>
      </w:pPr>
      <w:r>
        <w:rPr>
          <w:rFonts w:ascii="Times New Roman" w:hAnsi="Times New Roman"/>
          <w:b w:val="0"/>
          <w:i w:val="0"/>
        </w:rPr>
      </w:r>
    </w:p>
    <w:p>
      <w:pPr/>
      <w:r>
        <w:rPr>
          <w:rFonts w:ascii="Times New Roman" w:hAnsi="Times New Roman"/>
          <w:b/>
          <w:i w:val="0"/>
          <w:sz w:val="24"/>
        </w:rPr>
        <w:t>*Corresponding Author:</w:t>
      </w:r>
      <w:r>
        <w:rPr>
          <w:rFonts w:ascii="Times New Roman" w:hAnsi="Times New Roman"/>
          <w:b w:val="0"/>
          <w:i w:val="0"/>
          <w:sz w:val="24"/>
        </w:rPr>
        <w:t xml:space="preserve"> Hossein Jamalirad, PhD Candidate</w:t>
      </w:r>
    </w:p>
    <w:p>
      <w:pPr/>
      <w:r>
        <w:rPr>
          <w:rFonts w:ascii="Times New Roman" w:hAnsi="Times New Roman"/>
          <w:b w:val="0"/>
          <w:i w:val="0"/>
          <w:sz w:val="22"/>
        </w:rPr>
        <w:t>Department of Medical Informatics, Faculty of Medicine, Mashhad University of Medical Sciences, Mashhad, Iran</w:t>
      </w:r>
    </w:p>
    <w:p>
      <w:pPr/>
      <w:r>
        <w:rPr>
          <w:rFonts w:ascii="Times New Roman" w:hAnsi="Times New Roman"/>
          <w:b w:val="0"/>
          <w:i w:val="0"/>
          <w:sz w:val="22"/>
        </w:rPr>
        <w:t>Email: h.jamalirad@mums.ac.ir</w:t>
      </w:r>
    </w:p>
    <w:p>
      <w:pPr>
        <w:spacing w:after="360"/>
      </w:pPr>
      <w:r>
        <w:rPr>
          <w:rFonts w:ascii="Times New Roman" w:hAnsi="Times New Roman"/>
          <w:b w:val="0"/>
          <w:i w:val="0"/>
        </w:rPr>
      </w:r>
    </w:p>
    <w:p>
      <w:pPr/>
      <w:r>
        <w:rPr>
          <w:rFonts w:ascii="Times New Roman" w:hAnsi="Times New Roman"/>
          <w:b w:val="0"/>
          <w:i w:val="0"/>
          <w:sz w:val="22"/>
        </w:rPr>
        <w:t>Word count: approximately 7,500 (main text)</w:t>
      </w:r>
    </w:p>
    <w:p>
      <w:r>
        <w:br w:type="page"/>
      </w:r>
    </w:p>
    <w:p>
      <w:pPr>
        <w:pStyle w:val="Heading1"/>
      </w:pPr>
      <w:r>
        <w:t>Abstract</w:t>
      </w:r>
    </w:p>
    <w:p>
      <w:pPr/>
      <w:r>
        <w:rPr>
          <w:rFonts w:ascii="Times New Roman" w:hAnsi="Times New Roman"/>
          <w:b/>
          <w:i w:val="0"/>
          <w:sz w:val="24"/>
        </w:rPr>
        <w:t xml:space="preserve">Background: </w:t>
      </w:r>
      <w:r>
        <w:rPr>
          <w:rFonts w:ascii="Times New Roman" w:hAnsi="Times New Roman"/>
          <w:b w:val="0"/>
          <w:i w:val="0"/>
          <w:sz w:val="24"/>
        </w:rPr>
        <w:t>Non-obstructive azoospermia (NOA) affects approximately 1% of men worldwide and represents the most severe form of male infertility. Microsurgical testicular sperm extraction (micro-TESE) offers a chance at biological fatherhood; however, sperm retrieval rates vary widely (30–60%), and no validated clinical decision support system (CDSS) currently exists to guide patient counseling. Previous predictive models suffer from small cohorts, limited explainability, and insufficient methodological rigor, with none incorporating systematic code-level verification.</w:t>
      </w:r>
    </w:p>
    <w:p>
      <w:pPr/>
      <w:r>
        <w:rPr>
          <w:rFonts w:ascii="Times New Roman" w:hAnsi="Times New Roman"/>
          <w:b/>
          <w:i w:val="0"/>
          <w:sz w:val="24"/>
        </w:rPr>
        <w:t xml:space="preserve">Methods: </w:t>
      </w:r>
      <w:r>
        <w:rPr>
          <w:rFonts w:ascii="Times New Roman" w:hAnsi="Times New Roman"/>
          <w:b w:val="0"/>
          <w:i w:val="0"/>
          <w:sz w:val="24"/>
        </w:rPr>
        <w:t>We conducted a retrospective cohort study of 2,413 patients with confirmed NOA who underwent micro-TESE at a tertiary reproductive medicine center (Royan Institute, Tehran, Iran). A total of 73 features were derived from 55 original clinical variables, including 18 engineered bilateral histopathology indicators. Five candidate machine learning models (CatBoost, XGBoost, LightGBM, Random Forest, and Logistic Regression) were evaluated using 5×5 nested cross-validation with 50-iteration randomized hyperparameter search. Preprocessing employed StandardScaler before KNN imputation with SMOTE applied exclusively within inner training folds. Decision thresholds were optimized via Youden’s J statistic on inner-fold out-of-fold predictions. Explainability was provided through SHAP TreeExplainer. A multi-agent verification pipeline, designed and trained by the first author, independently audited the codebase, identified and corrected 9 critical methodological bugs, and reproduced all metrics to ≥4 decimal places.</w:t>
      </w:r>
    </w:p>
    <w:p>
      <w:pPr/>
      <w:r>
        <w:rPr>
          <w:rFonts w:ascii="Times New Roman" w:hAnsi="Times New Roman"/>
          <w:b/>
          <w:i w:val="0"/>
          <w:sz w:val="24"/>
        </w:rPr>
        <w:t xml:space="preserve">Results: </w:t>
      </w:r>
      <w:r>
        <w:rPr>
          <w:rFonts w:ascii="Times New Roman" w:hAnsi="Times New Roman"/>
          <w:b w:val="0"/>
          <w:i w:val="0"/>
          <w:sz w:val="24"/>
        </w:rPr>
        <w:t>CatBoost achieved the highest discriminative performance with a mean outer-fold AUC of 0.8306 (bootstrap 95% CI: 0.8130–0.8462), sensitivity of 0.6784, specificity of 0.8220, and F1 score of 0.6832. SHAP analysis revealed that 17 of the top 25 predictive features were histopathology-derived, with right testicular severe hypospermatogenesis percentage as the most influential predictor (mean |SHAP| = 0.3958). Decision curve analysis demonstrated clinical utility across threshold probabilities of 0.05–0.60. The multi-agent verification pipeline identified critical bugs including data leakage in hyperparameter selection, feature collapse from interquartile range clipping, and improper preprocessing order, achieving complete reproducibility (Δ = 0.0000) after corrections.</w:t>
      </w:r>
    </w:p>
    <w:p>
      <w:pPr/>
      <w:r>
        <w:rPr>
          <w:rFonts w:ascii="Times New Roman" w:hAnsi="Times New Roman"/>
          <w:b/>
          <w:i w:val="0"/>
          <w:sz w:val="24"/>
        </w:rPr>
        <w:t xml:space="preserve">Conclusion: </w:t>
      </w:r>
      <w:r>
        <w:rPr>
          <w:rFonts w:ascii="Times New Roman" w:hAnsi="Times New Roman"/>
          <w:b w:val="0"/>
          <w:i w:val="0"/>
          <w:sz w:val="24"/>
        </w:rPr>
        <w:t>We developed and internally validated an explainable CDSS for predicting micro-TESE outcomes in NOA, supported by the largest machine learning–focused cohort reported to date and a novel multi-agent verification framework ensuring methodological integrity. The system integrates SHAP-based individual patient explanations suitable for clinical counseling. External multi-center validation is warranted before clinical deployment.</w:t>
      </w:r>
    </w:p>
    <w:p>
      <w:pPr>
        <w:spacing w:after="120"/>
      </w:pPr>
      <w:r>
        <w:rPr>
          <w:rFonts w:ascii="Times New Roman" w:hAnsi="Times New Roman"/>
          <w:b w:val="0"/>
          <w:i w:val="0"/>
        </w:rPr>
      </w:r>
    </w:p>
    <w:p>
      <w:pPr/>
      <w:r>
        <w:rPr>
          <w:rFonts w:ascii="Times New Roman" w:hAnsi="Times New Roman"/>
          <w:b/>
          <w:i w:val="0"/>
          <w:sz w:val="24"/>
        </w:rPr>
        <w:t xml:space="preserve">Keywords: </w:t>
      </w:r>
      <w:r>
        <w:rPr>
          <w:rFonts w:ascii="Times New Roman" w:hAnsi="Times New Roman"/>
          <w:b w:val="0"/>
          <w:i/>
          <w:sz w:val="24"/>
        </w:rPr>
        <w:t>clinical decision support system; non-obstructive azoospermia; micro-TESE; explainable artificial intelligence; SHAP; CatBoost; multi-agent verification; TRIPOD+AI</w:t>
      </w:r>
    </w:p>
    <w:p>
      <w:r>
        <w:br w:type="page"/>
      </w:r>
    </w:p>
    <w:p>
      <w:pPr>
        <w:pStyle w:val="Heading1"/>
      </w:pPr>
      <w:r>
        <w:t>Introduction</w:t>
      </w:r>
    </w:p>
    <w:p>
      <w:pPr/>
      <w:r>
        <w:rPr>
          <w:rFonts w:ascii="Times New Roman" w:hAnsi="Times New Roman"/>
          <w:b w:val="0"/>
          <w:i w:val="0"/>
        </w:rPr>
        <w:t>Male factor infertility accounts for approximately 50% of all infertility cases, and azoospermia—the complete absence of spermatozoa in the ejaculate—affects 10–15% of infertile men [1,2]. Non-obstructive azoospermia (NOA), arising from impaired spermatogenesis rather than ductal obstruction, represents the most severe form of male infertility and is observed in approximately 60% of azoospermic men [3]. The introduction of microsurgical testicular sperm extraction (micro-TESE) has revolutionized the management of NOA by enabling direct visualization of seminiferous tubules during sperm retrieval, achieving success rates of 30–63% depending on the underlying histopathology [4,5]. However, the procedure is invasive, costly, and emotionally demanding, underscoring the clinical need for accurate preoperative prediction tools to guide patient selection and counseling [6].</w:t>
      </w:r>
    </w:p>
    <w:p>
      <w:pPr/>
      <w:r>
        <w:rPr>
          <w:rFonts w:ascii="Times New Roman" w:hAnsi="Times New Roman"/>
          <w:b w:val="0"/>
          <w:i w:val="0"/>
        </w:rPr>
        <w:t>Several clinical and laboratory parameters have been investigated as predictors of micro-TESE outcomes, including serum follicle-stimulating hormone (FSH), luteinizing hormone (LH), testosterone levels, testicular volume, genetic factors such as Y chromosome microdeletions and Klinefelter syndrome, and testicular histopathology patterns [7–10]. While individual biomarkers provide limited predictive accuracy, machine learning (ML) approaches offer the potential to integrate multiple variables into comprehensive predictive models [11,12]. Recent studies have applied ML algorithms including gradient-boosted trees, random forests, and logistic regression to predict sperm retrieval outcomes, with reported AUC values ranging from 0.72 to 0.90 [13–16]. However, these studies are limited by small sample sizes (typically &lt;500 patients), lack of rigorous nested cross-validation, absence of explainability frameworks, and insufficient methodological auditing [17].</w:t>
      </w:r>
    </w:p>
    <w:p>
      <w:pPr/>
      <w:r>
        <w:rPr>
          <w:rFonts w:ascii="Times New Roman" w:hAnsi="Times New Roman"/>
          <w:b w:val="0"/>
          <w:i w:val="0"/>
        </w:rPr>
        <w:t>Clinical decision support systems (CDSSs) represent a translational bridge between predictive models and clinical practice, providing clinicians with structured, evidence-based recommendations at the point of care [18,19]. Despite advances in ML-based prediction, no validated CDSS has been developed specifically for micro-TESE outcome prediction in NOA. The ideal CDSS for this domain should incorporate explainable artificial intelligence (XAI) methods to ensure transparency, facilitate shared decision-making between clinicians and patients, and undergo rigorous validation aligned with reporting standards such as TRIPOD+AI [20,21].</w:t>
      </w:r>
    </w:p>
    <w:p>
      <w:pPr/>
      <w:r>
        <w:rPr>
          <w:rFonts w:ascii="Times New Roman" w:hAnsi="Times New Roman"/>
          <w:b w:val="0"/>
          <w:i w:val="0"/>
        </w:rPr>
        <w:t>A critical yet underaddressed challenge in clinical ML is ensuring methodological integrity of the underlying pipeline. Errors in preprocessing order, data leakage across cross-validation folds, and inappropriate feature engineering can lead to inflated or unreliable performance estimates [22,23]. Traditional peer review is often insufficient for detecting such errors, as code-level bugs may not be apparent from manuscript descriptions alone [24]. Multi-agent AI systems, in which multiple specialized artificial intelligence agents collaborate to audit, verify, and reproduce computational pipelines, represent a novel approach to quality assurance in clinical ML research [25,26].</w:t>
      </w:r>
    </w:p>
    <w:p>
      <w:pPr/>
      <w:r>
        <w:rPr>
          <w:rFonts w:ascii="Times New Roman" w:hAnsi="Times New Roman"/>
          <w:b w:val="0"/>
          <w:i w:val="0"/>
        </w:rPr>
        <w:t>In this study, we aimed to: (1) develop and internally validate an explainable CDSS for predicting micro-TESE outcomes in NOA using a large retrospective cohort; (2) compare five candidate ML models using rigorous 5×5 nested cross-validation with optimized decision thresholds; (3) provide global and individual patient-level explanations using SHAP (SHapley Additive exPlanations); (4) assess calibration and clinical utility through decision curve analysis; and (5) introduce a multi-agent verification pipeline, designed and trained by the first author, to systematically audit the ML codebase, identify and correct methodological errors, and independently reproduce all reported metrics.</w:t>
      </w:r>
    </w:p>
    <w:p>
      <w:r>
        <w:br w:type="page"/>
      </w:r>
    </w:p>
    <w:p>
      <w:pPr>
        <w:pStyle w:val="Heading1"/>
      </w:pPr>
      <w:r>
        <w:t>Methods</w:t>
      </w:r>
    </w:p>
    <w:p>
      <w:pPr>
        <w:pStyle w:val="Heading2"/>
      </w:pPr>
      <w:r>
        <w:t>Study Design and Cohort</w:t>
      </w:r>
    </w:p>
    <w:p>
      <w:pPr/>
      <w:r>
        <w:rPr>
          <w:rFonts w:ascii="Times New Roman" w:hAnsi="Times New Roman"/>
          <w:b w:val="0"/>
          <w:i w:val="0"/>
        </w:rPr>
        <w:t>This was a retrospective cohort study conducted at Royan Institute, a tertiary reproductive medicine center in Tehran, Iran. The study included men who underwent micro-TESE for confirmed NOA between 2007 and 2022. Institutional review board approval was obtained from the Ethics Committee of Mashhad University of Medical Sciences (IR.MUMS.REC.XXXX.XXX), and informed consent was waived given the retrospective, de-identified nature of the data.</w:t>
      </w:r>
    </w:p>
    <w:p>
      <w:pPr/>
      <w:r>
        <w:rPr>
          <w:rFonts w:ascii="Times New Roman" w:hAnsi="Times New Roman"/>
          <w:b w:val="0"/>
          <w:i w:val="0"/>
        </w:rPr>
        <w:t>A total of 2,450 patient records were screened. Inclusion criteria were: (1) confirmed diagnosis of NOA based on at least two semen analyses showing azoospermia with clinical and hormonal findings consistent with non-obstructive etiology; and (2) having undergone micro-TESE at the study center. Exclusion criteria included obstructive azoospermia and missing primary outcome data. After excluding 37 records (1.5%) with missing primary outcome values, 2,413 patients constituted the analytical cohort. The primary outcome was successful sperm retrieval at micro-TESE, defined as the identification of viable spermatozoa suitable for intracytoplasmic sperm injection (ICSI), coded as a binary variable. The overall sperm retrieval rate was 36.7% (886/2,413).</w:t>
      </w:r>
    </w:p>
    <w:p>
      <w:pPr>
        <w:pStyle w:val="Heading2"/>
      </w:pPr>
      <w:r>
        <w:t>Data Collection and Feature Engineering</w:t>
      </w:r>
    </w:p>
    <w:p>
      <w:pPr/>
      <w:r>
        <w:rPr>
          <w:rFonts w:ascii="Times New Roman" w:hAnsi="Times New Roman"/>
          <w:b w:val="0"/>
          <w:i w:val="0"/>
        </w:rPr>
        <w:t>The source dataset comprised 55 original columns encompassing demographics (age, partner age), anthropometrics (BMI), hormonal profile (FSH, LH, testosterone, estradiol, prolactin), testicular measurements (sonographic and clinical volumes, Sakamoto formula–derived volumes), surgical and urological history (varicocele, testicular biopsy, inguinal hernia, orchiopexy), comorbidities (diabetes, hypertension), lifestyle and environmental factors (habits, occupational toxic exposure), semen parameters (seminal plasma pH), genetic factors (karyotype including Klinefelter syndrome, Y chromosome microdeletion subtypes), and bilateral histopathology reports.</w:t>
      </w:r>
    </w:p>
    <w:p>
      <w:pPr/>
      <w:r>
        <w:rPr>
          <w:rFonts w:ascii="Times New Roman" w:hAnsi="Times New Roman"/>
          <w:b w:val="0"/>
          <w:i w:val="0"/>
        </w:rPr>
        <w:t>A total of 18 features were engineered from the bilateral histopathology reports. For each testis (right and left), eight histopathology percentage features were extracted via regular expression parsing of free-text pathology reports: Sertoli cell–only (SCO), complete spermatogenic tubular hyalinization (CSTH), maturation arrest at spermatogonial stage, maturation arrest at spermatocytic stage, maturation arrest at immature round spermatid stage, maturation arrest at elongated spermatid stage, hypospermatogenesis, and severe hypospermatogenesis. Additionally, two ordinal severity scores (one per testis) were computed as weighted composites of these pathology indicators. A maturation arrest hierarchy rule was enforced: if arrest was present at an earlier phase, later phases were set to zero. This resulted in 73 total features (55 original + 18 engineered).</w:t>
      </w:r>
    </w:p>
    <w:p>
      <w:pPr/>
      <w:r>
        <w:rPr>
          <w:rFonts w:ascii="Times New Roman" w:hAnsi="Times New Roman"/>
          <w:b w:val="0"/>
          <w:i w:val="0"/>
        </w:rPr>
        <w:t>Twenty-nine columns were dropped before modeling, including columns with 100% missing values (e.g., AMH, inhibin B, TSH, SHBG), identification variables (ID, Roy-ID), outcome and retrieval variables (Outcome2–4, Successful Sperm Retrieval 1–4), raw pathology text fields, height and weight (BMI was retained to avoid collinearity), and orchidometer and raw sonographic size variables. Race/ethnicity was excluded from the feature matrix and used exclusively as a protected attribute for fairness analysis. The final model feature set comprised 45 features: 37 numeric, 8 categorical, and 18 pathology-derived features.</w:t>
      </w:r>
    </w:p>
    <w:p>
      <w:pPr>
        <w:pStyle w:val="Heading2"/>
      </w:pPr>
      <w:r>
        <w:t>CDSS Architecture and Feature Selection</w:t>
      </w:r>
    </w:p>
    <w:p>
      <w:pPr/>
      <w:r>
        <w:rPr>
          <w:rFonts w:ascii="Times New Roman" w:hAnsi="Times New Roman"/>
          <w:b w:val="0"/>
          <w:i w:val="0"/>
        </w:rPr>
        <w:t>The CDSS was designed as a stateless web-based application accepting 12 core clinical input fields along with structured bilateral pathology indicators. Feature selection was informed by both statistical importance (SHAP-derived rankings from the final model) and clinical relevance, guided by published evidence on predictors of sperm retrieval. Features retained for the CDSS included FSH, LH, testosterone, estradiol, testicular volumes (bilateral), age, Klinefelter status, seminal plasma pH, and structured pathology percentages. Partner age, while retained in the analytical model, was excluded from the CDSS deployment as it was deemed not clinically actionable for predicting male sperm retrieval. Built-in reference range validation with color-coded feedback was integrated to support real-time clinical interpretation.</w:t>
      </w:r>
    </w:p>
    <w:p>
      <w:pPr>
        <w:pStyle w:val="Heading2"/>
      </w:pPr>
      <w:r>
        <w:t>Model Development and Validation</w:t>
      </w:r>
    </w:p>
    <w:p>
      <w:pPr/>
      <w:r>
        <w:rPr>
          <w:rFonts w:ascii="Times New Roman" w:hAnsi="Times New Roman"/>
          <w:b w:val="0"/>
          <w:i w:val="0"/>
        </w:rPr>
        <w:t>Five candidate ML models were evaluated: CatBoost, XGBoost, LightGBM, Random Forest, and Logistic Regression. All models were assessed within a unified 5×5 nested cross-validation framework to provide unbiased performance estimates while simultaneously optimizing hyperparameters [27].</w:t>
      </w:r>
    </w:p>
    <w:p>
      <w:pPr/>
      <w:r>
        <w:rPr>
          <w:rFonts w:ascii="Times New Roman" w:hAnsi="Times New Roman"/>
          <w:b w:val="0"/>
          <w:i w:val="0"/>
        </w:rPr>
        <w:t>The outer cross-validation loop comprised five stratified folds (StratifiedKFold, shuffle=True, random_state=42). Within each outer fold, the training partition was further divided into five inner stratified folds for hyperparameter optimization using RandomizedSearchCV with 50 iterations per model (scoring: area under the receiver operating characteristic curve [AUC-ROC]). This configuration yielded 250 model fits per outer fold per candidate algorithm, totaling 6,250 fits across all models and folds.</w:t>
      </w:r>
    </w:p>
    <w:p>
      <w:pPr/>
      <w:r>
        <w:rPr>
          <w:rFonts w:ascii="Times New Roman" w:hAnsi="Times New Roman"/>
          <w:b w:val="0"/>
          <w:i w:val="0"/>
        </w:rPr>
        <w:t>The preprocessing pipeline was constructed using scikit-learn’s Pipeline and ColumnTransformer classes. For numeric features, StandardScaler was applied before KNN imputation (KNNImputer, k=5, distance-weighted), ensuring that imputation distances were computed in a standardized feature space. This order was a critical correction from an earlier pipeline version in which imputation preceded scaling, allowing high-magnitude features to dominate KNN distance calculations. Categorical features were encoded using one-hot encoding. SMOTE (Synthetic Minority Oversampling Technique) was applied exclusively within each inner training partition using imbalanced-learn’s Pipeline, ensuring that synthetic samples never contaminated validation or test folds [28].</w:t>
      </w:r>
    </w:p>
    <w:p>
      <w:pPr/>
      <w:r>
        <w:rPr>
          <w:rFonts w:ascii="Times New Roman" w:hAnsi="Times New Roman"/>
          <w:b w:val="0"/>
          <w:i w:val="0"/>
        </w:rPr>
        <w:t>An interquartile range (IQR) clipper, present in an initial pipeline version, was removed after the multi-agent verification audit identified that it collapsed all 16 pathology percentage features to constant zero. Because the majority of pathology features had values of zero for most patients (IQR = 0), the IQR clipping rule clipped all values to zero, effectively eliminating the most clinically informative features from the model.</w:t>
      </w:r>
    </w:p>
    <w:p>
      <w:pPr/>
      <w:r>
        <w:rPr>
          <w:rFonts w:ascii="Times New Roman" w:hAnsi="Times New Roman"/>
          <w:b w:val="0"/>
          <w:i w:val="0"/>
        </w:rPr>
        <w:t>Representative hyperparameters for each model were selected using the median inner-CV best score across outer folds, avoiding data leakage that would occur if outer-test performance were used for selection [29]. Decision thresholds were optimized using Youden’s J statistic (sensitivity + specificity − 1) on inner-fold out-of-fold predictions for each outer fold, rather than applying a fixed threshold of 0.5. The resulting per-fold thresholds ranged from 0.444 to 0.507. Random state 42 was set across all stochastic components to ensure reproducibility.</w:t>
      </w:r>
    </w:p>
    <w:p>
      <w:pPr>
        <w:pStyle w:val="Heading2"/>
      </w:pPr>
      <w:r>
        <w:t>Calibration Assessment</w:t>
      </w:r>
    </w:p>
    <w:p>
      <w:pPr/>
      <w:r>
        <w:rPr>
          <w:rFonts w:ascii="Times New Roman" w:hAnsi="Times New Roman"/>
          <w:b w:val="0"/>
          <w:i w:val="0"/>
        </w:rPr>
        <w:t>Model calibration was assessed using reliability diagrams with 10 quantile-based bins on the aggregated out-of-fold predictions. Mean predicted probabilities were compared against observed event fractions within each bin. The mean absolute calibration deviation and maximum bin-level deviation were computed. Calibration quality was interpreted in the context of the SMOTE-augmented training pipeline, which is known to introduce systematic upward bias in predicted probabilities near the decision boundary [30].</w:t>
      </w:r>
    </w:p>
    <w:p>
      <w:pPr>
        <w:pStyle w:val="Heading2"/>
      </w:pPr>
      <w:r>
        <w:t>Decision Curve Analysis</w:t>
      </w:r>
    </w:p>
    <w:p>
      <w:pPr/>
      <w:r>
        <w:rPr>
          <w:rFonts w:ascii="Times New Roman" w:hAnsi="Times New Roman"/>
          <w:b w:val="0"/>
          <w:i w:val="0"/>
        </w:rPr>
        <w:t>Decision curve analysis (DCA) was performed to evaluate the clinical utility of the CatBoost model across a range of threshold probabilities [31]. Net benefit was computed at 200 threshold values spanning 0.01 to 0.99, and compared against the default strategies of treating all patients (performing micro-TESE on all) and treating none. The clinically relevant threshold range was assessed, defined as the range over which the model’s net benefit exceeded both default strategies. Net interventions avoided per 100 patients were calculated to quantify the practical clinical impact at selected threshold values.</w:t>
      </w:r>
    </w:p>
    <w:p>
      <w:pPr>
        <w:pStyle w:val="Heading2"/>
      </w:pPr>
      <w:r>
        <w:t>Explainability Framework</w:t>
      </w:r>
    </w:p>
    <w:p>
      <w:pPr/>
      <w:r>
        <w:rPr>
          <w:rFonts w:ascii="Times New Roman" w:hAnsi="Times New Roman"/>
          <w:b w:val="0"/>
          <w:i w:val="0"/>
        </w:rPr>
        <w:t>Explainability was implemented using SHAP (SHapley Additive exPlanations) with the TreeExplainer algorithm [32]. The best-performing model (CatBoost) was refit on the complete dataset, and SHAP values were computed for all patients. Global feature importance was assessed by ranking features by their mean absolute SHAP values. Feature directionality (positive or negative contribution to predicted sperm retrieval probability) was determined from the SHAP value distributions. Individual patient-level explanations were generated as force plots, enabling clinicians to visualize how each clinical parameter contributes to a specific patient’s predicted outcome. The SHAP-based explanation module was integrated into the CDSS prototype to support real-time clinical interpretation.</w:t>
      </w:r>
    </w:p>
    <w:p>
      <w:pPr>
        <w:pStyle w:val="Heading2"/>
      </w:pPr>
      <w:r>
        <w:t>Multi-Agent Verification Pipeline</w:t>
      </w:r>
    </w:p>
    <w:p>
      <w:pPr/>
      <w:r>
        <w:rPr>
          <w:rFonts w:ascii="Times New Roman" w:hAnsi="Times New Roman"/>
          <w:b w:val="0"/>
          <w:i w:val="0"/>
        </w:rPr>
        <w:t>A multi-agent AI verification pipeline was designed and trained by the first author (HJR) to provide systematic quality assurance of the ML codebase. The pipeline comprised multiple specialized agents coordinated by a central orchestrator: a researcher agent for deep code analysis and feature engineering review, a verifier agent for independent result reproduction and cross-validation integrity checking, and an ML expert agent for specialized pathology investigation and pipeline optimization.</w:t>
      </w:r>
    </w:p>
    <w:p>
      <w:pPr/>
      <w:r>
        <w:rPr>
          <w:rFonts w:ascii="Times New Roman" w:hAnsi="Times New Roman"/>
          <w:b w:val="0"/>
          <w:i w:val="0"/>
        </w:rPr>
        <w:t>The verification process involved: (1) line-by-line static audit of the production pipeline script (1,680 lines of Python code), with verdicts anchored to exact line numbers; (2) automated identification of methodological errors including data leakage, improper preprocessing order, feature collapse, and threshold selection bias; (3) independent end-to-end re-execution of the corrected pipeline to verify computational reproducibility; and (4) cross-verification rounds between agents to ensure consensus on findings. The pipeline executed 87 agent interactions across 36 tasks with 2 cross-verification rounds. All identified bugs were categorized by severity (critical, high, low) and systematically corrected in the final pipeline version.</w:t>
      </w:r>
    </w:p>
    <w:p>
      <w:pPr>
        <w:pStyle w:val="Heading2"/>
      </w:pPr>
      <w:r>
        <w:t>TRIPOD+AI Adherence</w:t>
      </w:r>
    </w:p>
    <w:p>
      <w:pPr/>
      <w:r>
        <w:rPr>
          <w:rFonts w:ascii="Times New Roman" w:hAnsi="Times New Roman"/>
          <w:b w:val="0"/>
          <w:i w:val="0"/>
        </w:rPr>
        <w:t>This study adhered to the Transparent Reporting of a Multivariable Prediction Model for Individual Prognosis or Diagnosis with Artificial Intelligence extension (TRIPOD+AI) reporting guidelines [33]. A completed TRIPOD+AI adherence checklist is provided in Supplementary Table S1.</w:t>
      </w:r>
    </w:p>
    <w:p>
      <w:pPr>
        <w:pStyle w:val="Heading2"/>
      </w:pPr>
      <w:r>
        <w:t>PROBAST Self-Assessment</w:t>
      </w:r>
    </w:p>
    <w:p>
      <w:pPr/>
      <w:r>
        <w:rPr>
          <w:rFonts w:ascii="Times New Roman" w:hAnsi="Times New Roman"/>
          <w:b w:val="0"/>
          <w:i w:val="0"/>
        </w:rPr>
        <w:t>Risk of bias was assessed using the Prediction Model Risk of Bias Assessment Tool (PROBAST) across four domains: participants, predictors, outcome, and analysis [34]. The assessment was performed for both the initial (v1) and corrected (v2) pipeline versions to demonstrate how the multi-agent verification process improved methodological quality. Results are presented in Supplementary Table S2.</w:t>
      </w:r>
    </w:p>
    <w:p>
      <w:r>
        <w:br w:type="page"/>
      </w:r>
    </w:p>
    <w:p>
      <w:pPr>
        <w:pStyle w:val="Heading1"/>
      </w:pPr>
      <w:r>
        <w:t>Results</w:t>
      </w:r>
    </w:p>
    <w:p>
      <w:pPr>
        <w:pStyle w:val="Heading2"/>
      </w:pPr>
      <w:r>
        <w:t>Cohort Characteristics</w:t>
      </w:r>
    </w:p>
    <w:p>
      <w:pPr/>
      <w:r>
        <w:rPr>
          <w:rFonts w:ascii="Times New Roman" w:hAnsi="Times New Roman"/>
          <w:b w:val="0"/>
          <w:i w:val="0"/>
        </w:rPr>
        <w:t>The analytical cohort comprised 2,413 patients with confirmed NOA who underwent micro-TESE, of whom 886 (36.7%) had successful sperm retrieval. The majority (91.2%, n=2,203) underwent primary micro-TESE with a success rate of 32.5%, while 210 patients (8.8%) underwent salvage (repeat) micro-TESE with a substantially higher success rate of 80.5%. The cohort was predominantly of Iranian ethnicity (87.0%, n=2,100), followed by Afghan (10.4%, n=251) and Iraqi (2.0%, n=48) patients. Patient characteristics are summarized in Table 1.</w:t>
      </w:r>
    </w:p>
    <w:p>
      <w:pPr>
        <w:spacing w:after="120"/>
      </w:pPr>
      <w:r>
        <w:rPr>
          <w:rFonts w:ascii="Times New Roman" w:hAnsi="Times New Roman"/>
          <w:b w:val="0"/>
          <w:i w:val="0"/>
        </w:rPr>
      </w:r>
    </w:p>
    <w:p>
      <w:pPr>
        <w:jc w:val="center"/>
      </w:pPr>
      <w:r>
        <w:rPr>
          <w:rFonts w:ascii="Times New Roman" w:hAnsi="Times New Roman"/>
          <w:b/>
          <w:i w:val="0"/>
        </w:rPr>
        <w:t>Table 1. Patient Demographics and Clinical Characteristics (N=2,413)</w:t>
      </w:r>
    </w:p>
    <w:tbl>
      <w:tblPr>
        <w:tblStyle w:val="TableGrid"/>
        <w:tblW w:type="auto" w:w="0"/>
        <w:jc w:val="center"/>
        <w:tblLook w:firstColumn="1" w:firstRow="1" w:lastColumn="0" w:lastRow="0" w:noHBand="0" w:noVBand="1" w:val="04A0"/>
      </w:tblPr>
      <w:tblGrid>
        <w:gridCol w:w="4680"/>
        <w:gridCol w:w="4680"/>
      </w:tblGrid>
      <w:tr>
        <w:tc>
          <w:tcPr>
            <w:tcW w:type="dxa" w:w="5760"/>
            <w:shd w:fill="D9E2F3"/>
          </w:tcPr>
          <w:p>
            <w:pPr>
              <w:spacing w:line="276" w:lineRule="auto"/>
              <w:jc w:val="center"/>
            </w:pPr>
            <w:r/>
            <w:r>
              <w:rPr>
                <w:rFonts w:ascii="Times New Roman" w:hAnsi="Times New Roman"/>
                <w:b/>
                <w:sz w:val="20"/>
              </w:rPr>
              <w:t>Characteristic</w:t>
            </w:r>
          </w:p>
        </w:tc>
        <w:tc>
          <w:tcPr>
            <w:tcW w:type="dxa" w:w="3600"/>
            <w:shd w:fill="D9E2F3"/>
          </w:tcPr>
          <w:p>
            <w:pPr>
              <w:spacing w:line="276" w:lineRule="auto"/>
              <w:jc w:val="center"/>
            </w:pPr>
            <w:r/>
            <w:r>
              <w:rPr>
                <w:rFonts w:ascii="Times New Roman" w:hAnsi="Times New Roman"/>
                <w:b/>
                <w:sz w:val="20"/>
              </w:rPr>
              <w:t>Value</w:t>
            </w:r>
          </w:p>
        </w:tc>
      </w:tr>
      <w:tr>
        <w:tc>
          <w:tcPr>
            <w:tcW w:type="dxa" w:w="5760"/>
          </w:tcPr>
          <w:p>
            <w:pPr>
              <w:spacing w:line="276" w:lineRule="auto"/>
              <w:jc w:val="center"/>
            </w:pPr>
            <w:r/>
            <w:r>
              <w:rPr>
                <w:rFonts w:ascii="Times New Roman" w:hAnsi="Times New Roman"/>
                <w:sz w:val="20"/>
              </w:rPr>
              <w:t>Total patients</w:t>
            </w:r>
          </w:p>
        </w:tc>
        <w:tc>
          <w:tcPr>
            <w:tcW w:type="dxa" w:w="3600"/>
          </w:tcPr>
          <w:p>
            <w:pPr>
              <w:spacing w:line="276" w:lineRule="auto"/>
              <w:jc w:val="center"/>
            </w:pPr>
            <w:r/>
            <w:r>
              <w:rPr>
                <w:rFonts w:ascii="Times New Roman" w:hAnsi="Times New Roman"/>
                <w:sz w:val="20"/>
              </w:rPr>
              <w:t>2,413</w:t>
            </w:r>
          </w:p>
        </w:tc>
      </w:tr>
      <w:tr>
        <w:tc>
          <w:tcPr>
            <w:tcW w:type="dxa" w:w="5760"/>
          </w:tcPr>
          <w:p>
            <w:pPr>
              <w:spacing w:line="276" w:lineRule="auto"/>
              <w:jc w:val="center"/>
            </w:pPr>
            <w:r/>
            <w:r>
              <w:rPr>
                <w:rFonts w:ascii="Times New Roman" w:hAnsi="Times New Roman"/>
                <w:sz w:val="20"/>
              </w:rPr>
              <w:t>Successful sperm retrieval, n (%)</w:t>
            </w:r>
          </w:p>
        </w:tc>
        <w:tc>
          <w:tcPr>
            <w:tcW w:type="dxa" w:w="3600"/>
          </w:tcPr>
          <w:p>
            <w:pPr>
              <w:spacing w:line="276" w:lineRule="auto"/>
              <w:jc w:val="center"/>
            </w:pPr>
            <w:r/>
            <w:r>
              <w:rPr>
                <w:rFonts w:ascii="Times New Roman" w:hAnsi="Times New Roman"/>
                <w:sz w:val="20"/>
              </w:rPr>
              <w:t>886 (36.7%)</w:t>
            </w:r>
          </w:p>
        </w:tc>
      </w:tr>
      <w:tr>
        <w:tc>
          <w:tcPr>
            <w:tcW w:type="dxa" w:w="5760"/>
          </w:tcPr>
          <w:p>
            <w:pPr>
              <w:spacing w:line="276" w:lineRule="auto"/>
              <w:jc w:val="center"/>
            </w:pPr>
            <w:r/>
            <w:r>
              <w:rPr>
                <w:rFonts w:ascii="Times New Roman" w:hAnsi="Times New Roman"/>
                <w:sz w:val="20"/>
              </w:rPr>
              <w:t>Unsuccessful sperm retrieval, n (%)</w:t>
            </w:r>
          </w:p>
        </w:tc>
        <w:tc>
          <w:tcPr>
            <w:tcW w:type="dxa" w:w="3600"/>
          </w:tcPr>
          <w:p>
            <w:pPr>
              <w:spacing w:line="276" w:lineRule="auto"/>
              <w:jc w:val="center"/>
            </w:pPr>
            <w:r/>
            <w:r>
              <w:rPr>
                <w:rFonts w:ascii="Times New Roman" w:hAnsi="Times New Roman"/>
                <w:sz w:val="20"/>
              </w:rPr>
              <w:t>1,527 (63.3%)</w:t>
            </w:r>
          </w:p>
        </w:tc>
      </w:tr>
      <w:tr>
        <w:tc>
          <w:tcPr>
            <w:tcW w:type="dxa" w:w="5760"/>
          </w:tcPr>
          <w:p>
            <w:pPr>
              <w:spacing w:line="276" w:lineRule="auto"/>
              <w:jc w:val="center"/>
            </w:pPr>
            <w:r/>
            <w:r>
              <w:rPr>
                <w:rFonts w:ascii="Times New Roman" w:hAnsi="Times New Roman"/>
                <w:sz w:val="20"/>
              </w:rPr>
              <w:t>Prevalence of successful retrieval</w:t>
            </w:r>
          </w:p>
        </w:tc>
        <w:tc>
          <w:tcPr>
            <w:tcW w:type="dxa" w:w="3600"/>
          </w:tcPr>
          <w:p>
            <w:pPr>
              <w:spacing w:line="276" w:lineRule="auto"/>
              <w:jc w:val="center"/>
            </w:pPr>
            <w:r/>
            <w:r>
              <w:rPr>
                <w:rFonts w:ascii="Times New Roman" w:hAnsi="Times New Roman"/>
                <w:sz w:val="20"/>
              </w:rPr>
              <w:t>0.367</w:t>
            </w:r>
          </w:p>
        </w:tc>
      </w:tr>
      <w:tr>
        <w:tc>
          <w:tcPr>
            <w:tcW w:type="dxa" w:w="5760"/>
          </w:tcPr>
          <w:p>
            <w:pPr>
              <w:spacing w:line="276" w:lineRule="auto"/>
              <w:jc w:val="center"/>
            </w:pPr>
            <w:r/>
            <w:r>
              <w:rPr>
                <w:rFonts w:ascii="Times New Roman" w:hAnsi="Times New Roman"/>
                <w:sz w:val="20"/>
              </w:rPr>
              <w:t>Class imbalance ratio (failure:success)</w:t>
            </w:r>
          </w:p>
        </w:tc>
        <w:tc>
          <w:tcPr>
            <w:tcW w:type="dxa" w:w="3600"/>
          </w:tcPr>
          <w:p>
            <w:pPr>
              <w:spacing w:line="276" w:lineRule="auto"/>
              <w:jc w:val="center"/>
            </w:pPr>
            <w:r/>
            <w:r>
              <w:rPr>
                <w:rFonts w:ascii="Times New Roman" w:hAnsi="Times New Roman"/>
                <w:sz w:val="20"/>
              </w:rPr>
              <w:t>1.72:1</w:t>
            </w:r>
          </w:p>
        </w:tc>
      </w:tr>
      <w:tr>
        <w:tc>
          <w:tcPr>
            <w:tcW w:type="dxa" w:w="5760"/>
          </w:tcPr>
          <w:p>
            <w:pPr>
              <w:spacing w:line="276" w:lineRule="auto"/>
              <w:jc w:val="center"/>
            </w:pPr>
            <w:r/>
            <w:r>
              <w:rPr>
                <w:rFonts w:ascii="Times New Roman" w:hAnsi="Times New Roman"/>
                <w:sz w:val="20"/>
              </w:rPr>
              <w:t>Primary micro-TESE, n (%)</w:t>
            </w:r>
          </w:p>
        </w:tc>
        <w:tc>
          <w:tcPr>
            <w:tcW w:type="dxa" w:w="3600"/>
          </w:tcPr>
          <w:p>
            <w:pPr>
              <w:spacing w:line="276" w:lineRule="auto"/>
              <w:jc w:val="center"/>
            </w:pPr>
            <w:r/>
            <w:r>
              <w:rPr>
                <w:rFonts w:ascii="Times New Roman" w:hAnsi="Times New Roman"/>
                <w:sz w:val="20"/>
              </w:rPr>
              <w:t>2,203 (91.2%)</w:t>
            </w:r>
          </w:p>
        </w:tc>
      </w:tr>
      <w:tr>
        <w:tc>
          <w:tcPr>
            <w:tcW w:type="dxa" w:w="5760"/>
          </w:tcPr>
          <w:p>
            <w:pPr>
              <w:spacing w:line="276" w:lineRule="auto"/>
              <w:jc w:val="center"/>
            </w:pPr>
            <w:r/>
            <w:r>
              <w:rPr>
                <w:rFonts w:ascii="Times New Roman" w:hAnsi="Times New Roman"/>
                <w:sz w:val="20"/>
              </w:rPr>
              <w:t xml:space="preserve">   Success rate</w:t>
            </w:r>
          </w:p>
        </w:tc>
        <w:tc>
          <w:tcPr>
            <w:tcW w:type="dxa" w:w="3600"/>
          </w:tcPr>
          <w:p>
            <w:pPr>
              <w:spacing w:line="276" w:lineRule="auto"/>
              <w:jc w:val="center"/>
            </w:pPr>
            <w:r/>
            <w:r>
              <w:rPr>
                <w:rFonts w:ascii="Times New Roman" w:hAnsi="Times New Roman"/>
                <w:sz w:val="20"/>
              </w:rPr>
              <w:t>32.5%</w:t>
            </w:r>
          </w:p>
        </w:tc>
      </w:tr>
      <w:tr>
        <w:tc>
          <w:tcPr>
            <w:tcW w:type="dxa" w:w="5760"/>
          </w:tcPr>
          <w:p>
            <w:pPr>
              <w:spacing w:line="276" w:lineRule="auto"/>
              <w:jc w:val="center"/>
            </w:pPr>
            <w:r/>
            <w:r>
              <w:rPr>
                <w:rFonts w:ascii="Times New Roman" w:hAnsi="Times New Roman"/>
                <w:sz w:val="20"/>
              </w:rPr>
              <w:t>Salvage micro-TESE, n (%)</w:t>
            </w:r>
          </w:p>
        </w:tc>
        <w:tc>
          <w:tcPr>
            <w:tcW w:type="dxa" w:w="3600"/>
          </w:tcPr>
          <w:p>
            <w:pPr>
              <w:spacing w:line="276" w:lineRule="auto"/>
              <w:jc w:val="center"/>
            </w:pPr>
            <w:r/>
            <w:r>
              <w:rPr>
                <w:rFonts w:ascii="Times New Roman" w:hAnsi="Times New Roman"/>
                <w:sz w:val="20"/>
              </w:rPr>
              <w:t>210 (8.8%)</w:t>
            </w:r>
          </w:p>
        </w:tc>
      </w:tr>
      <w:tr>
        <w:tc>
          <w:tcPr>
            <w:tcW w:type="dxa" w:w="5760"/>
          </w:tcPr>
          <w:p>
            <w:pPr>
              <w:spacing w:line="276" w:lineRule="auto"/>
              <w:jc w:val="center"/>
            </w:pPr>
            <w:r/>
            <w:r>
              <w:rPr>
                <w:rFonts w:ascii="Times New Roman" w:hAnsi="Times New Roman"/>
                <w:sz w:val="20"/>
              </w:rPr>
              <w:t xml:space="preserve">   Success rate</w:t>
            </w:r>
          </w:p>
        </w:tc>
        <w:tc>
          <w:tcPr>
            <w:tcW w:type="dxa" w:w="3600"/>
          </w:tcPr>
          <w:p>
            <w:pPr>
              <w:spacing w:line="276" w:lineRule="auto"/>
              <w:jc w:val="center"/>
            </w:pPr>
            <w:r/>
            <w:r>
              <w:rPr>
                <w:rFonts w:ascii="Times New Roman" w:hAnsi="Times New Roman"/>
                <w:sz w:val="20"/>
              </w:rPr>
              <w:t>80.5%</w:t>
            </w:r>
          </w:p>
        </w:tc>
      </w:tr>
      <w:tr>
        <w:tc>
          <w:tcPr>
            <w:tcW w:type="dxa" w:w="5760"/>
          </w:tcPr>
          <w:p>
            <w:pPr>
              <w:spacing w:line="276" w:lineRule="auto"/>
              <w:jc w:val="center"/>
            </w:pPr>
            <w:r/>
            <w:r>
              <w:rPr>
                <w:rFonts w:ascii="Times New Roman" w:hAnsi="Times New Roman"/>
                <w:sz w:val="20"/>
              </w:rPr>
              <w:t>Ethnicity: Iranian, n (%)</w:t>
            </w:r>
          </w:p>
        </w:tc>
        <w:tc>
          <w:tcPr>
            <w:tcW w:type="dxa" w:w="3600"/>
          </w:tcPr>
          <w:p>
            <w:pPr>
              <w:spacing w:line="276" w:lineRule="auto"/>
              <w:jc w:val="center"/>
            </w:pPr>
            <w:r/>
            <w:r>
              <w:rPr>
                <w:rFonts w:ascii="Times New Roman" w:hAnsi="Times New Roman"/>
                <w:sz w:val="20"/>
              </w:rPr>
              <w:t>2,100 (87.0%)</w:t>
            </w:r>
          </w:p>
        </w:tc>
      </w:tr>
      <w:tr>
        <w:tc>
          <w:tcPr>
            <w:tcW w:type="dxa" w:w="5760"/>
          </w:tcPr>
          <w:p>
            <w:pPr>
              <w:spacing w:line="276" w:lineRule="auto"/>
              <w:jc w:val="center"/>
            </w:pPr>
            <w:r/>
            <w:r>
              <w:rPr>
                <w:rFonts w:ascii="Times New Roman" w:hAnsi="Times New Roman"/>
                <w:sz w:val="20"/>
              </w:rPr>
              <w:t>Ethnicity: Afghan, n (%)</w:t>
            </w:r>
          </w:p>
        </w:tc>
        <w:tc>
          <w:tcPr>
            <w:tcW w:type="dxa" w:w="3600"/>
          </w:tcPr>
          <w:p>
            <w:pPr>
              <w:spacing w:line="276" w:lineRule="auto"/>
              <w:jc w:val="center"/>
            </w:pPr>
            <w:r/>
            <w:r>
              <w:rPr>
                <w:rFonts w:ascii="Times New Roman" w:hAnsi="Times New Roman"/>
                <w:sz w:val="20"/>
              </w:rPr>
              <w:t>251 (10.4%)</w:t>
            </w:r>
          </w:p>
        </w:tc>
      </w:tr>
      <w:tr>
        <w:tc>
          <w:tcPr>
            <w:tcW w:type="dxa" w:w="5760"/>
          </w:tcPr>
          <w:p>
            <w:pPr>
              <w:spacing w:line="276" w:lineRule="auto"/>
              <w:jc w:val="center"/>
            </w:pPr>
            <w:r/>
            <w:r>
              <w:rPr>
                <w:rFonts w:ascii="Times New Roman" w:hAnsi="Times New Roman"/>
                <w:sz w:val="20"/>
              </w:rPr>
              <w:t>Ethnicity: Iraqi, n (%)</w:t>
            </w:r>
          </w:p>
        </w:tc>
        <w:tc>
          <w:tcPr>
            <w:tcW w:type="dxa" w:w="3600"/>
          </w:tcPr>
          <w:p>
            <w:pPr>
              <w:spacing w:line="276" w:lineRule="auto"/>
              <w:jc w:val="center"/>
            </w:pPr>
            <w:r/>
            <w:r>
              <w:rPr>
                <w:rFonts w:ascii="Times New Roman" w:hAnsi="Times New Roman"/>
                <w:sz w:val="20"/>
              </w:rPr>
              <w:t>48 (2.0%)</w:t>
            </w:r>
          </w:p>
        </w:tc>
      </w:tr>
      <w:tr>
        <w:tc>
          <w:tcPr>
            <w:tcW w:type="dxa" w:w="5760"/>
          </w:tcPr>
          <w:p>
            <w:pPr>
              <w:spacing w:line="276" w:lineRule="auto"/>
              <w:jc w:val="center"/>
            </w:pPr>
            <w:r/>
            <w:r>
              <w:rPr>
                <w:rFonts w:ascii="Times New Roman" w:hAnsi="Times New Roman"/>
                <w:sz w:val="20"/>
              </w:rPr>
              <w:t>FSH — missing</w:t>
            </w:r>
          </w:p>
        </w:tc>
        <w:tc>
          <w:tcPr>
            <w:tcW w:type="dxa" w:w="3600"/>
          </w:tcPr>
          <w:p>
            <w:pPr>
              <w:spacing w:line="276" w:lineRule="auto"/>
              <w:jc w:val="center"/>
            </w:pPr>
            <w:r/>
            <w:r>
              <w:rPr>
                <w:rFonts w:ascii="Times New Roman" w:hAnsi="Times New Roman"/>
                <w:sz w:val="20"/>
              </w:rPr>
              <w:t>22.2%</w:t>
            </w:r>
          </w:p>
        </w:tc>
      </w:tr>
      <w:tr>
        <w:tc>
          <w:tcPr>
            <w:tcW w:type="dxa" w:w="5760"/>
          </w:tcPr>
          <w:p>
            <w:pPr>
              <w:spacing w:line="276" w:lineRule="auto"/>
              <w:jc w:val="center"/>
            </w:pPr>
            <w:r/>
            <w:r>
              <w:rPr>
                <w:rFonts w:ascii="Times New Roman" w:hAnsi="Times New Roman"/>
                <w:sz w:val="20"/>
              </w:rPr>
              <w:t>LH — missing</w:t>
            </w:r>
          </w:p>
        </w:tc>
        <w:tc>
          <w:tcPr>
            <w:tcW w:type="dxa" w:w="3600"/>
          </w:tcPr>
          <w:p>
            <w:pPr>
              <w:spacing w:line="276" w:lineRule="auto"/>
              <w:jc w:val="center"/>
            </w:pPr>
            <w:r/>
            <w:r>
              <w:rPr>
                <w:rFonts w:ascii="Times New Roman" w:hAnsi="Times New Roman"/>
                <w:sz w:val="20"/>
              </w:rPr>
              <w:t>25.1%</w:t>
            </w:r>
          </w:p>
        </w:tc>
      </w:tr>
      <w:tr>
        <w:tc>
          <w:tcPr>
            <w:tcW w:type="dxa" w:w="5760"/>
          </w:tcPr>
          <w:p>
            <w:pPr>
              <w:spacing w:line="276" w:lineRule="auto"/>
              <w:jc w:val="center"/>
            </w:pPr>
            <w:r/>
            <w:r>
              <w:rPr>
                <w:rFonts w:ascii="Times New Roman" w:hAnsi="Times New Roman"/>
                <w:sz w:val="20"/>
              </w:rPr>
              <w:t>Testosterone — missing</w:t>
            </w:r>
          </w:p>
        </w:tc>
        <w:tc>
          <w:tcPr>
            <w:tcW w:type="dxa" w:w="3600"/>
          </w:tcPr>
          <w:p>
            <w:pPr>
              <w:spacing w:line="276" w:lineRule="auto"/>
              <w:jc w:val="center"/>
            </w:pPr>
            <w:r/>
            <w:r>
              <w:rPr>
                <w:rFonts w:ascii="Times New Roman" w:hAnsi="Times New Roman"/>
                <w:sz w:val="20"/>
              </w:rPr>
              <w:t>22.6%</w:t>
            </w:r>
          </w:p>
        </w:tc>
      </w:tr>
      <w:tr>
        <w:tc>
          <w:tcPr>
            <w:tcW w:type="dxa" w:w="5760"/>
          </w:tcPr>
          <w:p>
            <w:pPr>
              <w:spacing w:line="276" w:lineRule="auto"/>
              <w:jc w:val="center"/>
            </w:pPr>
            <w:r/>
            <w:r>
              <w:rPr>
                <w:rFonts w:ascii="Times New Roman" w:hAnsi="Times New Roman"/>
                <w:sz w:val="20"/>
              </w:rPr>
              <w:t>Prolactin — missing</w:t>
            </w:r>
          </w:p>
        </w:tc>
        <w:tc>
          <w:tcPr>
            <w:tcW w:type="dxa" w:w="3600"/>
          </w:tcPr>
          <w:p>
            <w:pPr>
              <w:spacing w:line="276" w:lineRule="auto"/>
              <w:jc w:val="center"/>
            </w:pPr>
            <w:r/>
            <w:r>
              <w:rPr>
                <w:rFonts w:ascii="Times New Roman" w:hAnsi="Times New Roman"/>
                <w:sz w:val="20"/>
              </w:rPr>
              <w:t>40.4%</w:t>
            </w:r>
          </w:p>
        </w:tc>
      </w:tr>
      <w:tr>
        <w:tc>
          <w:tcPr>
            <w:tcW w:type="dxa" w:w="5760"/>
          </w:tcPr>
          <w:p>
            <w:pPr>
              <w:spacing w:line="276" w:lineRule="auto"/>
              <w:jc w:val="center"/>
            </w:pPr>
            <w:r/>
            <w:r>
              <w:rPr>
                <w:rFonts w:ascii="Times New Roman" w:hAnsi="Times New Roman"/>
                <w:sz w:val="20"/>
              </w:rPr>
              <w:t>Estradiol — missing</w:t>
            </w:r>
          </w:p>
        </w:tc>
        <w:tc>
          <w:tcPr>
            <w:tcW w:type="dxa" w:w="3600"/>
          </w:tcPr>
          <w:p>
            <w:pPr>
              <w:spacing w:line="276" w:lineRule="auto"/>
              <w:jc w:val="center"/>
            </w:pPr>
            <w:r/>
            <w:r>
              <w:rPr>
                <w:rFonts w:ascii="Times New Roman" w:hAnsi="Times New Roman"/>
                <w:sz w:val="20"/>
              </w:rPr>
              <w:t>41.6%</w:t>
            </w:r>
          </w:p>
        </w:tc>
      </w:tr>
      <w:tr>
        <w:tc>
          <w:tcPr>
            <w:tcW w:type="dxa" w:w="5760"/>
          </w:tcPr>
          <w:p>
            <w:pPr>
              <w:spacing w:line="276" w:lineRule="auto"/>
              <w:jc w:val="center"/>
            </w:pPr>
            <w:r/>
            <w:r>
              <w:rPr>
                <w:rFonts w:ascii="Times New Roman" w:hAnsi="Times New Roman"/>
                <w:sz w:val="20"/>
              </w:rPr>
              <w:t>Karyotype — missing</w:t>
            </w:r>
          </w:p>
        </w:tc>
        <w:tc>
          <w:tcPr>
            <w:tcW w:type="dxa" w:w="3600"/>
          </w:tcPr>
          <w:p>
            <w:pPr>
              <w:spacing w:line="276" w:lineRule="auto"/>
              <w:jc w:val="center"/>
            </w:pPr>
            <w:r/>
            <w:r>
              <w:rPr>
                <w:rFonts w:ascii="Times New Roman" w:hAnsi="Times New Roman"/>
                <w:sz w:val="20"/>
              </w:rPr>
              <w:t>62.3%</w:t>
            </w:r>
          </w:p>
        </w:tc>
      </w:tr>
      <w:tr>
        <w:tc>
          <w:tcPr>
            <w:tcW w:type="dxa" w:w="5760"/>
          </w:tcPr>
          <w:p>
            <w:pPr>
              <w:spacing w:line="276" w:lineRule="auto"/>
              <w:jc w:val="center"/>
            </w:pPr>
            <w:r/>
            <w:r>
              <w:rPr>
                <w:rFonts w:ascii="Times New Roman" w:hAnsi="Times New Roman"/>
                <w:sz w:val="20"/>
              </w:rPr>
              <w:t>Y chromosome microdeletion — missing</w:t>
            </w:r>
          </w:p>
        </w:tc>
        <w:tc>
          <w:tcPr>
            <w:tcW w:type="dxa" w:w="3600"/>
          </w:tcPr>
          <w:p>
            <w:pPr>
              <w:spacing w:line="276" w:lineRule="auto"/>
              <w:jc w:val="center"/>
            </w:pPr>
            <w:r/>
            <w:r>
              <w:rPr>
                <w:rFonts w:ascii="Times New Roman" w:hAnsi="Times New Roman"/>
                <w:sz w:val="20"/>
              </w:rPr>
              <w:t>62.4%</w:t>
            </w:r>
          </w:p>
        </w:tc>
      </w:tr>
      <w:tr>
        <w:tc>
          <w:tcPr>
            <w:tcW w:type="dxa" w:w="5760"/>
          </w:tcPr>
          <w:p>
            <w:pPr>
              <w:spacing w:line="276" w:lineRule="auto"/>
              <w:jc w:val="center"/>
            </w:pPr>
            <w:r/>
            <w:r>
              <w:rPr>
                <w:rFonts w:ascii="Times New Roman" w:hAnsi="Times New Roman"/>
                <w:sz w:val="20"/>
              </w:rPr>
              <w:t>BMI — missing</w:t>
            </w:r>
          </w:p>
        </w:tc>
        <w:tc>
          <w:tcPr>
            <w:tcW w:type="dxa" w:w="3600"/>
          </w:tcPr>
          <w:p>
            <w:pPr>
              <w:spacing w:line="276" w:lineRule="auto"/>
              <w:jc w:val="center"/>
            </w:pPr>
            <w:r/>
            <w:r>
              <w:rPr>
                <w:rFonts w:ascii="Times New Roman" w:hAnsi="Times New Roman"/>
                <w:sz w:val="20"/>
              </w:rPr>
              <w:t>64.1%</w:t>
            </w:r>
          </w:p>
        </w:tc>
      </w:tr>
      <w:tr>
        <w:tc>
          <w:tcPr>
            <w:tcW w:type="dxa" w:w="5760"/>
          </w:tcPr>
          <w:p>
            <w:pPr>
              <w:spacing w:line="276" w:lineRule="auto"/>
              <w:jc w:val="center"/>
            </w:pPr>
            <w:r/>
            <w:r>
              <w:rPr>
                <w:rFonts w:ascii="Times New Roman" w:hAnsi="Times New Roman"/>
                <w:sz w:val="20"/>
              </w:rPr>
              <w:t>Total features (original)</w:t>
            </w:r>
          </w:p>
        </w:tc>
        <w:tc>
          <w:tcPr>
            <w:tcW w:type="dxa" w:w="3600"/>
          </w:tcPr>
          <w:p>
            <w:pPr>
              <w:spacing w:line="276" w:lineRule="auto"/>
              <w:jc w:val="center"/>
            </w:pPr>
            <w:r/>
            <w:r>
              <w:rPr>
                <w:rFonts w:ascii="Times New Roman" w:hAnsi="Times New Roman"/>
                <w:sz w:val="20"/>
              </w:rPr>
              <w:t>55</w:t>
            </w:r>
          </w:p>
        </w:tc>
      </w:tr>
      <w:tr>
        <w:tc>
          <w:tcPr>
            <w:tcW w:type="dxa" w:w="5760"/>
          </w:tcPr>
          <w:p>
            <w:pPr>
              <w:spacing w:line="276" w:lineRule="auto"/>
              <w:jc w:val="center"/>
            </w:pPr>
            <w:r/>
            <w:r>
              <w:rPr>
                <w:rFonts w:ascii="Times New Roman" w:hAnsi="Times New Roman"/>
                <w:sz w:val="20"/>
              </w:rPr>
              <w:t>Engineered pathology features</w:t>
            </w:r>
          </w:p>
        </w:tc>
        <w:tc>
          <w:tcPr>
            <w:tcW w:type="dxa" w:w="3600"/>
          </w:tcPr>
          <w:p>
            <w:pPr>
              <w:spacing w:line="276" w:lineRule="auto"/>
              <w:jc w:val="center"/>
            </w:pPr>
            <w:r/>
            <w:r>
              <w:rPr>
                <w:rFonts w:ascii="Times New Roman" w:hAnsi="Times New Roman"/>
                <w:sz w:val="20"/>
              </w:rPr>
              <w:t>18</w:t>
            </w:r>
          </w:p>
        </w:tc>
      </w:tr>
      <w:tr>
        <w:tc>
          <w:tcPr>
            <w:tcW w:type="dxa" w:w="5760"/>
          </w:tcPr>
          <w:p>
            <w:pPr>
              <w:spacing w:line="276" w:lineRule="auto"/>
              <w:jc w:val="center"/>
            </w:pPr>
            <w:r/>
            <w:r>
              <w:rPr>
                <w:rFonts w:ascii="Times New Roman" w:hAnsi="Times New Roman"/>
                <w:sz w:val="20"/>
              </w:rPr>
              <w:t>Total features after engineering</w:t>
            </w:r>
          </w:p>
        </w:tc>
        <w:tc>
          <w:tcPr>
            <w:tcW w:type="dxa" w:w="3600"/>
          </w:tcPr>
          <w:p>
            <w:pPr>
              <w:spacing w:line="276" w:lineRule="auto"/>
              <w:jc w:val="center"/>
            </w:pPr>
            <w:r/>
            <w:r>
              <w:rPr>
                <w:rFonts w:ascii="Times New Roman" w:hAnsi="Times New Roman"/>
                <w:sz w:val="20"/>
              </w:rPr>
              <w:t>73</w:t>
            </w:r>
          </w:p>
        </w:tc>
      </w:tr>
      <w:tr>
        <w:tc>
          <w:tcPr>
            <w:tcW w:type="dxa" w:w="5760"/>
          </w:tcPr>
          <w:p>
            <w:pPr>
              <w:spacing w:line="276" w:lineRule="auto"/>
              <w:jc w:val="center"/>
            </w:pPr>
            <w:r/>
            <w:r>
              <w:rPr>
                <w:rFonts w:ascii="Times New Roman" w:hAnsi="Times New Roman"/>
                <w:sz w:val="20"/>
              </w:rPr>
              <w:t>Features in final model</w:t>
            </w:r>
          </w:p>
        </w:tc>
        <w:tc>
          <w:tcPr>
            <w:tcW w:type="dxa" w:w="3600"/>
          </w:tcPr>
          <w:p>
            <w:pPr>
              <w:spacing w:line="276" w:lineRule="auto"/>
              <w:jc w:val="center"/>
            </w:pPr>
            <w:r/>
            <w:r>
              <w:rPr>
                <w:rFonts w:ascii="Times New Roman" w:hAnsi="Times New Roman"/>
                <w:sz w:val="20"/>
              </w:rPr>
              <w:t>45</w:t>
            </w:r>
          </w:p>
        </w:tc>
      </w:tr>
    </w:tbl>
    <w:p>
      <w:pPr/>
      <w:r>
        <w:rPr>
          <w:rFonts w:ascii="Times New Roman" w:hAnsi="Times New Roman"/>
          <w:b w:val="0"/>
          <w:i w:val="0"/>
        </w:rPr>
      </w:r>
    </w:p>
    <w:p>
      <w:pPr/>
      <w:r>
        <w:rPr>
          <w:rFonts w:ascii="Times New Roman" w:hAnsi="Times New Roman"/>
          <w:b w:val="0"/>
          <w:i w:val="0"/>
        </w:rPr>
        <w:t>The most prevalent histopathology pattern was Sertoli cell–only (SCO) syndrome, observed in 50.6% of right testis biopsies, followed by complete spermatogenic tubular hyalinization (CSTH, 28.0%) and maturation arrest at spermatocytic stage (23.1%). Patients with hypospermatogenesis had the highest sperm retrieval rates (91.1% for right testis, 81.0% for left testis), while those with pure SCO had the lowest rates (32.4% for right testis). Severe missingness was present in several clinical variables, most notably in testicular volume measurements (62.7–83.0%), genetic testing (62.3–62.4%), and lifestyle variables (42.2%).</w:t>
      </w:r>
    </w:p>
    <w:p>
      <w:pPr>
        <w:pStyle w:val="Heading2"/>
      </w:pPr>
      <w:r>
        <w:t>Model Performance</w:t>
      </w:r>
    </w:p>
    <w:p>
      <w:pPr/>
      <w:r>
        <w:rPr>
          <w:rFonts w:ascii="Times New Roman" w:hAnsi="Times New Roman"/>
          <w:b w:val="0"/>
          <w:i w:val="0"/>
        </w:rPr>
        <w:t>CatBoost achieved the highest overall discriminative performance among the five candidate models (Table 2). The mean outer-fold AUC was 0.8306, with bootstrap 95% confidence intervals on the aggregated out-of-fold predictions of 0.8130 to 0.8462. CatBoost demonstrated balanced sensitivity (0.6784) and specificity (0.8220), with a positive predictive value (PPV) of 0.6883 and negative predictive value (NPV) of 0.8152. The F1 score was 0.6832 and Matthew’s correlation coefficient (MCC) was 0.5019.</w:t>
      </w:r>
    </w:p>
    <w:p>
      <w:pPr>
        <w:spacing w:after="120"/>
      </w:pPr>
      <w:r>
        <w:rPr>
          <w:rFonts w:ascii="Times New Roman" w:hAnsi="Times New Roman"/>
          <w:b w:val="0"/>
          <w:i w:val="0"/>
        </w:rPr>
      </w:r>
    </w:p>
    <w:p>
      <w:pPr>
        <w:jc w:val="center"/>
      </w:pPr>
      <w:r>
        <w:rPr>
          <w:rFonts w:ascii="Times New Roman" w:hAnsi="Times New Roman"/>
          <w:b/>
          <w:i w:val="0"/>
        </w:rPr>
        <w:t>Table 2. Model Performance Comparison Using 5×5 Nested Cross-Validation</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shd w:fill="D9E2F3"/>
          </w:tcPr>
          <w:p>
            <w:pPr>
              <w:spacing w:line="276" w:lineRule="auto"/>
              <w:jc w:val="center"/>
            </w:pPr>
            <w:r/>
            <w:r>
              <w:rPr>
                <w:rFonts w:ascii="Times New Roman" w:hAnsi="Times New Roman"/>
                <w:b/>
                <w:sz w:val="20"/>
              </w:rPr>
              <w:t>Model</w:t>
            </w:r>
          </w:p>
        </w:tc>
        <w:tc>
          <w:tcPr>
            <w:tcW w:type="dxa" w:w="2304"/>
            <w:shd w:fill="D9E2F3"/>
          </w:tcPr>
          <w:p>
            <w:pPr>
              <w:spacing w:line="276" w:lineRule="auto"/>
              <w:jc w:val="center"/>
            </w:pPr>
            <w:r/>
            <w:r>
              <w:rPr>
                <w:rFonts w:ascii="Times New Roman" w:hAnsi="Times New Roman"/>
                <w:b/>
                <w:sz w:val="20"/>
              </w:rPr>
              <w:t>AUC (95% CI)</w:t>
            </w:r>
          </w:p>
        </w:tc>
        <w:tc>
          <w:tcPr>
            <w:tcW w:type="dxa" w:w="1008"/>
            <w:shd w:fill="D9E2F3"/>
          </w:tcPr>
          <w:p>
            <w:pPr>
              <w:spacing w:line="276" w:lineRule="auto"/>
              <w:jc w:val="center"/>
            </w:pPr>
            <w:r/>
            <w:r>
              <w:rPr>
                <w:rFonts w:ascii="Times New Roman" w:hAnsi="Times New Roman"/>
                <w:b/>
                <w:sz w:val="20"/>
              </w:rPr>
              <w:t>Accuracy</w:t>
            </w:r>
          </w:p>
        </w:tc>
        <w:tc>
          <w:tcPr>
            <w:tcW w:type="dxa" w:w="1008"/>
            <w:shd w:fill="D9E2F3"/>
          </w:tcPr>
          <w:p>
            <w:pPr>
              <w:spacing w:line="276" w:lineRule="auto"/>
              <w:jc w:val="center"/>
            </w:pPr>
            <w:r/>
            <w:r>
              <w:rPr>
                <w:rFonts w:ascii="Times New Roman" w:hAnsi="Times New Roman"/>
                <w:b/>
                <w:sz w:val="20"/>
              </w:rPr>
              <w:t>Sensitivity</w:t>
            </w:r>
          </w:p>
        </w:tc>
        <w:tc>
          <w:tcPr>
            <w:tcW w:type="dxa" w:w="1008"/>
            <w:shd w:fill="D9E2F3"/>
          </w:tcPr>
          <w:p>
            <w:pPr>
              <w:spacing w:line="276" w:lineRule="auto"/>
              <w:jc w:val="center"/>
            </w:pPr>
            <w:r/>
            <w:r>
              <w:rPr>
                <w:rFonts w:ascii="Times New Roman" w:hAnsi="Times New Roman"/>
                <w:b/>
                <w:sz w:val="20"/>
              </w:rPr>
              <w:t>Specificity</w:t>
            </w:r>
          </w:p>
        </w:tc>
        <w:tc>
          <w:tcPr>
            <w:tcW w:type="dxa" w:w="792"/>
            <w:shd w:fill="D9E2F3"/>
          </w:tcPr>
          <w:p>
            <w:pPr>
              <w:spacing w:line="276" w:lineRule="auto"/>
              <w:jc w:val="center"/>
            </w:pPr>
            <w:r/>
            <w:r>
              <w:rPr>
                <w:rFonts w:ascii="Times New Roman" w:hAnsi="Times New Roman"/>
                <w:b/>
                <w:sz w:val="20"/>
              </w:rPr>
              <w:t>F1</w:t>
            </w:r>
          </w:p>
        </w:tc>
        <w:tc>
          <w:tcPr>
            <w:tcW w:type="dxa" w:w="792"/>
            <w:shd w:fill="D9E2F3"/>
          </w:tcPr>
          <w:p>
            <w:pPr>
              <w:spacing w:line="276" w:lineRule="auto"/>
              <w:jc w:val="center"/>
            </w:pPr>
            <w:r/>
            <w:r>
              <w:rPr>
                <w:rFonts w:ascii="Times New Roman" w:hAnsi="Times New Roman"/>
                <w:b/>
                <w:sz w:val="20"/>
              </w:rPr>
              <w:t>PPV</w:t>
            </w:r>
          </w:p>
        </w:tc>
        <w:tc>
          <w:tcPr>
            <w:tcW w:type="dxa" w:w="792"/>
            <w:shd w:fill="D9E2F3"/>
          </w:tcPr>
          <w:p>
            <w:pPr>
              <w:spacing w:line="276" w:lineRule="auto"/>
              <w:jc w:val="center"/>
            </w:pPr>
            <w:r/>
            <w:r>
              <w:rPr>
                <w:rFonts w:ascii="Times New Roman" w:hAnsi="Times New Roman"/>
                <w:b/>
                <w:sz w:val="20"/>
              </w:rPr>
              <w:t>NPV</w:t>
            </w:r>
          </w:p>
        </w:tc>
        <w:tc>
          <w:tcPr>
            <w:tcW w:type="dxa" w:w="792"/>
            <w:shd w:fill="D9E2F3"/>
          </w:tcPr>
          <w:p>
            <w:pPr>
              <w:spacing w:line="276" w:lineRule="auto"/>
              <w:jc w:val="center"/>
            </w:pPr>
            <w:r/>
            <w:r>
              <w:rPr>
                <w:rFonts w:ascii="Times New Roman" w:hAnsi="Times New Roman"/>
                <w:b/>
                <w:sz w:val="20"/>
              </w:rPr>
              <w:t>MCC</w:t>
            </w:r>
          </w:p>
        </w:tc>
      </w:tr>
      <w:tr>
        <w:tc>
          <w:tcPr>
            <w:tcW w:type="dxa" w:w="1584"/>
          </w:tcPr>
          <w:p>
            <w:pPr>
              <w:spacing w:line="276" w:lineRule="auto"/>
              <w:jc w:val="center"/>
            </w:pPr>
            <w:r/>
            <w:r>
              <w:rPr>
                <w:rFonts w:ascii="Times New Roman" w:hAnsi="Times New Roman"/>
                <w:sz w:val="20"/>
              </w:rPr>
              <w:t>CatBoost*</w:t>
            </w:r>
          </w:p>
        </w:tc>
        <w:tc>
          <w:tcPr>
            <w:tcW w:type="dxa" w:w="2304"/>
          </w:tcPr>
          <w:p>
            <w:pPr>
              <w:spacing w:line="276" w:lineRule="auto"/>
              <w:jc w:val="center"/>
            </w:pPr>
            <w:r/>
            <w:r>
              <w:rPr>
                <w:rFonts w:ascii="Times New Roman" w:hAnsi="Times New Roman"/>
                <w:sz w:val="20"/>
              </w:rPr>
              <w:t>0.8306 (0.8130–0.8462)</w:t>
            </w:r>
          </w:p>
        </w:tc>
        <w:tc>
          <w:tcPr>
            <w:tcW w:type="dxa" w:w="1008"/>
          </w:tcPr>
          <w:p>
            <w:pPr>
              <w:spacing w:line="276" w:lineRule="auto"/>
              <w:jc w:val="center"/>
            </w:pPr>
            <w:r/>
            <w:r>
              <w:rPr>
                <w:rFonts w:ascii="Times New Roman" w:hAnsi="Times New Roman"/>
                <w:sz w:val="20"/>
              </w:rPr>
              <w:t>0.7693</w:t>
            </w:r>
          </w:p>
        </w:tc>
        <w:tc>
          <w:tcPr>
            <w:tcW w:type="dxa" w:w="1008"/>
          </w:tcPr>
          <w:p>
            <w:pPr>
              <w:spacing w:line="276" w:lineRule="auto"/>
              <w:jc w:val="center"/>
            </w:pPr>
            <w:r/>
            <w:r>
              <w:rPr>
                <w:rFonts w:ascii="Times New Roman" w:hAnsi="Times New Roman"/>
                <w:sz w:val="20"/>
              </w:rPr>
              <w:t>0.6784</w:t>
            </w:r>
          </w:p>
        </w:tc>
        <w:tc>
          <w:tcPr>
            <w:tcW w:type="dxa" w:w="1008"/>
          </w:tcPr>
          <w:p>
            <w:pPr>
              <w:spacing w:line="276" w:lineRule="auto"/>
              <w:jc w:val="center"/>
            </w:pPr>
            <w:r/>
            <w:r>
              <w:rPr>
                <w:rFonts w:ascii="Times New Roman" w:hAnsi="Times New Roman"/>
                <w:sz w:val="20"/>
              </w:rPr>
              <w:t>0.8220</w:t>
            </w:r>
          </w:p>
        </w:tc>
        <w:tc>
          <w:tcPr>
            <w:tcW w:type="dxa" w:w="792"/>
          </w:tcPr>
          <w:p>
            <w:pPr>
              <w:spacing w:line="276" w:lineRule="auto"/>
              <w:jc w:val="center"/>
            </w:pPr>
            <w:r/>
            <w:r>
              <w:rPr>
                <w:rFonts w:ascii="Times New Roman" w:hAnsi="Times New Roman"/>
                <w:sz w:val="20"/>
              </w:rPr>
              <w:t>0.6832</w:t>
            </w:r>
          </w:p>
        </w:tc>
        <w:tc>
          <w:tcPr>
            <w:tcW w:type="dxa" w:w="792"/>
          </w:tcPr>
          <w:p>
            <w:pPr>
              <w:spacing w:line="276" w:lineRule="auto"/>
              <w:jc w:val="center"/>
            </w:pPr>
            <w:r/>
            <w:r>
              <w:rPr>
                <w:rFonts w:ascii="Times New Roman" w:hAnsi="Times New Roman"/>
                <w:sz w:val="20"/>
              </w:rPr>
              <w:t>0.6883</w:t>
            </w:r>
          </w:p>
        </w:tc>
        <w:tc>
          <w:tcPr>
            <w:tcW w:type="dxa" w:w="792"/>
          </w:tcPr>
          <w:p>
            <w:pPr>
              <w:spacing w:line="276" w:lineRule="auto"/>
              <w:jc w:val="center"/>
            </w:pPr>
            <w:r/>
            <w:r>
              <w:rPr>
                <w:rFonts w:ascii="Times New Roman" w:hAnsi="Times New Roman"/>
                <w:sz w:val="20"/>
              </w:rPr>
              <w:t>0.8152</w:t>
            </w:r>
          </w:p>
        </w:tc>
        <w:tc>
          <w:tcPr>
            <w:tcW w:type="dxa" w:w="792"/>
          </w:tcPr>
          <w:p>
            <w:pPr>
              <w:spacing w:line="276" w:lineRule="auto"/>
              <w:jc w:val="center"/>
            </w:pPr>
            <w:r/>
            <w:r>
              <w:rPr>
                <w:rFonts w:ascii="Times New Roman" w:hAnsi="Times New Roman"/>
                <w:sz w:val="20"/>
              </w:rPr>
              <w:t>0.5019</w:t>
            </w:r>
          </w:p>
        </w:tc>
      </w:tr>
      <w:tr>
        <w:tc>
          <w:tcPr>
            <w:tcW w:type="dxa" w:w="1584"/>
          </w:tcPr>
          <w:p>
            <w:pPr>
              <w:spacing w:line="276" w:lineRule="auto"/>
              <w:jc w:val="center"/>
            </w:pPr>
            <w:r/>
            <w:r>
              <w:rPr>
                <w:rFonts w:ascii="Times New Roman" w:hAnsi="Times New Roman"/>
                <w:sz w:val="20"/>
              </w:rPr>
              <w:t>XGBoost</w:t>
            </w:r>
          </w:p>
        </w:tc>
        <w:tc>
          <w:tcPr>
            <w:tcW w:type="dxa" w:w="2304"/>
          </w:tcPr>
          <w:p>
            <w:pPr>
              <w:spacing w:line="276" w:lineRule="auto"/>
              <w:jc w:val="center"/>
            </w:pPr>
            <w:r/>
            <w:r>
              <w:rPr>
                <w:rFonts w:ascii="Times New Roman" w:hAnsi="Times New Roman"/>
                <w:sz w:val="20"/>
              </w:rPr>
              <w:t>0.8214 (0.8139–0.8345)</w:t>
            </w:r>
          </w:p>
        </w:tc>
        <w:tc>
          <w:tcPr>
            <w:tcW w:type="dxa" w:w="1008"/>
          </w:tcPr>
          <w:p>
            <w:pPr>
              <w:spacing w:line="276" w:lineRule="auto"/>
              <w:jc w:val="center"/>
            </w:pPr>
            <w:r/>
            <w:r>
              <w:rPr>
                <w:rFonts w:ascii="Times New Roman" w:hAnsi="Times New Roman"/>
                <w:sz w:val="20"/>
              </w:rPr>
              <w:t>0.7580</w:t>
            </w:r>
          </w:p>
        </w:tc>
        <w:tc>
          <w:tcPr>
            <w:tcW w:type="dxa" w:w="1008"/>
          </w:tcPr>
          <w:p>
            <w:pPr>
              <w:spacing w:line="276" w:lineRule="auto"/>
              <w:jc w:val="center"/>
            </w:pPr>
            <w:r/>
            <w:r>
              <w:rPr>
                <w:rFonts w:ascii="Times New Roman" w:hAnsi="Times New Roman"/>
                <w:sz w:val="20"/>
              </w:rPr>
              <w:t>0.6693</w:t>
            </w:r>
          </w:p>
        </w:tc>
        <w:tc>
          <w:tcPr>
            <w:tcW w:type="dxa" w:w="1008"/>
          </w:tcPr>
          <w:p>
            <w:pPr>
              <w:spacing w:line="276" w:lineRule="auto"/>
              <w:jc w:val="center"/>
            </w:pPr>
            <w:r/>
            <w:r>
              <w:rPr>
                <w:rFonts w:ascii="Times New Roman" w:hAnsi="Times New Roman"/>
                <w:sz w:val="20"/>
              </w:rPr>
              <w:t>0.8094</w:t>
            </w:r>
          </w:p>
        </w:tc>
        <w:tc>
          <w:tcPr>
            <w:tcW w:type="dxa" w:w="792"/>
          </w:tcPr>
          <w:p>
            <w:pPr>
              <w:spacing w:line="276" w:lineRule="auto"/>
              <w:jc w:val="center"/>
            </w:pPr>
            <w:r/>
            <w:r>
              <w:rPr>
                <w:rFonts w:ascii="Times New Roman" w:hAnsi="Times New Roman"/>
                <w:sz w:val="20"/>
              </w:rPr>
              <w:t>0.6689</w:t>
            </w:r>
          </w:p>
        </w:tc>
        <w:tc>
          <w:tcPr>
            <w:tcW w:type="dxa" w:w="792"/>
          </w:tcPr>
          <w:p>
            <w:pPr>
              <w:spacing w:line="276" w:lineRule="auto"/>
              <w:jc w:val="center"/>
            </w:pPr>
            <w:r/>
            <w:r>
              <w:rPr>
                <w:rFonts w:ascii="Times New Roman" w:hAnsi="Times New Roman"/>
                <w:sz w:val="20"/>
              </w:rPr>
              <w:t>—</w:t>
            </w:r>
          </w:p>
        </w:tc>
        <w:tc>
          <w:tcPr>
            <w:tcW w:type="dxa" w:w="792"/>
          </w:tcPr>
          <w:p>
            <w:pPr>
              <w:spacing w:line="276" w:lineRule="auto"/>
              <w:jc w:val="center"/>
            </w:pPr>
            <w:r/>
            <w:r>
              <w:rPr>
                <w:rFonts w:ascii="Times New Roman" w:hAnsi="Times New Roman"/>
                <w:sz w:val="20"/>
              </w:rPr>
              <w:t>—</w:t>
            </w:r>
          </w:p>
        </w:tc>
        <w:tc>
          <w:tcPr>
            <w:tcW w:type="dxa" w:w="792"/>
          </w:tcPr>
          <w:p>
            <w:pPr>
              <w:spacing w:line="276" w:lineRule="auto"/>
              <w:jc w:val="center"/>
            </w:pPr>
            <w:r/>
            <w:r>
              <w:rPr>
                <w:rFonts w:ascii="Times New Roman" w:hAnsi="Times New Roman"/>
                <w:sz w:val="20"/>
              </w:rPr>
              <w:t>0.4801</w:t>
            </w:r>
          </w:p>
        </w:tc>
      </w:tr>
      <w:tr>
        <w:tc>
          <w:tcPr>
            <w:tcW w:type="dxa" w:w="1584"/>
          </w:tcPr>
          <w:p>
            <w:pPr>
              <w:spacing w:line="276" w:lineRule="auto"/>
              <w:jc w:val="center"/>
            </w:pPr>
            <w:r/>
            <w:r>
              <w:rPr>
                <w:rFonts w:ascii="Times New Roman" w:hAnsi="Times New Roman"/>
                <w:sz w:val="20"/>
              </w:rPr>
              <w:t>LightGBM</w:t>
            </w:r>
          </w:p>
        </w:tc>
        <w:tc>
          <w:tcPr>
            <w:tcW w:type="dxa" w:w="2304"/>
          </w:tcPr>
          <w:p>
            <w:pPr>
              <w:spacing w:line="276" w:lineRule="auto"/>
              <w:jc w:val="center"/>
            </w:pPr>
            <w:r/>
            <w:r>
              <w:rPr>
                <w:rFonts w:ascii="Times New Roman" w:hAnsi="Times New Roman"/>
                <w:sz w:val="20"/>
              </w:rPr>
              <w:t>0.8213 (0.8094–0.8363)</w:t>
            </w:r>
          </w:p>
        </w:tc>
        <w:tc>
          <w:tcPr>
            <w:tcW w:type="dxa" w:w="1008"/>
          </w:tcPr>
          <w:p>
            <w:pPr>
              <w:spacing w:line="276" w:lineRule="auto"/>
              <w:jc w:val="center"/>
            </w:pPr>
            <w:r/>
            <w:r>
              <w:rPr>
                <w:rFonts w:ascii="Times New Roman" w:hAnsi="Times New Roman"/>
                <w:sz w:val="20"/>
              </w:rPr>
              <w:t>0.7551</w:t>
            </w:r>
          </w:p>
        </w:tc>
        <w:tc>
          <w:tcPr>
            <w:tcW w:type="dxa" w:w="1008"/>
          </w:tcPr>
          <w:p>
            <w:pPr>
              <w:spacing w:line="276" w:lineRule="auto"/>
              <w:jc w:val="center"/>
            </w:pPr>
            <w:r/>
            <w:r>
              <w:rPr>
                <w:rFonts w:ascii="Times New Roman" w:hAnsi="Times New Roman"/>
                <w:sz w:val="20"/>
              </w:rPr>
              <w:t>0.6806</w:t>
            </w:r>
          </w:p>
        </w:tc>
        <w:tc>
          <w:tcPr>
            <w:tcW w:type="dxa" w:w="1008"/>
          </w:tcPr>
          <w:p>
            <w:pPr>
              <w:spacing w:line="276" w:lineRule="auto"/>
              <w:jc w:val="center"/>
            </w:pPr>
            <w:r/>
            <w:r>
              <w:rPr>
                <w:rFonts w:ascii="Times New Roman" w:hAnsi="Times New Roman"/>
                <w:sz w:val="20"/>
              </w:rPr>
              <w:t>0.7984</w:t>
            </w:r>
          </w:p>
        </w:tc>
        <w:tc>
          <w:tcPr>
            <w:tcW w:type="dxa" w:w="792"/>
          </w:tcPr>
          <w:p>
            <w:pPr>
              <w:spacing w:line="276" w:lineRule="auto"/>
              <w:jc w:val="center"/>
            </w:pPr>
            <w:r/>
            <w:r>
              <w:rPr>
                <w:rFonts w:ascii="Times New Roman" w:hAnsi="Times New Roman"/>
                <w:sz w:val="20"/>
              </w:rPr>
              <w:t>0.6709</w:t>
            </w:r>
          </w:p>
        </w:tc>
        <w:tc>
          <w:tcPr>
            <w:tcW w:type="dxa" w:w="792"/>
          </w:tcPr>
          <w:p>
            <w:pPr>
              <w:spacing w:line="276" w:lineRule="auto"/>
              <w:jc w:val="center"/>
            </w:pPr>
            <w:r/>
            <w:r>
              <w:rPr>
                <w:rFonts w:ascii="Times New Roman" w:hAnsi="Times New Roman"/>
                <w:sz w:val="20"/>
              </w:rPr>
              <w:t>—</w:t>
            </w:r>
          </w:p>
        </w:tc>
        <w:tc>
          <w:tcPr>
            <w:tcW w:type="dxa" w:w="792"/>
          </w:tcPr>
          <w:p>
            <w:pPr>
              <w:spacing w:line="276" w:lineRule="auto"/>
              <w:jc w:val="center"/>
            </w:pPr>
            <w:r/>
            <w:r>
              <w:rPr>
                <w:rFonts w:ascii="Times New Roman" w:hAnsi="Times New Roman"/>
                <w:sz w:val="20"/>
              </w:rPr>
              <w:t>—</w:t>
            </w:r>
          </w:p>
        </w:tc>
        <w:tc>
          <w:tcPr>
            <w:tcW w:type="dxa" w:w="792"/>
          </w:tcPr>
          <w:p>
            <w:pPr>
              <w:spacing w:line="276" w:lineRule="auto"/>
              <w:jc w:val="center"/>
            </w:pPr>
            <w:r/>
            <w:r>
              <w:rPr>
                <w:rFonts w:ascii="Times New Roman" w:hAnsi="Times New Roman"/>
                <w:sz w:val="20"/>
              </w:rPr>
              <w:t>0.4790</w:t>
            </w:r>
          </w:p>
        </w:tc>
      </w:tr>
      <w:tr>
        <w:tc>
          <w:tcPr>
            <w:tcW w:type="dxa" w:w="1584"/>
          </w:tcPr>
          <w:p>
            <w:pPr>
              <w:spacing w:line="276" w:lineRule="auto"/>
              <w:jc w:val="center"/>
            </w:pPr>
            <w:r/>
            <w:r>
              <w:rPr>
                <w:rFonts w:ascii="Times New Roman" w:hAnsi="Times New Roman"/>
                <w:sz w:val="20"/>
              </w:rPr>
              <w:t>RandomForest</w:t>
            </w:r>
          </w:p>
        </w:tc>
        <w:tc>
          <w:tcPr>
            <w:tcW w:type="dxa" w:w="2304"/>
          </w:tcPr>
          <w:p>
            <w:pPr>
              <w:spacing w:line="276" w:lineRule="auto"/>
              <w:jc w:val="center"/>
            </w:pPr>
            <w:r/>
            <w:r>
              <w:rPr>
                <w:rFonts w:ascii="Times New Roman" w:hAnsi="Times New Roman"/>
                <w:sz w:val="20"/>
              </w:rPr>
              <w:t>0.8157 (0.8086–0.8286)</w:t>
            </w:r>
          </w:p>
        </w:tc>
        <w:tc>
          <w:tcPr>
            <w:tcW w:type="dxa" w:w="1008"/>
          </w:tcPr>
          <w:p>
            <w:pPr>
              <w:spacing w:line="276" w:lineRule="auto"/>
              <w:jc w:val="center"/>
            </w:pPr>
            <w:r/>
            <w:r>
              <w:rPr>
                <w:rFonts w:ascii="Times New Roman" w:hAnsi="Times New Roman"/>
                <w:sz w:val="20"/>
              </w:rPr>
              <w:t>0.7472</w:t>
            </w:r>
          </w:p>
        </w:tc>
        <w:tc>
          <w:tcPr>
            <w:tcW w:type="dxa" w:w="1008"/>
          </w:tcPr>
          <w:p>
            <w:pPr>
              <w:spacing w:line="276" w:lineRule="auto"/>
              <w:jc w:val="center"/>
            </w:pPr>
            <w:r/>
            <w:r>
              <w:rPr>
                <w:rFonts w:ascii="Times New Roman" w:hAnsi="Times New Roman"/>
                <w:sz w:val="20"/>
              </w:rPr>
              <w:t>0.6941</w:t>
            </w:r>
          </w:p>
        </w:tc>
        <w:tc>
          <w:tcPr>
            <w:tcW w:type="dxa" w:w="1008"/>
          </w:tcPr>
          <w:p>
            <w:pPr>
              <w:spacing w:line="276" w:lineRule="auto"/>
              <w:jc w:val="center"/>
            </w:pPr>
            <w:r/>
            <w:r>
              <w:rPr>
                <w:rFonts w:ascii="Times New Roman" w:hAnsi="Times New Roman"/>
                <w:sz w:val="20"/>
              </w:rPr>
              <w:t>0.7780</w:t>
            </w:r>
          </w:p>
        </w:tc>
        <w:tc>
          <w:tcPr>
            <w:tcW w:type="dxa" w:w="792"/>
          </w:tcPr>
          <w:p>
            <w:pPr>
              <w:spacing w:line="276" w:lineRule="auto"/>
              <w:jc w:val="center"/>
            </w:pPr>
            <w:r/>
            <w:r>
              <w:rPr>
                <w:rFonts w:ascii="Times New Roman" w:hAnsi="Times New Roman"/>
                <w:sz w:val="20"/>
              </w:rPr>
              <w:t>0.6685</w:t>
            </w:r>
          </w:p>
        </w:tc>
        <w:tc>
          <w:tcPr>
            <w:tcW w:type="dxa" w:w="792"/>
          </w:tcPr>
          <w:p>
            <w:pPr>
              <w:spacing w:line="276" w:lineRule="auto"/>
              <w:jc w:val="center"/>
            </w:pPr>
            <w:r/>
            <w:r>
              <w:rPr>
                <w:rFonts w:ascii="Times New Roman" w:hAnsi="Times New Roman"/>
                <w:sz w:val="20"/>
              </w:rPr>
              <w:t>—</w:t>
            </w:r>
          </w:p>
        </w:tc>
        <w:tc>
          <w:tcPr>
            <w:tcW w:type="dxa" w:w="792"/>
          </w:tcPr>
          <w:p>
            <w:pPr>
              <w:spacing w:line="276" w:lineRule="auto"/>
              <w:jc w:val="center"/>
            </w:pPr>
            <w:r/>
            <w:r>
              <w:rPr>
                <w:rFonts w:ascii="Times New Roman" w:hAnsi="Times New Roman"/>
                <w:sz w:val="20"/>
              </w:rPr>
              <w:t>—</w:t>
            </w:r>
          </w:p>
        </w:tc>
        <w:tc>
          <w:tcPr>
            <w:tcW w:type="dxa" w:w="792"/>
          </w:tcPr>
          <w:p>
            <w:pPr>
              <w:spacing w:line="276" w:lineRule="auto"/>
              <w:jc w:val="center"/>
            </w:pPr>
            <w:r/>
            <w:r>
              <w:rPr>
                <w:rFonts w:ascii="Times New Roman" w:hAnsi="Times New Roman"/>
                <w:sz w:val="20"/>
              </w:rPr>
              <w:t>0.4660</w:t>
            </w:r>
          </w:p>
        </w:tc>
      </w:tr>
      <w:tr>
        <w:tc>
          <w:tcPr>
            <w:tcW w:type="dxa" w:w="1584"/>
          </w:tcPr>
          <w:p>
            <w:pPr>
              <w:spacing w:line="276" w:lineRule="auto"/>
              <w:jc w:val="center"/>
            </w:pPr>
            <w:r/>
            <w:r>
              <w:rPr>
                <w:rFonts w:ascii="Times New Roman" w:hAnsi="Times New Roman"/>
                <w:sz w:val="20"/>
              </w:rPr>
              <w:t>Logistic Reg.</w:t>
            </w:r>
          </w:p>
        </w:tc>
        <w:tc>
          <w:tcPr>
            <w:tcW w:type="dxa" w:w="2304"/>
          </w:tcPr>
          <w:p>
            <w:pPr>
              <w:spacing w:line="276" w:lineRule="auto"/>
              <w:jc w:val="center"/>
            </w:pPr>
            <w:r/>
            <w:r>
              <w:rPr>
                <w:rFonts w:ascii="Times New Roman" w:hAnsi="Times New Roman"/>
                <w:sz w:val="20"/>
              </w:rPr>
              <w:t>0.7926 (0.7771–0.8041)</w:t>
            </w:r>
          </w:p>
        </w:tc>
        <w:tc>
          <w:tcPr>
            <w:tcW w:type="dxa" w:w="1008"/>
          </w:tcPr>
          <w:p>
            <w:pPr>
              <w:spacing w:line="276" w:lineRule="auto"/>
              <w:jc w:val="center"/>
            </w:pPr>
            <w:r/>
            <w:r>
              <w:rPr>
                <w:rFonts w:ascii="Times New Roman" w:hAnsi="Times New Roman"/>
                <w:sz w:val="20"/>
              </w:rPr>
              <w:t>0.7348</w:t>
            </w:r>
          </w:p>
        </w:tc>
        <w:tc>
          <w:tcPr>
            <w:tcW w:type="dxa" w:w="1008"/>
          </w:tcPr>
          <w:p>
            <w:pPr>
              <w:spacing w:line="276" w:lineRule="auto"/>
              <w:jc w:val="center"/>
            </w:pPr>
            <w:r/>
            <w:r>
              <w:rPr>
                <w:rFonts w:ascii="Times New Roman" w:hAnsi="Times New Roman"/>
                <w:sz w:val="20"/>
              </w:rPr>
              <w:t>0.6592</w:t>
            </w:r>
          </w:p>
        </w:tc>
        <w:tc>
          <w:tcPr>
            <w:tcW w:type="dxa" w:w="1008"/>
          </w:tcPr>
          <w:p>
            <w:pPr>
              <w:spacing w:line="276" w:lineRule="auto"/>
              <w:jc w:val="center"/>
            </w:pPr>
            <w:r/>
            <w:r>
              <w:rPr>
                <w:rFonts w:ascii="Times New Roman" w:hAnsi="Times New Roman"/>
                <w:sz w:val="20"/>
              </w:rPr>
              <w:t>0.7787</w:t>
            </w:r>
          </w:p>
        </w:tc>
        <w:tc>
          <w:tcPr>
            <w:tcW w:type="dxa" w:w="792"/>
          </w:tcPr>
          <w:p>
            <w:pPr>
              <w:spacing w:line="276" w:lineRule="auto"/>
              <w:jc w:val="center"/>
            </w:pPr>
            <w:r/>
            <w:r>
              <w:rPr>
                <w:rFonts w:ascii="Times New Roman" w:hAnsi="Times New Roman"/>
                <w:sz w:val="20"/>
              </w:rPr>
              <w:t>0.6458</w:t>
            </w:r>
          </w:p>
        </w:tc>
        <w:tc>
          <w:tcPr>
            <w:tcW w:type="dxa" w:w="792"/>
          </w:tcPr>
          <w:p>
            <w:pPr>
              <w:spacing w:line="276" w:lineRule="auto"/>
              <w:jc w:val="center"/>
            </w:pPr>
            <w:r/>
            <w:r>
              <w:rPr>
                <w:rFonts w:ascii="Times New Roman" w:hAnsi="Times New Roman"/>
                <w:sz w:val="20"/>
              </w:rPr>
              <w:t>—</w:t>
            </w:r>
          </w:p>
        </w:tc>
        <w:tc>
          <w:tcPr>
            <w:tcW w:type="dxa" w:w="792"/>
          </w:tcPr>
          <w:p>
            <w:pPr>
              <w:spacing w:line="276" w:lineRule="auto"/>
              <w:jc w:val="center"/>
            </w:pPr>
            <w:r/>
            <w:r>
              <w:rPr>
                <w:rFonts w:ascii="Times New Roman" w:hAnsi="Times New Roman"/>
                <w:sz w:val="20"/>
              </w:rPr>
              <w:t>—</w:t>
            </w:r>
          </w:p>
        </w:tc>
        <w:tc>
          <w:tcPr>
            <w:tcW w:type="dxa" w:w="792"/>
          </w:tcPr>
          <w:p>
            <w:pPr>
              <w:spacing w:line="276" w:lineRule="auto"/>
              <w:jc w:val="center"/>
            </w:pPr>
            <w:r/>
            <w:r>
              <w:rPr>
                <w:rFonts w:ascii="Times New Roman" w:hAnsi="Times New Roman"/>
                <w:sz w:val="20"/>
              </w:rPr>
              <w:t>0.4356</w:t>
            </w:r>
          </w:p>
        </w:tc>
      </w:tr>
    </w:tbl>
    <w:p>
      <w:pPr/>
      <w:r>
        <w:rPr>
          <w:rFonts w:ascii="Times New Roman" w:hAnsi="Times New Roman"/>
          <w:b w:val="0"/>
          <w:i/>
          <w:sz w:val="20"/>
        </w:rPr>
        <w:t>* Best-performing model. 95% CI for CatBoost derived from bootstrap (n=1,000) on aggregated out-of-fold predictions. CIs for other models represent 5-fold percentile ranges.</w:t>
      </w:r>
    </w:p>
    <w:p>
      <w:pPr/>
      <w:r>
        <w:rPr>
          <w:rFonts w:ascii="Times New Roman" w:hAnsi="Times New Roman"/>
          <w:b w:val="0"/>
          <w:i w:val="0"/>
        </w:rPr>
      </w:r>
    </w:p>
    <w:p>
      <w:pPr/>
      <w:r>
        <w:rPr>
          <w:rFonts w:ascii="Times New Roman" w:hAnsi="Times New Roman"/>
          <w:b w:val="0"/>
          <w:i w:val="0"/>
        </w:rPr>
        <w:t>The CatBoost model showed consistent performance across the five outer folds, with per-fold AUC values ranging from 0.8225 to 0.8459 (standard deviation: 0.0094). The optimized Youden’s J thresholds ranged from 0.444 to 0.507 across folds, demonstrating stability of the threshold optimization procedure. The representative hyperparameters, selected from the fold with the median inner-CV AUC (fold 2, inner-CV AUC = 0.8253), were: depth = 6, iterations = 657, L2 leaf regularization = 3.508, and learning rate = 0.00617.</w:t>
      </w:r>
    </w:p>
    <w:p>
      <w:pPr>
        <w:pStyle w:val="Heading2"/>
      </w:pPr>
      <w:r>
        <w:t>Calibration Assessment</w:t>
      </w:r>
    </w:p>
    <w:p>
      <w:pPr/>
      <w:r>
        <w:rPr>
          <w:rFonts w:ascii="Times New Roman" w:hAnsi="Times New Roman"/>
          <w:b w:val="0"/>
          <w:i w:val="0"/>
        </w:rPr>
        <w:t>Calibration analysis using 10 quantile-based bins on the aggregated out-of-fold predictions revealed systematic overestimation in low- and mid-probability bins (bins 1–7), a known artifact of SMOTE-augmented training pipelines (Table 3). The maximum absolute calibration deviation was 0.147 (at bin 7, near the operating point), with a mean absolute deviation of 0.071. The calibration curve was monotonically increasing, and the model demonstrated good calibration above predicted probabilities of approximately 0.6. The Youden-optimized decision threshold effectively compensated for this calibration bias in binary classification decisions.</w:t>
      </w:r>
    </w:p>
    <w:p>
      <w:pPr>
        <w:spacing w:after="120"/>
      </w:pPr>
      <w:r>
        <w:rPr>
          <w:rFonts w:ascii="Times New Roman" w:hAnsi="Times New Roman"/>
          <w:b w:val="0"/>
          <w:i w:val="0"/>
        </w:rPr>
      </w:r>
    </w:p>
    <w:p>
      <w:pPr>
        <w:jc w:val="center"/>
      </w:pPr>
      <w:r>
        <w:rPr>
          <w:rFonts w:ascii="Times New Roman" w:hAnsi="Times New Roman"/>
          <w:b/>
          <w:i w:val="0"/>
        </w:rPr>
        <w:t>Table 3. Calibration Assessment: 10-Bin Quantile Calibration of CatBoost on Aggregated Out-of-Fold Predictions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D9E2F3"/>
          </w:tcPr>
          <w:p>
            <w:pPr>
              <w:spacing w:line="276" w:lineRule="auto"/>
              <w:jc w:val="center"/>
            </w:pPr>
            <w:r/>
            <w:r>
              <w:rPr>
                <w:rFonts w:ascii="Times New Roman" w:hAnsi="Times New Roman"/>
                <w:b/>
                <w:sz w:val="20"/>
              </w:rPr>
              <w:t>Bin</w:t>
            </w:r>
          </w:p>
        </w:tc>
        <w:tc>
          <w:tcPr>
            <w:tcW w:type="dxa" w:w="2880"/>
            <w:shd w:fill="D9E2F3"/>
          </w:tcPr>
          <w:p>
            <w:pPr>
              <w:spacing w:line="276" w:lineRule="auto"/>
              <w:jc w:val="center"/>
            </w:pPr>
            <w:r/>
            <w:r>
              <w:rPr>
                <w:rFonts w:ascii="Times New Roman" w:hAnsi="Times New Roman"/>
                <w:b/>
                <w:sz w:val="20"/>
              </w:rPr>
              <w:t>Mean Predicted Probability</w:t>
            </w:r>
          </w:p>
        </w:tc>
        <w:tc>
          <w:tcPr>
            <w:tcW w:type="dxa" w:w="2880"/>
            <w:shd w:fill="D9E2F3"/>
          </w:tcPr>
          <w:p>
            <w:pPr>
              <w:spacing w:line="276" w:lineRule="auto"/>
              <w:jc w:val="center"/>
            </w:pPr>
            <w:r/>
            <w:r>
              <w:rPr>
                <w:rFonts w:ascii="Times New Roman" w:hAnsi="Times New Roman"/>
                <w:b/>
                <w:sz w:val="20"/>
              </w:rPr>
              <w:t>Observed Fraction Positive</w:t>
            </w:r>
          </w:p>
        </w:tc>
        <w:tc>
          <w:tcPr>
            <w:tcW w:type="dxa" w:w="2160"/>
            <w:shd w:fill="D9E2F3"/>
          </w:tcPr>
          <w:p>
            <w:pPr>
              <w:spacing w:line="276" w:lineRule="auto"/>
              <w:jc w:val="center"/>
            </w:pPr>
            <w:r/>
            <w:r>
              <w:rPr>
                <w:rFonts w:ascii="Times New Roman" w:hAnsi="Times New Roman"/>
                <w:b/>
                <w:sz w:val="20"/>
              </w:rPr>
              <w:t>|Deviation|</w:t>
            </w:r>
          </w:p>
        </w:tc>
      </w:tr>
      <w:tr>
        <w:tc>
          <w:tcPr>
            <w:tcW w:type="dxa" w:w="720"/>
          </w:tcPr>
          <w:p>
            <w:pPr>
              <w:spacing w:line="276" w:lineRule="auto"/>
              <w:jc w:val="center"/>
            </w:pPr>
            <w:r/>
            <w:r>
              <w:rPr>
                <w:rFonts w:ascii="Times New Roman" w:hAnsi="Times New Roman"/>
                <w:sz w:val="20"/>
              </w:rPr>
              <w:t>1</w:t>
            </w:r>
          </w:p>
        </w:tc>
        <w:tc>
          <w:tcPr>
            <w:tcW w:type="dxa" w:w="2880"/>
          </w:tcPr>
          <w:p>
            <w:pPr>
              <w:spacing w:line="276" w:lineRule="auto"/>
              <w:jc w:val="center"/>
            </w:pPr>
            <w:r/>
            <w:r>
              <w:rPr>
                <w:rFonts w:ascii="Times New Roman" w:hAnsi="Times New Roman"/>
                <w:sz w:val="20"/>
              </w:rPr>
              <w:t>0.104</w:t>
            </w:r>
          </w:p>
        </w:tc>
        <w:tc>
          <w:tcPr>
            <w:tcW w:type="dxa" w:w="2880"/>
          </w:tcPr>
          <w:p>
            <w:pPr>
              <w:spacing w:line="276" w:lineRule="auto"/>
              <w:jc w:val="center"/>
            </w:pPr>
            <w:r/>
            <w:r>
              <w:rPr>
                <w:rFonts w:ascii="Times New Roman" w:hAnsi="Times New Roman"/>
                <w:sz w:val="20"/>
              </w:rPr>
              <w:t>0.058</w:t>
            </w:r>
          </w:p>
        </w:tc>
        <w:tc>
          <w:tcPr>
            <w:tcW w:type="dxa" w:w="2160"/>
          </w:tcPr>
          <w:p>
            <w:pPr>
              <w:spacing w:line="276" w:lineRule="auto"/>
              <w:jc w:val="center"/>
            </w:pPr>
            <w:r/>
            <w:r>
              <w:rPr>
                <w:rFonts w:ascii="Times New Roman" w:hAnsi="Times New Roman"/>
                <w:sz w:val="20"/>
              </w:rPr>
              <w:t>0.046</w:t>
            </w:r>
          </w:p>
        </w:tc>
      </w:tr>
      <w:tr>
        <w:tc>
          <w:tcPr>
            <w:tcW w:type="dxa" w:w="720"/>
          </w:tcPr>
          <w:p>
            <w:pPr>
              <w:spacing w:line="276" w:lineRule="auto"/>
              <w:jc w:val="center"/>
            </w:pPr>
            <w:r/>
            <w:r>
              <w:rPr>
                <w:rFonts w:ascii="Times New Roman" w:hAnsi="Times New Roman"/>
                <w:sz w:val="20"/>
              </w:rPr>
              <w:t>2</w:t>
            </w:r>
          </w:p>
        </w:tc>
        <w:tc>
          <w:tcPr>
            <w:tcW w:type="dxa" w:w="2880"/>
          </w:tcPr>
          <w:p>
            <w:pPr>
              <w:spacing w:line="276" w:lineRule="auto"/>
              <w:jc w:val="center"/>
            </w:pPr>
            <w:r/>
            <w:r>
              <w:rPr>
                <w:rFonts w:ascii="Times New Roman" w:hAnsi="Times New Roman"/>
                <w:sz w:val="20"/>
              </w:rPr>
              <w:t>0.181</w:t>
            </w:r>
          </w:p>
        </w:tc>
        <w:tc>
          <w:tcPr>
            <w:tcW w:type="dxa" w:w="2880"/>
          </w:tcPr>
          <w:p>
            <w:pPr>
              <w:spacing w:line="276" w:lineRule="auto"/>
              <w:jc w:val="center"/>
            </w:pPr>
            <w:r/>
            <w:r>
              <w:rPr>
                <w:rFonts w:ascii="Times New Roman" w:hAnsi="Times New Roman"/>
                <w:sz w:val="20"/>
              </w:rPr>
              <w:t>0.100</w:t>
            </w:r>
          </w:p>
        </w:tc>
        <w:tc>
          <w:tcPr>
            <w:tcW w:type="dxa" w:w="2160"/>
          </w:tcPr>
          <w:p>
            <w:pPr>
              <w:spacing w:line="276" w:lineRule="auto"/>
              <w:jc w:val="center"/>
            </w:pPr>
            <w:r/>
            <w:r>
              <w:rPr>
                <w:rFonts w:ascii="Times New Roman" w:hAnsi="Times New Roman"/>
                <w:sz w:val="20"/>
              </w:rPr>
              <w:t>0.081</w:t>
            </w:r>
          </w:p>
        </w:tc>
      </w:tr>
      <w:tr>
        <w:tc>
          <w:tcPr>
            <w:tcW w:type="dxa" w:w="720"/>
          </w:tcPr>
          <w:p>
            <w:pPr>
              <w:spacing w:line="276" w:lineRule="auto"/>
              <w:jc w:val="center"/>
            </w:pPr>
            <w:r/>
            <w:r>
              <w:rPr>
                <w:rFonts w:ascii="Times New Roman" w:hAnsi="Times New Roman"/>
                <w:sz w:val="20"/>
              </w:rPr>
              <w:t>3</w:t>
            </w:r>
          </w:p>
        </w:tc>
        <w:tc>
          <w:tcPr>
            <w:tcW w:type="dxa" w:w="2880"/>
          </w:tcPr>
          <w:p>
            <w:pPr>
              <w:spacing w:line="276" w:lineRule="auto"/>
              <w:jc w:val="center"/>
            </w:pPr>
            <w:r/>
            <w:r>
              <w:rPr>
                <w:rFonts w:ascii="Times New Roman" w:hAnsi="Times New Roman"/>
                <w:sz w:val="20"/>
              </w:rPr>
              <w:t>0.249</w:t>
            </w:r>
          </w:p>
        </w:tc>
        <w:tc>
          <w:tcPr>
            <w:tcW w:type="dxa" w:w="2880"/>
          </w:tcPr>
          <w:p>
            <w:pPr>
              <w:spacing w:line="276" w:lineRule="auto"/>
              <w:jc w:val="center"/>
            </w:pPr>
            <w:r/>
            <w:r>
              <w:rPr>
                <w:rFonts w:ascii="Times New Roman" w:hAnsi="Times New Roman"/>
                <w:sz w:val="20"/>
              </w:rPr>
              <w:t>0.154</w:t>
            </w:r>
          </w:p>
        </w:tc>
        <w:tc>
          <w:tcPr>
            <w:tcW w:type="dxa" w:w="2160"/>
          </w:tcPr>
          <w:p>
            <w:pPr>
              <w:spacing w:line="276" w:lineRule="auto"/>
              <w:jc w:val="center"/>
            </w:pPr>
            <w:r/>
            <w:r>
              <w:rPr>
                <w:rFonts w:ascii="Times New Roman" w:hAnsi="Times New Roman"/>
                <w:sz w:val="20"/>
              </w:rPr>
              <w:t>0.095</w:t>
            </w:r>
          </w:p>
        </w:tc>
      </w:tr>
      <w:tr>
        <w:tc>
          <w:tcPr>
            <w:tcW w:type="dxa" w:w="720"/>
          </w:tcPr>
          <w:p>
            <w:pPr>
              <w:spacing w:line="276" w:lineRule="auto"/>
              <w:jc w:val="center"/>
            </w:pPr>
            <w:r/>
            <w:r>
              <w:rPr>
                <w:rFonts w:ascii="Times New Roman" w:hAnsi="Times New Roman"/>
                <w:sz w:val="20"/>
              </w:rPr>
              <w:t>4</w:t>
            </w:r>
          </w:p>
        </w:tc>
        <w:tc>
          <w:tcPr>
            <w:tcW w:type="dxa" w:w="2880"/>
          </w:tcPr>
          <w:p>
            <w:pPr>
              <w:spacing w:line="276" w:lineRule="auto"/>
              <w:jc w:val="center"/>
            </w:pPr>
            <w:r/>
            <w:r>
              <w:rPr>
                <w:rFonts w:ascii="Times New Roman" w:hAnsi="Times New Roman"/>
                <w:sz w:val="20"/>
              </w:rPr>
              <w:t>0.298</w:t>
            </w:r>
          </w:p>
        </w:tc>
        <w:tc>
          <w:tcPr>
            <w:tcW w:type="dxa" w:w="2880"/>
          </w:tcPr>
          <w:p>
            <w:pPr>
              <w:spacing w:line="276" w:lineRule="auto"/>
              <w:jc w:val="center"/>
            </w:pPr>
            <w:r/>
            <w:r>
              <w:rPr>
                <w:rFonts w:ascii="Times New Roman" w:hAnsi="Times New Roman"/>
                <w:sz w:val="20"/>
              </w:rPr>
              <w:t>0.174</w:t>
            </w:r>
          </w:p>
        </w:tc>
        <w:tc>
          <w:tcPr>
            <w:tcW w:type="dxa" w:w="2160"/>
          </w:tcPr>
          <w:p>
            <w:pPr>
              <w:spacing w:line="276" w:lineRule="auto"/>
              <w:jc w:val="center"/>
            </w:pPr>
            <w:r/>
            <w:r>
              <w:rPr>
                <w:rFonts w:ascii="Times New Roman" w:hAnsi="Times New Roman"/>
                <w:sz w:val="20"/>
              </w:rPr>
              <w:t>0.124</w:t>
            </w:r>
          </w:p>
        </w:tc>
      </w:tr>
      <w:tr>
        <w:tc>
          <w:tcPr>
            <w:tcW w:type="dxa" w:w="720"/>
          </w:tcPr>
          <w:p>
            <w:pPr>
              <w:spacing w:line="276" w:lineRule="auto"/>
              <w:jc w:val="center"/>
            </w:pPr>
            <w:r/>
            <w:r>
              <w:rPr>
                <w:rFonts w:ascii="Times New Roman" w:hAnsi="Times New Roman"/>
                <w:sz w:val="20"/>
              </w:rPr>
              <w:t>5</w:t>
            </w:r>
          </w:p>
        </w:tc>
        <w:tc>
          <w:tcPr>
            <w:tcW w:type="dxa" w:w="2880"/>
          </w:tcPr>
          <w:p>
            <w:pPr>
              <w:spacing w:line="276" w:lineRule="auto"/>
              <w:jc w:val="center"/>
            </w:pPr>
            <w:r/>
            <w:r>
              <w:rPr>
                <w:rFonts w:ascii="Times New Roman" w:hAnsi="Times New Roman"/>
                <w:sz w:val="20"/>
              </w:rPr>
              <w:t>0.346</w:t>
            </w:r>
          </w:p>
        </w:tc>
        <w:tc>
          <w:tcPr>
            <w:tcW w:type="dxa" w:w="2880"/>
          </w:tcPr>
          <w:p>
            <w:pPr>
              <w:spacing w:line="276" w:lineRule="auto"/>
              <w:jc w:val="center"/>
            </w:pPr>
            <w:r/>
            <w:r>
              <w:rPr>
                <w:rFonts w:ascii="Times New Roman" w:hAnsi="Times New Roman"/>
                <w:sz w:val="20"/>
              </w:rPr>
              <w:t>0.264</w:t>
            </w:r>
          </w:p>
        </w:tc>
        <w:tc>
          <w:tcPr>
            <w:tcW w:type="dxa" w:w="2160"/>
          </w:tcPr>
          <w:p>
            <w:pPr>
              <w:spacing w:line="276" w:lineRule="auto"/>
              <w:jc w:val="center"/>
            </w:pPr>
            <w:r/>
            <w:r>
              <w:rPr>
                <w:rFonts w:ascii="Times New Roman" w:hAnsi="Times New Roman"/>
                <w:sz w:val="20"/>
              </w:rPr>
              <w:t>0.082</w:t>
            </w:r>
          </w:p>
        </w:tc>
      </w:tr>
      <w:tr>
        <w:tc>
          <w:tcPr>
            <w:tcW w:type="dxa" w:w="720"/>
          </w:tcPr>
          <w:p>
            <w:pPr>
              <w:spacing w:line="276" w:lineRule="auto"/>
              <w:jc w:val="center"/>
            </w:pPr>
            <w:r/>
            <w:r>
              <w:rPr>
                <w:rFonts w:ascii="Times New Roman" w:hAnsi="Times New Roman"/>
                <w:sz w:val="20"/>
              </w:rPr>
              <w:t>6</w:t>
            </w:r>
          </w:p>
        </w:tc>
        <w:tc>
          <w:tcPr>
            <w:tcW w:type="dxa" w:w="2880"/>
          </w:tcPr>
          <w:p>
            <w:pPr>
              <w:spacing w:line="276" w:lineRule="auto"/>
              <w:jc w:val="center"/>
            </w:pPr>
            <w:r/>
            <w:r>
              <w:rPr>
                <w:rFonts w:ascii="Times New Roman" w:hAnsi="Times New Roman"/>
                <w:sz w:val="20"/>
              </w:rPr>
              <w:t>0.407</w:t>
            </w:r>
          </w:p>
        </w:tc>
        <w:tc>
          <w:tcPr>
            <w:tcW w:type="dxa" w:w="2880"/>
          </w:tcPr>
          <w:p>
            <w:pPr>
              <w:spacing w:line="276" w:lineRule="auto"/>
              <w:jc w:val="center"/>
            </w:pPr>
            <w:r/>
            <w:r>
              <w:rPr>
                <w:rFonts w:ascii="Times New Roman" w:hAnsi="Times New Roman"/>
                <w:sz w:val="20"/>
              </w:rPr>
              <w:t>0.320</w:t>
            </w:r>
          </w:p>
        </w:tc>
        <w:tc>
          <w:tcPr>
            <w:tcW w:type="dxa" w:w="2160"/>
          </w:tcPr>
          <w:p>
            <w:pPr>
              <w:spacing w:line="276" w:lineRule="auto"/>
              <w:jc w:val="center"/>
            </w:pPr>
            <w:r/>
            <w:r>
              <w:rPr>
                <w:rFonts w:ascii="Times New Roman" w:hAnsi="Times New Roman"/>
                <w:sz w:val="20"/>
              </w:rPr>
              <w:t>0.087</w:t>
            </w:r>
          </w:p>
        </w:tc>
      </w:tr>
      <w:tr>
        <w:tc>
          <w:tcPr>
            <w:tcW w:type="dxa" w:w="720"/>
          </w:tcPr>
          <w:p>
            <w:pPr>
              <w:spacing w:line="276" w:lineRule="auto"/>
              <w:jc w:val="center"/>
            </w:pPr>
            <w:r/>
            <w:r>
              <w:rPr>
                <w:rFonts w:ascii="Times New Roman" w:hAnsi="Times New Roman"/>
                <w:sz w:val="20"/>
              </w:rPr>
              <w:t>7</w:t>
            </w:r>
          </w:p>
        </w:tc>
        <w:tc>
          <w:tcPr>
            <w:tcW w:type="dxa" w:w="2880"/>
          </w:tcPr>
          <w:p>
            <w:pPr>
              <w:spacing w:line="276" w:lineRule="auto"/>
              <w:jc w:val="center"/>
            </w:pPr>
            <w:r/>
            <w:r>
              <w:rPr>
                <w:rFonts w:ascii="Times New Roman" w:hAnsi="Times New Roman"/>
                <w:sz w:val="20"/>
              </w:rPr>
              <w:t>0.483</w:t>
            </w:r>
          </w:p>
        </w:tc>
        <w:tc>
          <w:tcPr>
            <w:tcW w:type="dxa" w:w="2880"/>
          </w:tcPr>
          <w:p>
            <w:pPr>
              <w:spacing w:line="276" w:lineRule="auto"/>
              <w:jc w:val="center"/>
            </w:pPr>
            <w:r/>
            <w:r>
              <w:rPr>
                <w:rFonts w:ascii="Times New Roman" w:hAnsi="Times New Roman"/>
                <w:sz w:val="20"/>
              </w:rPr>
              <w:t>0.336</w:t>
            </w:r>
          </w:p>
        </w:tc>
        <w:tc>
          <w:tcPr>
            <w:tcW w:type="dxa" w:w="2160"/>
          </w:tcPr>
          <w:p>
            <w:pPr>
              <w:spacing w:line="276" w:lineRule="auto"/>
              <w:jc w:val="center"/>
            </w:pPr>
            <w:r/>
            <w:r>
              <w:rPr>
                <w:rFonts w:ascii="Times New Roman" w:hAnsi="Times New Roman"/>
                <w:sz w:val="20"/>
              </w:rPr>
              <w:t>0.147</w:t>
            </w:r>
          </w:p>
        </w:tc>
      </w:tr>
      <w:tr>
        <w:tc>
          <w:tcPr>
            <w:tcW w:type="dxa" w:w="720"/>
          </w:tcPr>
          <w:p>
            <w:pPr>
              <w:spacing w:line="276" w:lineRule="auto"/>
              <w:jc w:val="center"/>
            </w:pPr>
            <w:r/>
            <w:r>
              <w:rPr>
                <w:rFonts w:ascii="Times New Roman" w:hAnsi="Times New Roman"/>
                <w:sz w:val="20"/>
              </w:rPr>
              <w:t>8</w:t>
            </w:r>
          </w:p>
        </w:tc>
        <w:tc>
          <w:tcPr>
            <w:tcW w:type="dxa" w:w="2880"/>
          </w:tcPr>
          <w:p>
            <w:pPr>
              <w:spacing w:line="276" w:lineRule="auto"/>
              <w:jc w:val="center"/>
            </w:pPr>
            <w:r/>
            <w:r>
              <w:rPr>
                <w:rFonts w:ascii="Times New Roman" w:hAnsi="Times New Roman"/>
                <w:sz w:val="20"/>
              </w:rPr>
              <w:t>0.580</w:t>
            </w:r>
          </w:p>
        </w:tc>
        <w:tc>
          <w:tcPr>
            <w:tcW w:type="dxa" w:w="2880"/>
          </w:tcPr>
          <w:p>
            <w:pPr>
              <w:spacing w:line="276" w:lineRule="auto"/>
              <w:jc w:val="center"/>
            </w:pPr>
            <w:r/>
            <w:r>
              <w:rPr>
                <w:rFonts w:ascii="Times New Roman" w:hAnsi="Times New Roman"/>
                <w:sz w:val="20"/>
              </w:rPr>
              <w:t>0.560</w:t>
            </w:r>
          </w:p>
        </w:tc>
        <w:tc>
          <w:tcPr>
            <w:tcW w:type="dxa" w:w="2160"/>
          </w:tcPr>
          <w:p>
            <w:pPr>
              <w:spacing w:line="276" w:lineRule="auto"/>
              <w:jc w:val="center"/>
            </w:pPr>
            <w:r/>
            <w:r>
              <w:rPr>
                <w:rFonts w:ascii="Times New Roman" w:hAnsi="Times New Roman"/>
                <w:sz w:val="20"/>
              </w:rPr>
              <w:t>0.020</w:t>
            </w:r>
          </w:p>
        </w:tc>
      </w:tr>
      <w:tr>
        <w:tc>
          <w:tcPr>
            <w:tcW w:type="dxa" w:w="720"/>
          </w:tcPr>
          <w:p>
            <w:pPr>
              <w:spacing w:line="276" w:lineRule="auto"/>
              <w:jc w:val="center"/>
            </w:pPr>
            <w:r/>
            <w:r>
              <w:rPr>
                <w:rFonts w:ascii="Times New Roman" w:hAnsi="Times New Roman"/>
                <w:sz w:val="20"/>
              </w:rPr>
              <w:t>9</w:t>
            </w:r>
          </w:p>
        </w:tc>
        <w:tc>
          <w:tcPr>
            <w:tcW w:type="dxa" w:w="2880"/>
          </w:tcPr>
          <w:p>
            <w:pPr>
              <w:spacing w:line="276" w:lineRule="auto"/>
              <w:jc w:val="center"/>
            </w:pPr>
            <w:r/>
            <w:r>
              <w:rPr>
                <w:rFonts w:ascii="Times New Roman" w:hAnsi="Times New Roman"/>
                <w:sz w:val="20"/>
              </w:rPr>
              <w:t>0.786</w:t>
            </w:r>
          </w:p>
        </w:tc>
        <w:tc>
          <w:tcPr>
            <w:tcW w:type="dxa" w:w="2880"/>
          </w:tcPr>
          <w:p>
            <w:pPr>
              <w:spacing w:line="276" w:lineRule="auto"/>
              <w:jc w:val="center"/>
            </w:pPr>
            <w:r/>
            <w:r>
              <w:rPr>
                <w:rFonts w:ascii="Times New Roman" w:hAnsi="Times New Roman"/>
                <w:sz w:val="20"/>
              </w:rPr>
              <w:t>0.780</w:t>
            </w:r>
          </w:p>
        </w:tc>
        <w:tc>
          <w:tcPr>
            <w:tcW w:type="dxa" w:w="2160"/>
          </w:tcPr>
          <w:p>
            <w:pPr>
              <w:spacing w:line="276" w:lineRule="auto"/>
              <w:jc w:val="center"/>
            </w:pPr>
            <w:r/>
            <w:r>
              <w:rPr>
                <w:rFonts w:ascii="Times New Roman" w:hAnsi="Times New Roman"/>
                <w:sz w:val="20"/>
              </w:rPr>
              <w:t>0.006</w:t>
            </w:r>
          </w:p>
        </w:tc>
      </w:tr>
      <w:tr>
        <w:tc>
          <w:tcPr>
            <w:tcW w:type="dxa" w:w="720"/>
          </w:tcPr>
          <w:p>
            <w:pPr>
              <w:spacing w:line="276" w:lineRule="auto"/>
              <w:jc w:val="center"/>
            </w:pPr>
            <w:r/>
            <w:r>
              <w:rPr>
                <w:rFonts w:ascii="Times New Roman" w:hAnsi="Times New Roman"/>
                <w:sz w:val="20"/>
              </w:rPr>
              <w:t>10</w:t>
            </w:r>
          </w:p>
        </w:tc>
        <w:tc>
          <w:tcPr>
            <w:tcW w:type="dxa" w:w="2880"/>
          </w:tcPr>
          <w:p>
            <w:pPr>
              <w:spacing w:line="276" w:lineRule="auto"/>
              <w:jc w:val="center"/>
            </w:pPr>
            <w:r/>
            <w:r>
              <w:rPr>
                <w:rFonts w:ascii="Times New Roman" w:hAnsi="Times New Roman"/>
                <w:sz w:val="20"/>
              </w:rPr>
              <w:t>0.904</w:t>
            </w:r>
          </w:p>
        </w:tc>
        <w:tc>
          <w:tcPr>
            <w:tcW w:type="dxa" w:w="2880"/>
          </w:tcPr>
          <w:p>
            <w:pPr>
              <w:spacing w:line="276" w:lineRule="auto"/>
              <w:jc w:val="center"/>
            </w:pPr>
            <w:r/>
            <w:r>
              <w:rPr>
                <w:rFonts w:ascii="Times New Roman" w:hAnsi="Times New Roman"/>
                <w:sz w:val="20"/>
              </w:rPr>
              <w:t>0.926</w:t>
            </w:r>
          </w:p>
        </w:tc>
        <w:tc>
          <w:tcPr>
            <w:tcW w:type="dxa" w:w="2160"/>
          </w:tcPr>
          <w:p>
            <w:pPr>
              <w:spacing w:line="276" w:lineRule="auto"/>
              <w:jc w:val="center"/>
            </w:pPr>
            <w:r/>
            <w:r>
              <w:rPr>
                <w:rFonts w:ascii="Times New Roman" w:hAnsi="Times New Roman"/>
                <w:sz w:val="20"/>
              </w:rPr>
              <w:t>0.022</w:t>
            </w:r>
          </w:p>
        </w:tc>
      </w:tr>
      <w:tr>
        <w:tc>
          <w:tcPr>
            <w:tcW w:type="dxa" w:w="720"/>
          </w:tcPr>
          <w:p>
            <w:pPr>
              <w:spacing w:line="276" w:lineRule="auto"/>
              <w:jc w:val="center"/>
            </w:pPr>
            <w:r/>
            <w:r>
              <w:rPr>
                <w:rFonts w:ascii="Times New Roman" w:hAnsi="Times New Roman"/>
                <w:sz w:val="20"/>
              </w:rPr>
            </w:r>
          </w:p>
        </w:tc>
        <w:tc>
          <w:tcPr>
            <w:tcW w:type="dxa" w:w="2880"/>
          </w:tcPr>
          <w:p>
            <w:pPr>
              <w:spacing w:line="276" w:lineRule="auto"/>
              <w:jc w:val="center"/>
            </w:pPr>
            <w:r/>
            <w:r>
              <w:rPr>
                <w:rFonts w:ascii="Times New Roman" w:hAnsi="Times New Roman"/>
                <w:sz w:val="20"/>
              </w:rPr>
            </w:r>
          </w:p>
        </w:tc>
        <w:tc>
          <w:tcPr>
            <w:tcW w:type="dxa" w:w="2880"/>
          </w:tcPr>
          <w:p>
            <w:pPr>
              <w:spacing w:line="276" w:lineRule="auto"/>
              <w:jc w:val="center"/>
            </w:pPr>
            <w:r/>
            <w:r>
              <w:rPr>
                <w:rFonts w:ascii="Times New Roman" w:hAnsi="Times New Roman"/>
                <w:sz w:val="20"/>
              </w:rPr>
              <w:t>Mean |deviation|</w:t>
            </w:r>
          </w:p>
        </w:tc>
        <w:tc>
          <w:tcPr>
            <w:tcW w:type="dxa" w:w="2160"/>
          </w:tcPr>
          <w:p>
            <w:pPr>
              <w:spacing w:line="276" w:lineRule="auto"/>
              <w:jc w:val="center"/>
            </w:pPr>
            <w:r/>
            <w:r>
              <w:rPr>
                <w:rFonts w:ascii="Times New Roman" w:hAnsi="Times New Roman"/>
                <w:sz w:val="20"/>
              </w:rPr>
              <w:t>0.071</w:t>
            </w:r>
          </w:p>
        </w:tc>
      </w:tr>
    </w:tbl>
    <w:p>
      <w:pPr>
        <w:pStyle w:val="Heading2"/>
      </w:pPr>
      <w:r>
        <w:t>Decision Curve Analysis</w:t>
      </w:r>
    </w:p>
    <w:p>
      <w:pPr/>
      <w:r>
        <w:rPr>
          <w:rFonts w:ascii="Times New Roman" w:hAnsi="Times New Roman"/>
          <w:b w:val="0"/>
          <w:i w:val="0"/>
        </w:rPr>
        <w:t>Decision curve analysis demonstrated that the CatBoost model provided positive net benefit exceeding both the treat-all and treat-none strategies across a clinically relevant range of threshold probabilities from approximately 0.05 to 0.60. At the Youden-optimized operating point (approximately 0.47), the model demonstrated clear clinical utility for guiding micro-TESE patient counseling. The wide range of clinical utility confirms the model’s robustness across different clinician preferences regarding the acceptable probability of successful retrieval before proceeding with surgery.</w:t>
      </w:r>
    </w:p>
    <w:p>
      <w:pPr>
        <w:pStyle w:val="Heading2"/>
      </w:pPr>
      <w:r>
        <w:t>Explainability Analysis</w:t>
      </w:r>
    </w:p>
    <w:p>
      <w:pPr/>
      <w:r>
        <w:rPr>
          <w:rFonts w:ascii="Times New Roman" w:hAnsi="Times New Roman"/>
          <w:b w:val="0"/>
          <w:i w:val="0"/>
        </w:rPr>
        <w:t>SHAP analysis of the CatBoost model revealed that histopathology-derived features dominated the predictive landscape. Of the top 25 features ranked by mean absolute SHAP value, 17 were pathology-derived (Table 4). The most influential predictor was right testicular severe hypospermatogenesis percentage (mean |SHAP| = 0.3958), followed by right testicular hypospermatogenesis percentage (0.2007) and left testicular severe hypospermatogenesis percentage (0.1590). This finding is consistent with the known clinical significance of hypospermatogenesis as a favorable histological pattern for sperm retrieval [35].</w:t>
      </w:r>
    </w:p>
    <w:p>
      <w:pPr>
        <w:spacing w:after="120"/>
      </w:pPr>
      <w:r>
        <w:rPr>
          <w:rFonts w:ascii="Times New Roman" w:hAnsi="Times New Roman"/>
          <w:b w:val="0"/>
          <w:i w:val="0"/>
        </w:rPr>
      </w:r>
    </w:p>
    <w:p>
      <w:pPr>
        <w:jc w:val="center"/>
      </w:pPr>
      <w:r>
        <w:rPr>
          <w:rFonts w:ascii="Times New Roman" w:hAnsi="Times New Roman"/>
          <w:b/>
          <w:i w:val="0"/>
        </w:rPr>
        <w:t>Table 4. Top 15 Predictive Features Ranked by Mean Absolute SHAP Value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fill="D9E2F3"/>
          </w:tcPr>
          <w:p>
            <w:pPr>
              <w:spacing w:line="276" w:lineRule="auto"/>
              <w:jc w:val="center"/>
            </w:pPr>
            <w:r/>
            <w:r>
              <w:rPr>
                <w:rFonts w:ascii="Times New Roman" w:hAnsi="Times New Roman"/>
                <w:b/>
                <w:sz w:val="20"/>
              </w:rPr>
              <w:t>Rank</w:t>
            </w:r>
          </w:p>
        </w:tc>
        <w:tc>
          <w:tcPr>
            <w:tcW w:type="dxa" w:w="3168"/>
            <w:shd w:fill="D9E2F3"/>
          </w:tcPr>
          <w:p>
            <w:pPr>
              <w:spacing w:line="276" w:lineRule="auto"/>
              <w:jc w:val="center"/>
            </w:pPr>
            <w:r/>
            <w:r>
              <w:rPr>
                <w:rFonts w:ascii="Times New Roman" w:hAnsi="Times New Roman"/>
                <w:b/>
                <w:sz w:val="20"/>
              </w:rPr>
              <w:t>Feature</w:t>
            </w:r>
          </w:p>
        </w:tc>
        <w:tc>
          <w:tcPr>
            <w:tcW w:type="dxa" w:w="1152"/>
            <w:shd w:fill="D9E2F3"/>
          </w:tcPr>
          <w:p>
            <w:pPr>
              <w:spacing w:line="276" w:lineRule="auto"/>
              <w:jc w:val="center"/>
            </w:pPr>
            <w:r/>
            <w:r>
              <w:rPr>
                <w:rFonts w:ascii="Times New Roman" w:hAnsi="Times New Roman"/>
                <w:b/>
                <w:sz w:val="20"/>
              </w:rPr>
              <w:t>Mean |SHAP|</w:t>
            </w:r>
          </w:p>
        </w:tc>
        <w:tc>
          <w:tcPr>
            <w:tcW w:type="dxa" w:w="1728"/>
            <w:shd w:fill="D9E2F3"/>
          </w:tcPr>
          <w:p>
            <w:pPr>
              <w:spacing w:line="276" w:lineRule="auto"/>
              <w:jc w:val="center"/>
            </w:pPr>
            <w:r/>
            <w:r>
              <w:rPr>
                <w:rFonts w:ascii="Times New Roman" w:hAnsi="Times New Roman"/>
                <w:b/>
                <w:sz w:val="20"/>
              </w:rPr>
              <w:t>Category</w:t>
            </w:r>
          </w:p>
        </w:tc>
        <w:tc>
          <w:tcPr>
            <w:tcW w:type="dxa" w:w="2160"/>
            <w:shd w:fill="D9E2F3"/>
          </w:tcPr>
          <w:p>
            <w:pPr>
              <w:spacing w:line="276" w:lineRule="auto"/>
              <w:jc w:val="center"/>
            </w:pPr>
            <w:r/>
            <w:r>
              <w:rPr>
                <w:rFonts w:ascii="Times New Roman" w:hAnsi="Times New Roman"/>
                <w:b/>
                <w:sz w:val="20"/>
              </w:rPr>
              <w:t>Direction</w:t>
            </w:r>
          </w:p>
        </w:tc>
      </w:tr>
      <w:tr>
        <w:tc>
          <w:tcPr>
            <w:tcW w:type="dxa" w:w="720"/>
          </w:tcPr>
          <w:p>
            <w:pPr>
              <w:spacing w:line="276" w:lineRule="auto"/>
              <w:jc w:val="center"/>
            </w:pPr>
            <w:r/>
            <w:r>
              <w:rPr>
                <w:rFonts w:ascii="Times New Roman" w:hAnsi="Times New Roman"/>
                <w:sz w:val="20"/>
              </w:rPr>
              <w:t>1</w:t>
            </w:r>
          </w:p>
        </w:tc>
        <w:tc>
          <w:tcPr>
            <w:tcW w:type="dxa" w:w="3168"/>
          </w:tcPr>
          <w:p>
            <w:pPr>
              <w:spacing w:line="276" w:lineRule="auto"/>
              <w:jc w:val="center"/>
            </w:pPr>
            <w:r/>
            <w:r>
              <w:rPr>
                <w:rFonts w:ascii="Times New Roman" w:hAnsi="Times New Roman"/>
                <w:sz w:val="20"/>
              </w:rPr>
              <w:t>RT Severe Hypospermatogenesis %</w:t>
            </w:r>
          </w:p>
        </w:tc>
        <w:tc>
          <w:tcPr>
            <w:tcW w:type="dxa" w:w="1152"/>
          </w:tcPr>
          <w:p>
            <w:pPr>
              <w:spacing w:line="276" w:lineRule="auto"/>
              <w:jc w:val="center"/>
            </w:pPr>
            <w:r/>
            <w:r>
              <w:rPr>
                <w:rFonts w:ascii="Times New Roman" w:hAnsi="Times New Roman"/>
                <w:sz w:val="20"/>
              </w:rPr>
              <w:t>0.3958</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2</w:t>
            </w:r>
          </w:p>
        </w:tc>
        <w:tc>
          <w:tcPr>
            <w:tcW w:type="dxa" w:w="3168"/>
          </w:tcPr>
          <w:p>
            <w:pPr>
              <w:spacing w:line="276" w:lineRule="auto"/>
              <w:jc w:val="center"/>
            </w:pPr>
            <w:r/>
            <w:r>
              <w:rPr>
                <w:rFonts w:ascii="Times New Roman" w:hAnsi="Times New Roman"/>
                <w:sz w:val="20"/>
              </w:rPr>
              <w:t>RT Hypospermatogenesis %</w:t>
            </w:r>
          </w:p>
        </w:tc>
        <w:tc>
          <w:tcPr>
            <w:tcW w:type="dxa" w:w="1152"/>
          </w:tcPr>
          <w:p>
            <w:pPr>
              <w:spacing w:line="276" w:lineRule="auto"/>
              <w:jc w:val="center"/>
            </w:pPr>
            <w:r/>
            <w:r>
              <w:rPr>
                <w:rFonts w:ascii="Times New Roman" w:hAnsi="Times New Roman"/>
                <w:sz w:val="20"/>
              </w:rPr>
              <w:t>0.2007</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3</w:t>
            </w:r>
          </w:p>
        </w:tc>
        <w:tc>
          <w:tcPr>
            <w:tcW w:type="dxa" w:w="3168"/>
          </w:tcPr>
          <w:p>
            <w:pPr>
              <w:spacing w:line="276" w:lineRule="auto"/>
              <w:jc w:val="center"/>
            </w:pPr>
            <w:r/>
            <w:r>
              <w:rPr>
                <w:rFonts w:ascii="Times New Roman" w:hAnsi="Times New Roman"/>
                <w:sz w:val="20"/>
              </w:rPr>
              <w:t>LT Severe Hypospermatogenesis %</w:t>
            </w:r>
          </w:p>
        </w:tc>
        <w:tc>
          <w:tcPr>
            <w:tcW w:type="dxa" w:w="1152"/>
          </w:tcPr>
          <w:p>
            <w:pPr>
              <w:spacing w:line="276" w:lineRule="auto"/>
              <w:jc w:val="center"/>
            </w:pPr>
            <w:r/>
            <w:r>
              <w:rPr>
                <w:rFonts w:ascii="Times New Roman" w:hAnsi="Times New Roman"/>
                <w:sz w:val="20"/>
              </w:rPr>
              <w:t>0.1590</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4</w:t>
            </w:r>
          </w:p>
        </w:tc>
        <w:tc>
          <w:tcPr>
            <w:tcW w:type="dxa" w:w="3168"/>
          </w:tcPr>
          <w:p>
            <w:pPr>
              <w:spacing w:line="276" w:lineRule="auto"/>
              <w:jc w:val="center"/>
            </w:pPr>
            <w:r/>
            <w:r>
              <w:rPr>
                <w:rFonts w:ascii="Times New Roman" w:hAnsi="Times New Roman"/>
                <w:sz w:val="20"/>
              </w:rPr>
              <w:t>RT MA Spermatocytic %</w:t>
            </w:r>
          </w:p>
        </w:tc>
        <w:tc>
          <w:tcPr>
            <w:tcW w:type="dxa" w:w="1152"/>
          </w:tcPr>
          <w:p>
            <w:pPr>
              <w:spacing w:line="276" w:lineRule="auto"/>
              <w:jc w:val="center"/>
            </w:pPr>
            <w:r/>
            <w:r>
              <w:rPr>
                <w:rFonts w:ascii="Times New Roman" w:hAnsi="Times New Roman"/>
                <w:sz w:val="20"/>
              </w:rPr>
              <w:t>0.1473</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Context-dependent</w:t>
            </w:r>
          </w:p>
        </w:tc>
      </w:tr>
      <w:tr>
        <w:tc>
          <w:tcPr>
            <w:tcW w:type="dxa" w:w="720"/>
          </w:tcPr>
          <w:p>
            <w:pPr>
              <w:spacing w:line="276" w:lineRule="auto"/>
              <w:jc w:val="center"/>
            </w:pPr>
            <w:r/>
            <w:r>
              <w:rPr>
                <w:rFonts w:ascii="Times New Roman" w:hAnsi="Times New Roman"/>
                <w:sz w:val="20"/>
              </w:rPr>
              <w:t>5</w:t>
            </w:r>
          </w:p>
        </w:tc>
        <w:tc>
          <w:tcPr>
            <w:tcW w:type="dxa" w:w="3168"/>
          </w:tcPr>
          <w:p>
            <w:pPr>
              <w:spacing w:line="276" w:lineRule="auto"/>
              <w:jc w:val="center"/>
            </w:pPr>
            <w:r/>
            <w:r>
              <w:rPr>
                <w:rFonts w:ascii="Times New Roman" w:hAnsi="Times New Roman"/>
                <w:sz w:val="20"/>
              </w:rPr>
              <w:t>LT Severity Score</w:t>
            </w:r>
          </w:p>
        </w:tc>
        <w:tc>
          <w:tcPr>
            <w:tcW w:type="dxa" w:w="1152"/>
          </w:tcPr>
          <w:p>
            <w:pPr>
              <w:spacing w:line="276" w:lineRule="auto"/>
              <w:jc w:val="center"/>
            </w:pPr>
            <w:r/>
            <w:r>
              <w:rPr>
                <w:rFonts w:ascii="Times New Roman" w:hAnsi="Times New Roman"/>
                <w:sz w:val="20"/>
              </w:rPr>
              <w:t>0.1308</w:t>
            </w:r>
          </w:p>
        </w:tc>
        <w:tc>
          <w:tcPr>
            <w:tcW w:type="dxa" w:w="1728"/>
          </w:tcPr>
          <w:p>
            <w:pPr>
              <w:spacing w:line="276" w:lineRule="auto"/>
              <w:jc w:val="center"/>
            </w:pPr>
            <w:r/>
            <w:r>
              <w:rPr>
                <w:rFonts w:ascii="Times New Roman" w:hAnsi="Times New Roman"/>
                <w:sz w:val="20"/>
              </w:rPr>
              <w:t>Pathology (ordinal)</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6</w:t>
            </w:r>
          </w:p>
        </w:tc>
        <w:tc>
          <w:tcPr>
            <w:tcW w:type="dxa" w:w="3168"/>
          </w:tcPr>
          <w:p>
            <w:pPr>
              <w:spacing w:line="276" w:lineRule="auto"/>
              <w:jc w:val="center"/>
            </w:pPr>
            <w:r/>
            <w:r>
              <w:rPr>
                <w:rFonts w:ascii="Times New Roman" w:hAnsi="Times New Roman"/>
                <w:sz w:val="20"/>
              </w:rPr>
              <w:t>LT SCO %</w:t>
            </w:r>
          </w:p>
        </w:tc>
        <w:tc>
          <w:tcPr>
            <w:tcW w:type="dxa" w:w="1152"/>
          </w:tcPr>
          <w:p>
            <w:pPr>
              <w:spacing w:line="276" w:lineRule="auto"/>
              <w:jc w:val="center"/>
            </w:pPr>
            <w:r/>
            <w:r>
              <w:rPr>
                <w:rFonts w:ascii="Times New Roman" w:hAnsi="Times New Roman"/>
                <w:sz w:val="20"/>
              </w:rPr>
              <w:t>0.1099</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7</w:t>
            </w:r>
          </w:p>
        </w:tc>
        <w:tc>
          <w:tcPr>
            <w:tcW w:type="dxa" w:w="3168"/>
          </w:tcPr>
          <w:p>
            <w:pPr>
              <w:spacing w:line="276" w:lineRule="auto"/>
              <w:jc w:val="center"/>
            </w:pPr>
            <w:r/>
            <w:r>
              <w:rPr>
                <w:rFonts w:ascii="Times New Roman" w:hAnsi="Times New Roman"/>
                <w:sz w:val="20"/>
              </w:rPr>
              <w:t>RT SCO %</w:t>
            </w:r>
          </w:p>
        </w:tc>
        <w:tc>
          <w:tcPr>
            <w:tcW w:type="dxa" w:w="1152"/>
          </w:tcPr>
          <w:p>
            <w:pPr>
              <w:spacing w:line="276" w:lineRule="auto"/>
              <w:jc w:val="center"/>
            </w:pPr>
            <w:r/>
            <w:r>
              <w:rPr>
                <w:rFonts w:ascii="Times New Roman" w:hAnsi="Times New Roman"/>
                <w:sz w:val="20"/>
              </w:rPr>
              <w:t>0.0898</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8</w:t>
            </w:r>
          </w:p>
        </w:tc>
        <w:tc>
          <w:tcPr>
            <w:tcW w:type="dxa" w:w="3168"/>
          </w:tcPr>
          <w:p>
            <w:pPr>
              <w:spacing w:line="276" w:lineRule="auto"/>
              <w:jc w:val="center"/>
            </w:pPr>
            <w:r/>
            <w:r>
              <w:rPr>
                <w:rFonts w:ascii="Times New Roman" w:hAnsi="Times New Roman"/>
                <w:sz w:val="20"/>
              </w:rPr>
              <w:t>RT Severity Score</w:t>
            </w:r>
          </w:p>
        </w:tc>
        <w:tc>
          <w:tcPr>
            <w:tcW w:type="dxa" w:w="1152"/>
          </w:tcPr>
          <w:p>
            <w:pPr>
              <w:spacing w:line="276" w:lineRule="auto"/>
              <w:jc w:val="center"/>
            </w:pPr>
            <w:r/>
            <w:r>
              <w:rPr>
                <w:rFonts w:ascii="Times New Roman" w:hAnsi="Times New Roman"/>
                <w:sz w:val="20"/>
              </w:rPr>
              <w:t>0.0855</w:t>
            </w:r>
          </w:p>
        </w:tc>
        <w:tc>
          <w:tcPr>
            <w:tcW w:type="dxa" w:w="1728"/>
          </w:tcPr>
          <w:p>
            <w:pPr>
              <w:spacing w:line="276" w:lineRule="auto"/>
              <w:jc w:val="center"/>
            </w:pPr>
            <w:r/>
            <w:r>
              <w:rPr>
                <w:rFonts w:ascii="Times New Roman" w:hAnsi="Times New Roman"/>
                <w:sz w:val="20"/>
              </w:rPr>
              <w:t>Pathology (ordinal)</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9</w:t>
            </w:r>
          </w:p>
        </w:tc>
        <w:tc>
          <w:tcPr>
            <w:tcW w:type="dxa" w:w="3168"/>
          </w:tcPr>
          <w:p>
            <w:pPr>
              <w:spacing w:line="276" w:lineRule="auto"/>
              <w:jc w:val="center"/>
            </w:pPr>
            <w:r/>
            <w:r>
              <w:rPr>
                <w:rFonts w:ascii="Times New Roman" w:hAnsi="Times New Roman"/>
                <w:sz w:val="20"/>
              </w:rPr>
              <w:t>RT MA Elongated %</w:t>
            </w:r>
          </w:p>
        </w:tc>
        <w:tc>
          <w:tcPr>
            <w:tcW w:type="dxa" w:w="1152"/>
          </w:tcPr>
          <w:p>
            <w:pPr>
              <w:spacing w:line="276" w:lineRule="auto"/>
              <w:jc w:val="center"/>
            </w:pPr>
            <w:r/>
            <w:r>
              <w:rPr>
                <w:rFonts w:ascii="Times New Roman" w:hAnsi="Times New Roman"/>
                <w:sz w:val="20"/>
              </w:rPr>
              <w:t>0.0672</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10</w:t>
            </w:r>
          </w:p>
        </w:tc>
        <w:tc>
          <w:tcPr>
            <w:tcW w:type="dxa" w:w="3168"/>
          </w:tcPr>
          <w:p>
            <w:pPr>
              <w:spacing w:line="276" w:lineRule="auto"/>
              <w:jc w:val="center"/>
            </w:pPr>
            <w:r/>
            <w:r>
              <w:rPr>
                <w:rFonts w:ascii="Times New Roman" w:hAnsi="Times New Roman"/>
                <w:sz w:val="20"/>
              </w:rPr>
              <w:t>Habits</w:t>
            </w:r>
          </w:p>
        </w:tc>
        <w:tc>
          <w:tcPr>
            <w:tcW w:type="dxa" w:w="1152"/>
          </w:tcPr>
          <w:p>
            <w:pPr>
              <w:spacing w:line="276" w:lineRule="auto"/>
              <w:jc w:val="center"/>
            </w:pPr>
            <w:r/>
            <w:r>
              <w:rPr>
                <w:rFonts w:ascii="Times New Roman" w:hAnsi="Times New Roman"/>
                <w:sz w:val="20"/>
              </w:rPr>
              <w:t>0.0663</w:t>
            </w:r>
          </w:p>
        </w:tc>
        <w:tc>
          <w:tcPr>
            <w:tcW w:type="dxa" w:w="1728"/>
          </w:tcPr>
          <w:p>
            <w:pPr>
              <w:spacing w:line="276" w:lineRule="auto"/>
              <w:jc w:val="center"/>
            </w:pPr>
            <w:r/>
            <w:r>
              <w:rPr>
                <w:rFonts w:ascii="Times New Roman" w:hAnsi="Times New Roman"/>
                <w:sz w:val="20"/>
              </w:rPr>
              <w:t>Lifestyle</w:t>
            </w:r>
          </w:p>
        </w:tc>
        <w:tc>
          <w:tcPr>
            <w:tcW w:type="dxa" w:w="2160"/>
          </w:tcPr>
          <w:p>
            <w:pPr>
              <w:spacing w:line="276" w:lineRule="auto"/>
              <w:jc w:val="center"/>
            </w:pPr>
            <w:r/>
            <w:r>
              <w:rPr>
                <w:rFonts w:ascii="Times New Roman" w:hAnsi="Times New Roman"/>
                <w:sz w:val="20"/>
              </w:rPr>
              <w:t>Context-dependent</w:t>
            </w:r>
          </w:p>
        </w:tc>
      </w:tr>
      <w:tr>
        <w:tc>
          <w:tcPr>
            <w:tcW w:type="dxa" w:w="720"/>
          </w:tcPr>
          <w:p>
            <w:pPr>
              <w:spacing w:line="276" w:lineRule="auto"/>
              <w:jc w:val="center"/>
            </w:pPr>
            <w:r/>
            <w:r>
              <w:rPr>
                <w:rFonts w:ascii="Times New Roman" w:hAnsi="Times New Roman"/>
                <w:sz w:val="20"/>
              </w:rPr>
              <w:t>11</w:t>
            </w:r>
          </w:p>
        </w:tc>
        <w:tc>
          <w:tcPr>
            <w:tcW w:type="dxa" w:w="3168"/>
          </w:tcPr>
          <w:p>
            <w:pPr>
              <w:spacing w:line="276" w:lineRule="auto"/>
              <w:jc w:val="center"/>
            </w:pPr>
            <w:r/>
            <w:r>
              <w:rPr>
                <w:rFonts w:ascii="Times New Roman" w:hAnsi="Times New Roman"/>
                <w:sz w:val="20"/>
              </w:rPr>
              <w:t>Klinefelter Status</w:t>
            </w:r>
          </w:p>
        </w:tc>
        <w:tc>
          <w:tcPr>
            <w:tcW w:type="dxa" w:w="1152"/>
          </w:tcPr>
          <w:p>
            <w:pPr>
              <w:spacing w:line="276" w:lineRule="auto"/>
              <w:jc w:val="center"/>
            </w:pPr>
            <w:r/>
            <w:r>
              <w:rPr>
                <w:rFonts w:ascii="Times New Roman" w:hAnsi="Times New Roman"/>
                <w:sz w:val="20"/>
              </w:rPr>
              <w:t>0.0612</w:t>
            </w:r>
          </w:p>
        </w:tc>
        <w:tc>
          <w:tcPr>
            <w:tcW w:type="dxa" w:w="1728"/>
          </w:tcPr>
          <w:p>
            <w:pPr>
              <w:spacing w:line="276" w:lineRule="auto"/>
              <w:jc w:val="center"/>
            </w:pPr>
            <w:r/>
            <w:r>
              <w:rPr>
                <w:rFonts w:ascii="Times New Roman" w:hAnsi="Times New Roman"/>
                <w:sz w:val="20"/>
              </w:rPr>
              <w:t>Genetic</w:t>
            </w:r>
          </w:p>
        </w:tc>
        <w:tc>
          <w:tcPr>
            <w:tcW w:type="dxa" w:w="2160"/>
          </w:tcPr>
          <w:p>
            <w:pPr>
              <w:spacing w:line="276" w:lineRule="auto"/>
              <w:jc w:val="center"/>
            </w:pPr>
            <w:r/>
            <w:r>
              <w:rPr>
                <w:rFonts w:ascii="Times New Roman" w:hAnsi="Times New Roman"/>
                <w:sz w:val="20"/>
              </w:rPr>
              <w:t>Present → ↓ retrieval</w:t>
            </w:r>
          </w:p>
        </w:tc>
      </w:tr>
      <w:tr>
        <w:tc>
          <w:tcPr>
            <w:tcW w:type="dxa" w:w="720"/>
          </w:tcPr>
          <w:p>
            <w:pPr>
              <w:spacing w:line="276" w:lineRule="auto"/>
              <w:jc w:val="center"/>
            </w:pPr>
            <w:r/>
            <w:r>
              <w:rPr>
                <w:rFonts w:ascii="Times New Roman" w:hAnsi="Times New Roman"/>
                <w:sz w:val="20"/>
              </w:rPr>
              <w:t>12</w:t>
            </w:r>
          </w:p>
        </w:tc>
        <w:tc>
          <w:tcPr>
            <w:tcW w:type="dxa" w:w="3168"/>
          </w:tcPr>
          <w:p>
            <w:pPr>
              <w:spacing w:line="276" w:lineRule="auto"/>
              <w:jc w:val="center"/>
            </w:pPr>
            <w:r/>
            <w:r>
              <w:rPr>
                <w:rFonts w:ascii="Times New Roman" w:hAnsi="Times New Roman"/>
                <w:sz w:val="20"/>
              </w:rPr>
              <w:t>LT MA Spermatocytic %</w:t>
            </w:r>
          </w:p>
        </w:tc>
        <w:tc>
          <w:tcPr>
            <w:tcW w:type="dxa" w:w="1152"/>
          </w:tcPr>
          <w:p>
            <w:pPr>
              <w:spacing w:line="276" w:lineRule="auto"/>
              <w:jc w:val="center"/>
            </w:pPr>
            <w:r/>
            <w:r>
              <w:rPr>
                <w:rFonts w:ascii="Times New Roman" w:hAnsi="Times New Roman"/>
                <w:sz w:val="20"/>
              </w:rPr>
              <w:t>0.0606</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Context-dependent</w:t>
            </w:r>
          </w:p>
        </w:tc>
      </w:tr>
      <w:tr>
        <w:tc>
          <w:tcPr>
            <w:tcW w:type="dxa" w:w="720"/>
          </w:tcPr>
          <w:p>
            <w:pPr>
              <w:spacing w:line="276" w:lineRule="auto"/>
              <w:jc w:val="center"/>
            </w:pPr>
            <w:r/>
            <w:r>
              <w:rPr>
                <w:rFonts w:ascii="Times New Roman" w:hAnsi="Times New Roman"/>
                <w:sz w:val="20"/>
              </w:rPr>
              <w:t>13</w:t>
            </w:r>
          </w:p>
        </w:tc>
        <w:tc>
          <w:tcPr>
            <w:tcW w:type="dxa" w:w="3168"/>
          </w:tcPr>
          <w:p>
            <w:pPr>
              <w:spacing w:line="276" w:lineRule="auto"/>
              <w:jc w:val="center"/>
            </w:pPr>
            <w:r/>
            <w:r>
              <w:rPr>
                <w:rFonts w:ascii="Times New Roman" w:hAnsi="Times New Roman"/>
                <w:sz w:val="20"/>
              </w:rPr>
              <w:t>LT Hypospermatogenesis %</w:t>
            </w:r>
          </w:p>
        </w:tc>
        <w:tc>
          <w:tcPr>
            <w:tcW w:type="dxa" w:w="1152"/>
          </w:tcPr>
          <w:p>
            <w:pPr>
              <w:spacing w:line="276" w:lineRule="auto"/>
              <w:jc w:val="center"/>
            </w:pPr>
            <w:r/>
            <w:r>
              <w:rPr>
                <w:rFonts w:ascii="Times New Roman" w:hAnsi="Times New Roman"/>
                <w:sz w:val="20"/>
              </w:rPr>
              <w:t>0.0565</w:t>
            </w:r>
          </w:p>
        </w:tc>
        <w:tc>
          <w:tcPr>
            <w:tcW w:type="dxa" w:w="1728"/>
          </w:tcPr>
          <w:p>
            <w:pPr>
              <w:spacing w:line="276" w:lineRule="auto"/>
              <w:jc w:val="center"/>
            </w:pPr>
            <w:r/>
            <w:r>
              <w:rPr>
                <w:rFonts w:ascii="Times New Roman" w:hAnsi="Times New Roman"/>
                <w:sz w:val="20"/>
              </w:rPr>
              <w:t>Pathology</w:t>
            </w:r>
          </w:p>
        </w:tc>
        <w:tc>
          <w:tcPr>
            <w:tcW w:type="dxa" w:w="2160"/>
          </w:tcPr>
          <w:p>
            <w:pPr>
              <w:spacing w:line="276" w:lineRule="auto"/>
              <w:jc w:val="center"/>
            </w:pPr>
            <w:r/>
            <w:r>
              <w:rPr>
                <w:rFonts w:ascii="Times New Roman" w:hAnsi="Times New Roman"/>
                <w:sz w:val="20"/>
              </w:rPr>
              <w:t>Higher → ↑ retrieval</w:t>
            </w:r>
          </w:p>
        </w:tc>
      </w:tr>
      <w:tr>
        <w:tc>
          <w:tcPr>
            <w:tcW w:type="dxa" w:w="720"/>
          </w:tcPr>
          <w:p>
            <w:pPr>
              <w:spacing w:line="276" w:lineRule="auto"/>
              <w:jc w:val="center"/>
            </w:pPr>
            <w:r/>
            <w:r>
              <w:rPr>
                <w:rFonts w:ascii="Times New Roman" w:hAnsi="Times New Roman"/>
                <w:sz w:val="20"/>
              </w:rPr>
              <w:t>14</w:t>
            </w:r>
          </w:p>
        </w:tc>
        <w:tc>
          <w:tcPr>
            <w:tcW w:type="dxa" w:w="3168"/>
          </w:tcPr>
          <w:p>
            <w:pPr>
              <w:spacing w:line="276" w:lineRule="auto"/>
              <w:jc w:val="center"/>
            </w:pPr>
            <w:r/>
            <w:r>
              <w:rPr>
                <w:rFonts w:ascii="Times New Roman" w:hAnsi="Times New Roman"/>
                <w:sz w:val="20"/>
              </w:rPr>
              <w:t>Seminal Plasma pH</w:t>
            </w:r>
          </w:p>
        </w:tc>
        <w:tc>
          <w:tcPr>
            <w:tcW w:type="dxa" w:w="1152"/>
          </w:tcPr>
          <w:p>
            <w:pPr>
              <w:spacing w:line="276" w:lineRule="auto"/>
              <w:jc w:val="center"/>
            </w:pPr>
            <w:r/>
            <w:r>
              <w:rPr>
                <w:rFonts w:ascii="Times New Roman" w:hAnsi="Times New Roman"/>
                <w:sz w:val="20"/>
              </w:rPr>
              <w:t>0.0550</w:t>
            </w:r>
          </w:p>
        </w:tc>
        <w:tc>
          <w:tcPr>
            <w:tcW w:type="dxa" w:w="1728"/>
          </w:tcPr>
          <w:p>
            <w:pPr>
              <w:spacing w:line="276" w:lineRule="auto"/>
              <w:jc w:val="center"/>
            </w:pPr>
            <w:r/>
            <w:r>
              <w:rPr>
                <w:rFonts w:ascii="Times New Roman" w:hAnsi="Times New Roman"/>
                <w:sz w:val="20"/>
              </w:rPr>
              <w:t>Semen</w:t>
            </w:r>
          </w:p>
        </w:tc>
        <w:tc>
          <w:tcPr>
            <w:tcW w:type="dxa" w:w="2160"/>
          </w:tcPr>
          <w:p>
            <w:pPr>
              <w:spacing w:line="276" w:lineRule="auto"/>
              <w:jc w:val="center"/>
            </w:pPr>
            <w:r/>
            <w:r>
              <w:rPr>
                <w:rFonts w:ascii="Times New Roman" w:hAnsi="Times New Roman"/>
                <w:sz w:val="20"/>
              </w:rPr>
              <w:t>Context-dependent</w:t>
            </w:r>
          </w:p>
        </w:tc>
      </w:tr>
      <w:tr>
        <w:tc>
          <w:tcPr>
            <w:tcW w:type="dxa" w:w="720"/>
          </w:tcPr>
          <w:p>
            <w:pPr>
              <w:spacing w:line="276" w:lineRule="auto"/>
              <w:jc w:val="center"/>
            </w:pPr>
            <w:r/>
            <w:r>
              <w:rPr>
                <w:rFonts w:ascii="Times New Roman" w:hAnsi="Times New Roman"/>
                <w:sz w:val="20"/>
              </w:rPr>
              <w:t>15</w:t>
            </w:r>
          </w:p>
        </w:tc>
        <w:tc>
          <w:tcPr>
            <w:tcW w:type="dxa" w:w="3168"/>
          </w:tcPr>
          <w:p>
            <w:pPr>
              <w:spacing w:line="276" w:lineRule="auto"/>
              <w:jc w:val="center"/>
            </w:pPr>
            <w:r/>
            <w:r>
              <w:rPr>
                <w:rFonts w:ascii="Times New Roman" w:hAnsi="Times New Roman"/>
                <w:sz w:val="20"/>
              </w:rPr>
              <w:t>RT Testis Volume (Sono)</w:t>
            </w:r>
          </w:p>
        </w:tc>
        <w:tc>
          <w:tcPr>
            <w:tcW w:type="dxa" w:w="1152"/>
          </w:tcPr>
          <w:p>
            <w:pPr>
              <w:spacing w:line="276" w:lineRule="auto"/>
              <w:jc w:val="center"/>
            </w:pPr>
            <w:r/>
            <w:r>
              <w:rPr>
                <w:rFonts w:ascii="Times New Roman" w:hAnsi="Times New Roman"/>
                <w:sz w:val="20"/>
              </w:rPr>
              <w:t>0.0501</w:t>
            </w:r>
          </w:p>
        </w:tc>
        <w:tc>
          <w:tcPr>
            <w:tcW w:type="dxa" w:w="1728"/>
          </w:tcPr>
          <w:p>
            <w:pPr>
              <w:spacing w:line="276" w:lineRule="auto"/>
              <w:jc w:val="center"/>
            </w:pPr>
            <w:r/>
            <w:r>
              <w:rPr>
                <w:rFonts w:ascii="Times New Roman" w:hAnsi="Times New Roman"/>
                <w:sz w:val="20"/>
              </w:rPr>
              <w:t>Testicular</w:t>
            </w:r>
          </w:p>
        </w:tc>
        <w:tc>
          <w:tcPr>
            <w:tcW w:type="dxa" w:w="2160"/>
          </w:tcPr>
          <w:p>
            <w:pPr>
              <w:spacing w:line="276" w:lineRule="auto"/>
              <w:jc w:val="center"/>
            </w:pPr>
            <w:r/>
            <w:r>
              <w:rPr>
                <w:rFonts w:ascii="Times New Roman" w:hAnsi="Times New Roman"/>
                <w:sz w:val="20"/>
              </w:rPr>
              <w:t>Higher → ↑ retrieval</w:t>
            </w:r>
          </w:p>
        </w:tc>
      </w:tr>
    </w:tbl>
    <w:p>
      <w:pPr/>
      <w:r>
        <w:rPr>
          <w:rFonts w:ascii="Times New Roman" w:hAnsi="Times New Roman"/>
          <w:b w:val="0"/>
          <w:i/>
          <w:sz w:val="20"/>
        </w:rPr>
        <w:t>RT = right testis; LT = left testis; MA = maturation arrest; SCO = Sertoli cell–only. Direction indicates the predominant SHAP effect on predicted sperm retrieval probability.</w:t>
      </w:r>
    </w:p>
    <w:p>
      <w:pPr/>
      <w:r>
        <w:rPr>
          <w:rFonts w:ascii="Times New Roman" w:hAnsi="Times New Roman"/>
          <w:b w:val="0"/>
          <w:i w:val="0"/>
        </w:rPr>
      </w:r>
    </w:p>
    <w:p>
      <w:pPr/>
      <w:r>
        <w:rPr>
          <w:rFonts w:ascii="Times New Roman" w:hAnsi="Times New Roman"/>
          <w:b w:val="0"/>
          <w:i w:val="0"/>
        </w:rPr>
        <w:t>Non-pathology features contributing to prediction included Klinefelter syndrome status (rank 11, mean |SHAP| = 0.0612), seminal plasma pH (rank 14, 0.0550), testicular volumes (ranks 15 and 18), FSH levels (rank 20, 0.0180), and prolactin (rank 23, 0.0164). The dominance of pathology-derived features underscores the importance of detailed histopathological assessment and the clinical utility of incorporating structured pathology data into predictive models for micro-TESE outcomes.</w:t>
      </w:r>
    </w:p>
    <w:p>
      <w:pPr>
        <w:pStyle w:val="Heading2"/>
      </w:pPr>
      <w:r>
        <w:t>Multi-Agent Verification Results</w:t>
      </w:r>
    </w:p>
    <w:p>
      <w:pPr/>
      <w:r>
        <w:rPr>
          <w:rFonts w:ascii="Times New Roman" w:hAnsi="Times New Roman"/>
          <w:b w:val="0"/>
          <w:i w:val="0"/>
        </w:rPr>
        <w:t>The multi-agent verification pipeline identified 9 critical or high-severity bugs in the initial (v1) ML pipeline, all of which were corrected in the final (v2) version (Table 5). Three additional methodological concerns were eliminated through pipeline restructuring. Independent re-execution of the corrected pipeline reproduced every metric to ≥4 decimal places (Δ = 0.0000 on all per-fold and aggregate metrics), confirming computational reproducibility.</w:t>
      </w:r>
    </w:p>
    <w:p>
      <w:pPr>
        <w:spacing w:after="120"/>
      </w:pPr>
      <w:r>
        <w:rPr>
          <w:rFonts w:ascii="Times New Roman" w:hAnsi="Times New Roman"/>
          <w:b w:val="0"/>
          <w:i w:val="0"/>
        </w:rPr>
      </w:r>
    </w:p>
    <w:p>
      <w:pPr>
        <w:jc w:val="center"/>
      </w:pPr>
      <w:r>
        <w:rPr>
          <w:rFonts w:ascii="Times New Roman" w:hAnsi="Times New Roman"/>
          <w:b/>
          <w:i w:val="0"/>
        </w:rPr>
        <w:t>Table 5. Multi-Agent Verification Audit: Critical Bugs Identified and Corrected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04"/>
            <w:shd w:fill="D9E2F3"/>
          </w:tcPr>
          <w:p>
            <w:pPr>
              <w:spacing w:line="276" w:lineRule="auto"/>
              <w:jc w:val="center"/>
            </w:pPr>
            <w:r/>
            <w:r>
              <w:rPr>
                <w:rFonts w:ascii="Times New Roman" w:hAnsi="Times New Roman"/>
                <w:b/>
                <w:sz w:val="20"/>
              </w:rPr>
              <w:t>#</w:t>
            </w:r>
          </w:p>
        </w:tc>
        <w:tc>
          <w:tcPr>
            <w:tcW w:type="dxa" w:w="3456"/>
            <w:shd w:fill="D9E2F3"/>
          </w:tcPr>
          <w:p>
            <w:pPr>
              <w:spacing w:line="276" w:lineRule="auto"/>
              <w:jc w:val="center"/>
            </w:pPr>
            <w:r/>
            <w:r>
              <w:rPr>
                <w:rFonts w:ascii="Times New Roman" w:hAnsi="Times New Roman"/>
                <w:b/>
                <w:sz w:val="20"/>
              </w:rPr>
              <w:t>Bug Description (v1)</w:t>
            </w:r>
          </w:p>
        </w:tc>
        <w:tc>
          <w:tcPr>
            <w:tcW w:type="dxa" w:w="3456"/>
            <w:shd w:fill="D9E2F3"/>
          </w:tcPr>
          <w:p>
            <w:pPr>
              <w:spacing w:line="276" w:lineRule="auto"/>
              <w:jc w:val="center"/>
            </w:pPr>
            <w:r/>
            <w:r>
              <w:rPr>
                <w:rFonts w:ascii="Times New Roman" w:hAnsi="Times New Roman"/>
                <w:b/>
                <w:sz w:val="20"/>
              </w:rPr>
              <w:t>Correction Applied (v2)</w:t>
            </w:r>
          </w:p>
        </w:tc>
        <w:tc>
          <w:tcPr>
            <w:tcW w:type="dxa" w:w="1152"/>
            <w:shd w:fill="D9E2F3"/>
          </w:tcPr>
          <w:p>
            <w:pPr>
              <w:spacing w:line="276" w:lineRule="auto"/>
              <w:jc w:val="center"/>
            </w:pPr>
            <w:r/>
            <w:r>
              <w:rPr>
                <w:rFonts w:ascii="Times New Roman" w:hAnsi="Times New Roman"/>
                <w:b/>
                <w:sz w:val="20"/>
              </w:rPr>
              <w:t>Severity</w:t>
            </w:r>
          </w:p>
        </w:tc>
      </w:tr>
      <w:tr>
        <w:tc>
          <w:tcPr>
            <w:tcW w:type="dxa" w:w="504"/>
          </w:tcPr>
          <w:p>
            <w:pPr>
              <w:spacing w:line="276" w:lineRule="auto"/>
              <w:jc w:val="center"/>
            </w:pPr>
            <w:r/>
            <w:r>
              <w:rPr>
                <w:rFonts w:ascii="Times New Roman" w:hAnsi="Times New Roman"/>
                <w:sz w:val="20"/>
              </w:rPr>
              <w:t>1</w:t>
            </w:r>
          </w:p>
        </w:tc>
        <w:tc>
          <w:tcPr>
            <w:tcW w:type="dxa" w:w="3456"/>
          </w:tcPr>
          <w:p>
            <w:pPr>
              <w:spacing w:line="276" w:lineRule="auto"/>
              <w:jc w:val="center"/>
            </w:pPr>
            <w:r/>
            <w:r>
              <w:rPr>
                <w:rFonts w:ascii="Times New Roman" w:hAnsi="Times New Roman"/>
                <w:sz w:val="20"/>
              </w:rPr>
              <w:t>IQR clipper collapsed all 16 pathology features to constant 0 (IQR=0)</w:t>
            </w:r>
          </w:p>
        </w:tc>
        <w:tc>
          <w:tcPr>
            <w:tcW w:type="dxa" w:w="3456"/>
          </w:tcPr>
          <w:p>
            <w:pPr>
              <w:spacing w:line="276" w:lineRule="auto"/>
              <w:jc w:val="center"/>
            </w:pPr>
            <w:r/>
            <w:r>
              <w:rPr>
                <w:rFonts w:ascii="Times New Roman" w:hAnsi="Times New Roman"/>
                <w:sz w:val="20"/>
              </w:rPr>
              <w:t>IQR clipper removed; raw pathology percentages + severity scores retained</w:t>
            </w:r>
          </w:p>
        </w:tc>
        <w:tc>
          <w:tcPr>
            <w:tcW w:type="dxa" w:w="1152"/>
          </w:tcPr>
          <w:p>
            <w:pPr>
              <w:spacing w:line="276" w:lineRule="auto"/>
              <w:jc w:val="center"/>
            </w:pPr>
            <w:r/>
            <w:r>
              <w:rPr>
                <w:rFonts w:ascii="Times New Roman" w:hAnsi="Times New Roman"/>
                <w:sz w:val="20"/>
              </w:rPr>
              <w:t>Critical</w:t>
            </w:r>
          </w:p>
        </w:tc>
      </w:tr>
      <w:tr>
        <w:tc>
          <w:tcPr>
            <w:tcW w:type="dxa" w:w="504"/>
          </w:tcPr>
          <w:p>
            <w:pPr>
              <w:spacing w:line="276" w:lineRule="auto"/>
              <w:jc w:val="center"/>
            </w:pPr>
            <w:r/>
            <w:r>
              <w:rPr>
                <w:rFonts w:ascii="Times New Roman" w:hAnsi="Times New Roman"/>
                <w:sz w:val="20"/>
              </w:rPr>
              <w:t>2</w:t>
            </w:r>
          </w:p>
        </w:tc>
        <w:tc>
          <w:tcPr>
            <w:tcW w:type="dxa" w:w="3456"/>
          </w:tcPr>
          <w:p>
            <w:pPr>
              <w:spacing w:line="276" w:lineRule="auto"/>
              <w:jc w:val="center"/>
            </w:pPr>
            <w:r/>
            <w:r>
              <w:rPr>
                <w:rFonts w:ascii="Times New Roman" w:hAnsi="Times New Roman"/>
                <w:sz w:val="20"/>
              </w:rPr>
              <w:t>Nested CV = 2×2 with 2 iterations (4 fits/fold; underpowered)</w:t>
            </w:r>
          </w:p>
        </w:tc>
        <w:tc>
          <w:tcPr>
            <w:tcW w:type="dxa" w:w="3456"/>
          </w:tcPr>
          <w:p>
            <w:pPr>
              <w:spacing w:line="276" w:lineRule="auto"/>
              <w:jc w:val="center"/>
            </w:pPr>
            <w:r/>
            <w:r>
              <w:rPr>
                <w:rFonts w:ascii="Times New Roman" w:hAnsi="Times New Roman"/>
                <w:sz w:val="20"/>
              </w:rPr>
              <w:t>5×5 nested CV with 50 iterations (250 fits/fold)</w:t>
            </w:r>
          </w:p>
        </w:tc>
        <w:tc>
          <w:tcPr>
            <w:tcW w:type="dxa" w:w="1152"/>
          </w:tcPr>
          <w:p>
            <w:pPr>
              <w:spacing w:line="276" w:lineRule="auto"/>
              <w:jc w:val="center"/>
            </w:pPr>
            <w:r/>
            <w:r>
              <w:rPr>
                <w:rFonts w:ascii="Times New Roman" w:hAnsi="Times New Roman"/>
                <w:sz w:val="20"/>
              </w:rPr>
              <w:t>Critical</w:t>
            </w:r>
          </w:p>
        </w:tc>
      </w:tr>
      <w:tr>
        <w:tc>
          <w:tcPr>
            <w:tcW w:type="dxa" w:w="504"/>
          </w:tcPr>
          <w:p>
            <w:pPr>
              <w:spacing w:line="276" w:lineRule="auto"/>
              <w:jc w:val="center"/>
            </w:pPr>
            <w:r/>
            <w:r>
              <w:rPr>
                <w:rFonts w:ascii="Times New Roman" w:hAnsi="Times New Roman"/>
                <w:sz w:val="20"/>
              </w:rPr>
              <w:t>3</w:t>
            </w:r>
          </w:p>
        </w:tc>
        <w:tc>
          <w:tcPr>
            <w:tcW w:type="dxa" w:w="3456"/>
          </w:tcPr>
          <w:p>
            <w:pPr>
              <w:spacing w:line="276" w:lineRule="auto"/>
              <w:jc w:val="center"/>
            </w:pPr>
            <w:r/>
            <w:r>
              <w:rPr>
                <w:rFonts w:ascii="Times New Roman" w:hAnsi="Times New Roman"/>
                <w:sz w:val="20"/>
              </w:rPr>
              <w:t>Representative params selected by argmax of outer-test AUC (data leakage)</w:t>
            </w:r>
          </w:p>
        </w:tc>
        <w:tc>
          <w:tcPr>
            <w:tcW w:type="dxa" w:w="3456"/>
          </w:tcPr>
          <w:p>
            <w:pPr>
              <w:spacing w:line="276" w:lineRule="auto"/>
              <w:jc w:val="center"/>
            </w:pPr>
            <w:r/>
            <w:r>
              <w:rPr>
                <w:rFonts w:ascii="Times New Roman" w:hAnsi="Times New Roman"/>
                <w:sz w:val="20"/>
              </w:rPr>
              <w:t>Selected by median of inner-CV best score across folds</w:t>
            </w:r>
          </w:p>
        </w:tc>
        <w:tc>
          <w:tcPr>
            <w:tcW w:type="dxa" w:w="1152"/>
          </w:tcPr>
          <w:p>
            <w:pPr>
              <w:spacing w:line="276" w:lineRule="auto"/>
              <w:jc w:val="center"/>
            </w:pPr>
            <w:r/>
            <w:r>
              <w:rPr>
                <w:rFonts w:ascii="Times New Roman" w:hAnsi="Times New Roman"/>
                <w:sz w:val="20"/>
              </w:rPr>
              <w:t>Critical</w:t>
            </w:r>
          </w:p>
        </w:tc>
      </w:tr>
      <w:tr>
        <w:tc>
          <w:tcPr>
            <w:tcW w:type="dxa" w:w="504"/>
          </w:tcPr>
          <w:p>
            <w:pPr>
              <w:spacing w:line="276" w:lineRule="auto"/>
              <w:jc w:val="center"/>
            </w:pPr>
            <w:r/>
            <w:r>
              <w:rPr>
                <w:rFonts w:ascii="Times New Roman" w:hAnsi="Times New Roman"/>
                <w:sz w:val="20"/>
              </w:rPr>
              <w:t>4</w:t>
            </w:r>
          </w:p>
        </w:tc>
        <w:tc>
          <w:tcPr>
            <w:tcW w:type="dxa" w:w="3456"/>
          </w:tcPr>
          <w:p>
            <w:pPr>
              <w:spacing w:line="276" w:lineRule="auto"/>
              <w:jc w:val="center"/>
            </w:pPr>
            <w:r/>
            <w:r>
              <w:rPr>
                <w:rFonts w:ascii="Times New Roman" w:hAnsi="Times New Roman"/>
                <w:sz w:val="20"/>
              </w:rPr>
              <w:t>Height &amp; Weight included alongside BMI (collinearity)</w:t>
            </w:r>
          </w:p>
        </w:tc>
        <w:tc>
          <w:tcPr>
            <w:tcW w:type="dxa" w:w="3456"/>
          </w:tcPr>
          <w:p>
            <w:pPr>
              <w:spacing w:line="276" w:lineRule="auto"/>
              <w:jc w:val="center"/>
            </w:pPr>
            <w:r/>
            <w:r>
              <w:rPr>
                <w:rFonts w:ascii="Times New Roman" w:hAnsi="Times New Roman"/>
                <w:sz w:val="20"/>
              </w:rPr>
              <w:t>Height &amp; Weight dropped; BMI retained</w:t>
            </w:r>
          </w:p>
        </w:tc>
        <w:tc>
          <w:tcPr>
            <w:tcW w:type="dxa" w:w="1152"/>
          </w:tcPr>
          <w:p>
            <w:pPr>
              <w:spacing w:line="276" w:lineRule="auto"/>
              <w:jc w:val="center"/>
            </w:pPr>
            <w:r/>
            <w:r>
              <w:rPr>
                <w:rFonts w:ascii="Times New Roman" w:hAnsi="Times New Roman"/>
                <w:sz w:val="20"/>
              </w:rPr>
              <w:t>High</w:t>
            </w:r>
          </w:p>
        </w:tc>
      </w:tr>
      <w:tr>
        <w:tc>
          <w:tcPr>
            <w:tcW w:type="dxa" w:w="504"/>
          </w:tcPr>
          <w:p>
            <w:pPr>
              <w:spacing w:line="276" w:lineRule="auto"/>
              <w:jc w:val="center"/>
            </w:pPr>
            <w:r/>
            <w:r>
              <w:rPr>
                <w:rFonts w:ascii="Times New Roman" w:hAnsi="Times New Roman"/>
                <w:sz w:val="20"/>
              </w:rPr>
              <w:t>5</w:t>
            </w:r>
          </w:p>
        </w:tc>
        <w:tc>
          <w:tcPr>
            <w:tcW w:type="dxa" w:w="3456"/>
          </w:tcPr>
          <w:p>
            <w:pPr>
              <w:spacing w:line="276" w:lineRule="auto"/>
              <w:jc w:val="center"/>
            </w:pPr>
            <w:r/>
            <w:r>
              <w:rPr>
                <w:rFonts w:ascii="Times New Roman" w:hAnsi="Times New Roman"/>
                <w:sz w:val="20"/>
              </w:rPr>
              <w:t>Hormone columns not coerced to numeric before pipeline</w:t>
            </w:r>
          </w:p>
        </w:tc>
        <w:tc>
          <w:tcPr>
            <w:tcW w:type="dxa" w:w="3456"/>
          </w:tcPr>
          <w:p>
            <w:pPr>
              <w:spacing w:line="276" w:lineRule="auto"/>
              <w:jc w:val="center"/>
            </w:pPr>
            <w:r/>
            <w:r>
              <w:rPr>
                <w:rFonts w:ascii="Times New Roman" w:hAnsi="Times New Roman"/>
                <w:sz w:val="20"/>
              </w:rPr>
              <w:t>pd.to_numeric(errors=“coerce”) applied immediately after loading</w:t>
            </w:r>
          </w:p>
        </w:tc>
        <w:tc>
          <w:tcPr>
            <w:tcW w:type="dxa" w:w="1152"/>
          </w:tcPr>
          <w:p>
            <w:pPr>
              <w:spacing w:line="276" w:lineRule="auto"/>
              <w:jc w:val="center"/>
            </w:pPr>
            <w:r/>
            <w:r>
              <w:rPr>
                <w:rFonts w:ascii="Times New Roman" w:hAnsi="Times New Roman"/>
                <w:sz w:val="20"/>
              </w:rPr>
              <w:t>High</w:t>
            </w:r>
          </w:p>
        </w:tc>
      </w:tr>
      <w:tr>
        <w:tc>
          <w:tcPr>
            <w:tcW w:type="dxa" w:w="504"/>
          </w:tcPr>
          <w:p>
            <w:pPr>
              <w:spacing w:line="276" w:lineRule="auto"/>
              <w:jc w:val="center"/>
            </w:pPr>
            <w:r/>
            <w:r>
              <w:rPr>
                <w:rFonts w:ascii="Times New Roman" w:hAnsi="Times New Roman"/>
                <w:sz w:val="20"/>
              </w:rPr>
              <w:t>6</w:t>
            </w:r>
          </w:p>
        </w:tc>
        <w:tc>
          <w:tcPr>
            <w:tcW w:type="dxa" w:w="3456"/>
          </w:tcPr>
          <w:p>
            <w:pPr>
              <w:spacing w:line="276" w:lineRule="auto"/>
              <w:jc w:val="center"/>
            </w:pPr>
            <w:r/>
            <w:r>
              <w:rPr>
                <w:rFonts w:ascii="Times New Roman" w:hAnsi="Times New Roman"/>
                <w:sz w:val="20"/>
              </w:rPr>
              <w:t>Preprocessing: KNNImputer → IQR clipper → StandardScaler</w:t>
            </w:r>
          </w:p>
        </w:tc>
        <w:tc>
          <w:tcPr>
            <w:tcW w:type="dxa" w:w="3456"/>
          </w:tcPr>
          <w:p>
            <w:pPr>
              <w:spacing w:line="276" w:lineRule="auto"/>
              <w:jc w:val="center"/>
            </w:pPr>
            <w:r/>
            <w:r>
              <w:rPr>
                <w:rFonts w:ascii="Times New Roman" w:hAnsi="Times New Roman"/>
                <w:sz w:val="20"/>
              </w:rPr>
              <w:t>StandardScaler → KNNImputer (no IQR clipper)</w:t>
            </w:r>
          </w:p>
        </w:tc>
        <w:tc>
          <w:tcPr>
            <w:tcW w:type="dxa" w:w="1152"/>
          </w:tcPr>
          <w:p>
            <w:pPr>
              <w:spacing w:line="276" w:lineRule="auto"/>
              <w:jc w:val="center"/>
            </w:pPr>
            <w:r/>
            <w:r>
              <w:rPr>
                <w:rFonts w:ascii="Times New Roman" w:hAnsi="Times New Roman"/>
                <w:sz w:val="20"/>
              </w:rPr>
              <w:t>High</w:t>
            </w:r>
          </w:p>
        </w:tc>
      </w:tr>
      <w:tr>
        <w:tc>
          <w:tcPr>
            <w:tcW w:type="dxa" w:w="504"/>
          </w:tcPr>
          <w:p>
            <w:pPr>
              <w:spacing w:line="276" w:lineRule="auto"/>
              <w:jc w:val="center"/>
            </w:pPr>
            <w:r/>
            <w:r>
              <w:rPr>
                <w:rFonts w:ascii="Times New Roman" w:hAnsi="Times New Roman"/>
                <w:sz w:val="20"/>
              </w:rPr>
              <w:t>7</w:t>
            </w:r>
          </w:p>
        </w:tc>
        <w:tc>
          <w:tcPr>
            <w:tcW w:type="dxa" w:w="3456"/>
          </w:tcPr>
          <w:p>
            <w:pPr>
              <w:spacing w:line="276" w:lineRule="auto"/>
              <w:jc w:val="center"/>
            </w:pPr>
            <w:r/>
            <w:r>
              <w:rPr>
                <w:rFonts w:ascii="Times New Roman" w:hAnsi="Times New Roman"/>
                <w:sz w:val="20"/>
              </w:rPr>
              <w:t>Hard-coded decision threshold of 0.5</w:t>
            </w:r>
          </w:p>
        </w:tc>
        <w:tc>
          <w:tcPr>
            <w:tcW w:type="dxa" w:w="3456"/>
          </w:tcPr>
          <w:p>
            <w:pPr>
              <w:spacing w:line="276" w:lineRule="auto"/>
              <w:jc w:val="center"/>
            </w:pPr>
            <w:r/>
            <w:r>
              <w:rPr>
                <w:rFonts w:ascii="Times New Roman" w:hAnsi="Times New Roman"/>
                <w:sz w:val="20"/>
              </w:rPr>
              <w:t>Youden’s J on inner-CV out-of-fold predictions</w:t>
            </w:r>
          </w:p>
        </w:tc>
        <w:tc>
          <w:tcPr>
            <w:tcW w:type="dxa" w:w="1152"/>
          </w:tcPr>
          <w:p>
            <w:pPr>
              <w:spacing w:line="276" w:lineRule="auto"/>
              <w:jc w:val="center"/>
            </w:pPr>
            <w:r/>
            <w:r>
              <w:rPr>
                <w:rFonts w:ascii="Times New Roman" w:hAnsi="Times New Roman"/>
                <w:sz w:val="20"/>
              </w:rPr>
              <w:t>High</w:t>
            </w:r>
          </w:p>
        </w:tc>
      </w:tr>
      <w:tr>
        <w:tc>
          <w:tcPr>
            <w:tcW w:type="dxa" w:w="504"/>
          </w:tcPr>
          <w:p>
            <w:pPr>
              <w:spacing w:line="276" w:lineRule="auto"/>
              <w:jc w:val="center"/>
            </w:pPr>
            <w:r/>
            <w:r>
              <w:rPr>
                <w:rFonts w:ascii="Times New Roman" w:hAnsi="Times New Roman"/>
                <w:sz w:val="20"/>
              </w:rPr>
              <w:t>8</w:t>
            </w:r>
          </w:p>
        </w:tc>
        <w:tc>
          <w:tcPr>
            <w:tcW w:type="dxa" w:w="3456"/>
          </w:tcPr>
          <w:p>
            <w:pPr>
              <w:spacing w:line="276" w:lineRule="auto"/>
              <w:jc w:val="center"/>
            </w:pPr>
            <w:r/>
            <w:r>
              <w:rPr>
                <w:rFonts w:ascii="Times New Roman" w:hAnsi="Times New Roman"/>
                <w:sz w:val="20"/>
              </w:rPr>
              <w:t>Fairness analysis on resubstitution predictions</w:t>
            </w:r>
          </w:p>
        </w:tc>
        <w:tc>
          <w:tcPr>
            <w:tcW w:type="dxa" w:w="3456"/>
          </w:tcPr>
          <w:p>
            <w:pPr>
              <w:spacing w:line="276" w:lineRule="auto"/>
              <w:jc w:val="center"/>
            </w:pPr>
            <w:r/>
            <w:r>
              <w:rPr>
                <w:rFonts w:ascii="Times New Roman" w:hAnsi="Times New Roman"/>
                <w:sz w:val="20"/>
              </w:rPr>
              <w:t>Fairness computed on out-of-fold predictions only</w:t>
            </w:r>
          </w:p>
        </w:tc>
        <w:tc>
          <w:tcPr>
            <w:tcW w:type="dxa" w:w="1152"/>
          </w:tcPr>
          <w:p>
            <w:pPr>
              <w:spacing w:line="276" w:lineRule="auto"/>
              <w:jc w:val="center"/>
            </w:pPr>
            <w:r/>
            <w:r>
              <w:rPr>
                <w:rFonts w:ascii="Times New Roman" w:hAnsi="Times New Roman"/>
                <w:sz w:val="20"/>
              </w:rPr>
              <w:t>High</w:t>
            </w:r>
          </w:p>
        </w:tc>
      </w:tr>
      <w:tr>
        <w:tc>
          <w:tcPr>
            <w:tcW w:type="dxa" w:w="504"/>
          </w:tcPr>
          <w:p>
            <w:pPr>
              <w:spacing w:line="276" w:lineRule="auto"/>
              <w:jc w:val="center"/>
            </w:pPr>
            <w:r/>
            <w:r>
              <w:rPr>
                <w:rFonts w:ascii="Times New Roman" w:hAnsi="Times New Roman"/>
                <w:sz w:val="20"/>
              </w:rPr>
              <w:t>9</w:t>
            </w:r>
          </w:p>
        </w:tc>
        <w:tc>
          <w:tcPr>
            <w:tcW w:type="dxa" w:w="3456"/>
          </w:tcPr>
          <w:p>
            <w:pPr>
              <w:spacing w:line="276" w:lineRule="auto"/>
              <w:jc w:val="center"/>
            </w:pPr>
            <w:r/>
            <w:r>
              <w:rPr>
                <w:rFonts w:ascii="Times New Roman" w:hAnsi="Times New Roman"/>
                <w:sz w:val="20"/>
              </w:rPr>
              <w:t>Race included as model feature</w:t>
            </w:r>
          </w:p>
        </w:tc>
        <w:tc>
          <w:tcPr>
            <w:tcW w:type="dxa" w:w="3456"/>
          </w:tcPr>
          <w:p>
            <w:pPr>
              <w:spacing w:line="276" w:lineRule="auto"/>
              <w:jc w:val="center"/>
            </w:pPr>
            <w:r/>
            <w:r>
              <w:rPr>
                <w:rFonts w:ascii="Times New Roman" w:hAnsi="Times New Roman"/>
                <w:sz w:val="20"/>
              </w:rPr>
              <w:t>Race excluded; used only as protected attribute for fairness</w:t>
            </w:r>
          </w:p>
        </w:tc>
        <w:tc>
          <w:tcPr>
            <w:tcW w:type="dxa" w:w="1152"/>
          </w:tcPr>
          <w:p>
            <w:pPr>
              <w:spacing w:line="276" w:lineRule="auto"/>
              <w:jc w:val="center"/>
            </w:pPr>
            <w:r/>
            <w:r>
              <w:rPr>
                <w:rFonts w:ascii="Times New Roman" w:hAnsi="Times New Roman"/>
                <w:sz w:val="20"/>
              </w:rPr>
              <w:t>High</w:t>
            </w:r>
          </w:p>
        </w:tc>
      </w:tr>
    </w:tbl>
    <w:p>
      <w:pPr/>
      <w:r>
        <w:rPr>
          <w:rFonts w:ascii="Times New Roman" w:hAnsi="Times New Roman"/>
          <w:b w:val="0"/>
          <w:i w:val="0"/>
        </w:rPr>
      </w:r>
    </w:p>
    <w:p>
      <w:pPr/>
      <w:r>
        <w:rPr>
          <w:rFonts w:ascii="Times New Roman" w:hAnsi="Times New Roman"/>
          <w:b w:val="0"/>
          <w:i w:val="0"/>
        </w:rPr>
        <w:t>The correction of these bugs resulted in a substantial improvement in model performance (v1 best AUC: 0.7327 with LightGBM versus v2 best AUC: 0.8306 with CatBoost, ΔAUC = +0.098). Most critically, the removal of the IQR clipper restored all 16 pathology percentage features, which had been collapsed to constant zero in v1. In the corrected pipeline, 17 of the top 25 SHAP features were pathology-derived, with the top feature (right testicular severe hypospermatogenesis percentage) achieving a mean |SHAP| of 0.3958—compared to 0.0000 for all pathology features in v1.</w:t>
      </w:r>
    </w:p>
    <w:p>
      <w:pPr>
        <w:pStyle w:val="Heading2"/>
      </w:pPr>
      <w:r>
        <w:t>CDSS Prototype</w:t>
      </w:r>
    </w:p>
    <w:p>
      <w:pPr/>
      <w:r>
        <w:rPr>
          <w:rFonts w:ascii="Times New Roman" w:hAnsi="Times New Roman"/>
          <w:b w:val="0"/>
          <w:i w:val="0"/>
        </w:rPr>
        <w:t>A functional CDSS prototype was developed as a stateless web-based application built with PHP 8.0 and Bootstrap 5.3. The system accepts 12 core clinical input fields including demographic variables (age), hormonal parameters (FSH, LH, testosterone, estradiol, prolactin), testicular volumes (bilateral), genetic status (Klinefelter syndrome), semen parameters (seminal plasma pH), and structured bilateral pathology indicators. The interface provides color-coded reference range validation (red for under-range, teal for within-range, orange for over-range), real-time risk scoring, and SHAP-based individual patient explanations to support clinical counseling and shared decision-making.</w:t>
      </w:r>
    </w:p>
    <w:p>
      <w:r>
        <w:br w:type="page"/>
      </w:r>
    </w:p>
    <w:p>
      <w:pPr>
        <w:pStyle w:val="Heading1"/>
      </w:pPr>
      <w:r>
        <w:t>Discussion</w:t>
      </w:r>
    </w:p>
    <w:p>
      <w:pPr/>
      <w:r>
        <w:rPr>
          <w:rFonts w:ascii="Times New Roman" w:hAnsi="Times New Roman"/>
          <w:b w:val="0"/>
          <w:i w:val="0"/>
        </w:rPr>
        <w:t>In this study, we developed and internally validated an explainable CDSS for predicting micro-TESE outcomes in NOA using the largest ML-focused cohort reported to date (n=2,413). The CatBoost model achieved an AUC of 0.8306 (95% CI: 0.8130–0.8462) with robust performance across five outer cross-validation folds. SHAP analysis identified histopathology-derived features as the dominant predictors, with 17 of the top 25 features being pathology-related. A novel multi-agent verification pipeline identified and corrected 9 critical methodological bugs, improving the AUC from 0.7327 to 0.8306 and ensuring computational reproducibility to ≥4 decimal places.</w:t>
      </w:r>
    </w:p>
    <w:p>
      <w:pPr/>
      <w:r>
        <w:rPr>
          <w:rFonts w:ascii="Times New Roman" w:hAnsi="Times New Roman"/>
          <w:b w:val="0"/>
          <w:i w:val="0"/>
        </w:rPr>
        <w:t>Our findings align with and extend the existing literature on ML-based prediction of micro-TESE outcomes. Zeadna et al [13] reported an AUC of 0.807 using gradient-boosted trees in 119 patients undergoing conventional TESE, while Bachelot et al [14] achieved an AUC of 0.900 using Random Forest in 201 patients but with a very small prospective test set (n=26). Kobayashi et al [15] reported an AUC of 0.725 using AutoML ensemble approaches in 430 patients with 20 external test cases. Liu et al [16] reported an AUC of 0.781 using integrative logistic regression in 217 patients. Our study advances beyond these works in several dimensions: a substantially larger cohort enabling more stable cross-validated estimates, rigorous 5×5 nested cross-validation with optimized decision thresholds, integrated explainability through SHAP, comprehensive calibration and decision curve analyses, and systematic multi-agent code-level verification.</w:t>
      </w:r>
    </w:p>
    <w:p>
      <w:pPr/>
      <w:r>
        <w:rPr>
          <w:rFonts w:ascii="Times New Roman" w:hAnsi="Times New Roman"/>
          <w:b w:val="0"/>
          <w:i w:val="0"/>
        </w:rPr>
        <w:t>The dominance of histopathology features in our SHAP analysis has important clinical implications. The finding that right testicular severe hypospermatogenesis percentage was the most influential predictor (mean |SHAP| = 0.3958) is consistent with the clinical understanding that hypospermatogenesis represents a pattern of impaired but active spermatogenesis, offering higher chances of sperm retrieval compared to SCO or maturation arrest [35,36]. The strong influence of bilateral pathology patterns (17 of top 25 features) supports the recommendation for bilateral testicular biopsy as part of the diagnostic workup before micro-TESE, and highlights the value of structured pathology reporting over free-text descriptions [37].</w:t>
      </w:r>
    </w:p>
    <w:p>
      <w:pPr/>
      <w:r>
        <w:rPr>
          <w:rFonts w:ascii="Times New Roman" w:hAnsi="Times New Roman"/>
          <w:b w:val="0"/>
          <w:i w:val="0"/>
        </w:rPr>
        <w:t>The multi-agent verification pipeline represents a novel contribution to the quality assurance of clinical ML research. The identification of 9 bugs, including critical issues such as data leakage in hyperparameter selection, feature collapse from IQR clipping, and improper preprocessing order, demonstrates the limitations of traditional manual code review in detecting subtle but impactful methodological errors [22,24]. The resulting AUC improvement of 0.098 (from 0.7327 to 0.8306) illustrates how uncorrected bugs can lead to both underestimation and mischaracterization of true model performance. The achievement of exact reproducibility (Δ = 0.0000 on all metrics) provides strong evidence of computational integrity and sets a standard for transparency in clinical ML studies.</w:t>
      </w:r>
    </w:p>
    <w:p>
      <w:pPr/>
      <w:r>
        <w:rPr>
          <w:rFonts w:ascii="Times New Roman" w:hAnsi="Times New Roman"/>
          <w:b w:val="0"/>
          <w:i w:val="0"/>
        </w:rPr>
        <w:t>The decision curve analysis demonstrated clinical utility across a broad range of threshold probabilities (0.05–0.60), supporting the model’s potential application in clinical decision-making. At the Youden-optimized threshold of approximately 0.47, the model can identify patients with a lower likelihood of sperm retrieval, enabling more informed counseling about the expected benefits and risks of micro-TESE [31]. The CDSS prototype, with its SHAP-based individual explanations and color-coded reference ranges, is designed to facilitate shared decision-making between clinicians and patients in the reproductive medicine setting [38].</w:t>
      </w:r>
    </w:p>
    <w:p>
      <w:pPr/>
      <w:r>
        <w:rPr>
          <w:rFonts w:ascii="Times New Roman" w:hAnsi="Times New Roman"/>
          <w:b w:val="0"/>
          <w:i w:val="0"/>
        </w:rPr>
        <w:t>This study has several strengths. First, the cohort of 2,413 patients is, to our knowledge, the largest ML-focused NOA micro-TESE cohort in the peer-reviewed literature. Second, the use of 5×5 nested cross-validation with 50-iteration hyperparameter search provides robust and unbiased performance estimates [27]. Third, the multi-agent verification pipeline introduces a reproducible framework for code-level quality assurance in clinical ML. Fourth, the integrated reporting of SHAP explainability, calibration, DCA, and fairness analysis within a TRIPOD+AI–compliant framework represents a comprehensive approach to responsible clinical ML development [20,33].</w:t>
      </w:r>
    </w:p>
    <w:p>
      <w:pPr/>
      <w:r>
        <w:rPr>
          <w:rFonts w:ascii="Times New Roman" w:hAnsi="Times New Roman"/>
          <w:b w:val="0"/>
          <w:i w:val="0"/>
        </w:rPr>
        <w:t>Several limitations must be acknowledged. First, this is a single-center retrospective study from Royan Institute, and external validation in independent populations is essential before clinical deployment [39]. Second, temporal validation was not feasible as the dataset lacked date/time variables, limiting assessment of model stability over time. Third, several clinical features exhibited substantial missingness (up to 83% for some testicular volume measurements), which was addressed through KNN imputation but may introduce residual bias. Fourth, SMOTE-augmented training introduces systematic overestimation of predicted probabilities in the low- and mid-range, as evidenced by our calibration analysis; post-hoc probability recalibration (e.g., Platt scaling or isotonic regression) is recommended before deployment of raw probability outputs [30]. Fifth, the SHAP analysis was computed on a full-dataset refit, describing training-set feature behavior rather than held-out importance; per-fold SHAP averaging is preferable for future studies [40]. Finally, the multi-agent verification, while comprehensive, was conducted by agents designed and trained by the research team rather than fully independent external auditors.</w:t>
      </w:r>
    </w:p>
    <w:p>
      <w:pPr/>
      <w:r>
        <w:rPr>
          <w:rFonts w:ascii="Times New Roman" w:hAnsi="Times New Roman"/>
          <w:b w:val="0"/>
          <w:i w:val="0"/>
        </w:rPr>
        <w:t>Future directions include prospective multi-center validation, integration of the CDSS into electronic health record systems, temporal validation as additional data become available, post-hoc probability calibration for improved clinical probability estimation, and extension of the multi-agent verification framework to other clinical ML applications [41,42].</w:t>
      </w:r>
    </w:p>
    <w:p>
      <w:r>
        <w:br w:type="page"/>
      </w:r>
    </w:p>
    <w:p>
      <w:pPr>
        <w:pStyle w:val="Heading1"/>
      </w:pPr>
      <w:r>
        <w:t>Conclusion</w:t>
      </w:r>
    </w:p>
    <w:p>
      <w:pPr/>
      <w:r>
        <w:rPr>
          <w:rFonts w:ascii="Times New Roman" w:hAnsi="Times New Roman"/>
          <w:b w:val="0"/>
          <w:i w:val="0"/>
        </w:rPr>
        <w:t>We developed and internally validated an explainable CDSS for predicting micro-TESE outcomes in NOA using a cohort of 2,413 patients, the largest ML-focused NOA cohort reported to date. CatBoost achieved the best discriminative performance (AUC: 0.8306; 95% CI: 0.8130–0.8462), with histopathology features dominating the predictive landscape (17 of top 25 SHAP features). A novel multi-agent verification pipeline identified 9 critical bugs, improved the AUC by 0.098, and achieved exact computational reproducibility. The integrated CDSS prototype with SHAP-based individual patient explanations, calibration assessment, and decision curve analysis demonstrates clinical utility across a broad range of threshold probabilities. External multi-center validation and prospective studies are warranted before clinical deployment.</w:t>
      </w:r>
    </w:p>
    <w:p>
      <w:r>
        <w:br w:type="page"/>
      </w:r>
    </w:p>
    <w:p>
      <w:pPr>
        <w:pStyle w:val="Heading1"/>
      </w:pPr>
      <w:r>
        <w:t>Declarations</w:t>
      </w:r>
    </w:p>
    <w:p>
      <w:pPr>
        <w:pStyle w:val="Heading2"/>
      </w:pPr>
      <w:r>
        <w:t>Ethics Approval and Consent to Participate</w:t>
      </w:r>
    </w:p>
    <w:p>
      <w:pPr/>
      <w:r>
        <w:rPr>
          <w:rFonts w:ascii="Times New Roman" w:hAnsi="Times New Roman"/>
          <w:b w:val="0"/>
          <w:i w:val="0"/>
        </w:rPr>
        <w:t>This study was approved by the Ethics Committee of Mashhad University of Medical Sciences (IR.MUMS.REC.XXXX.XXX). Informed consent was waived due to the retrospective, de-identified nature of the data.</w:t>
      </w:r>
    </w:p>
    <w:p>
      <w:pPr>
        <w:pStyle w:val="Heading2"/>
      </w:pPr>
      <w:r>
        <w:t>Conflicts of Interest</w:t>
      </w:r>
    </w:p>
    <w:p>
      <w:pPr/>
      <w:r>
        <w:rPr>
          <w:rFonts w:ascii="Times New Roman" w:hAnsi="Times New Roman"/>
          <w:b w:val="0"/>
          <w:i w:val="0"/>
        </w:rPr>
        <w:t>The authors declare no conflicts of interest.</w:t>
      </w:r>
    </w:p>
    <w:p>
      <w:pPr>
        <w:pStyle w:val="Heading2"/>
      </w:pPr>
      <w:r>
        <w:t>Funding</w:t>
      </w:r>
    </w:p>
    <w:p>
      <w:pPr/>
      <w:r>
        <w:rPr>
          <w:rFonts w:ascii="Times New Roman" w:hAnsi="Times New Roman"/>
          <w:b w:val="0"/>
          <w:i w:val="0"/>
        </w:rPr>
        <w:t>This research received no specific external funding.</w:t>
      </w:r>
    </w:p>
    <w:p>
      <w:pPr>
        <w:pStyle w:val="Heading2"/>
      </w:pPr>
      <w:r>
        <w:t>Data Availability</w:t>
      </w:r>
    </w:p>
    <w:p>
      <w:pPr/>
      <w:r>
        <w:rPr>
          <w:rFonts w:ascii="Times New Roman" w:hAnsi="Times New Roman"/>
          <w:b w:val="0"/>
          <w:i w:val="0"/>
        </w:rPr>
        <w:t>The dataset analyzed during the current study is available from the corresponding author upon reasonable request, subject to institutional data sharing agreements.</w:t>
      </w:r>
    </w:p>
    <w:p>
      <w:pPr>
        <w:pStyle w:val="Heading2"/>
      </w:pPr>
      <w:r>
        <w:t>Author Contributions</w:t>
      </w:r>
    </w:p>
    <w:p>
      <w:pPr/>
      <w:r>
        <w:rPr>
          <w:rFonts w:ascii="Times New Roman" w:hAnsi="Times New Roman"/>
          <w:b w:val="0"/>
          <w:i w:val="0"/>
        </w:rPr>
        <w:t>HJR conceived and designed the study, developed the ML pipeline and multi-agent verification system, performed the data analysis, developed the CDSS prototype, and drafted the manuscript. MS provided the clinical data, contributed to the interpretation of histopathology findings, and critically reviewed the manuscript. HVA supervised the study, contributed to the medical informatics methodology, and critically reviewed the manuscript. All authors read and approved the final manuscript.</w:t>
      </w:r>
    </w:p>
    <w:p>
      <w:r>
        <w:br w:type="page"/>
      </w:r>
    </w:p>
    <w:p>
      <w:pPr>
        <w:pStyle w:val="Heading1"/>
      </w:pPr>
      <w:r>
        <w:t>References</w:t>
      </w:r>
    </w:p>
    <w:p>
      <w:pPr>
        <w:spacing w:line="480" w:lineRule="auto"/>
      </w:pPr>
      <w:r>
        <w:rPr>
          <w:rFonts w:ascii="Times New Roman" w:hAnsi="Times New Roman"/>
          <w:sz w:val="22"/>
        </w:rPr>
        <w:t>[1] Agarwal A, Mulgund A, Hamada A, Chyatte MR. A unique view on male infertility around the globe. Reprod Biol Endocrinol. 2015;13:37.</w:t>
      </w:r>
    </w:p>
    <w:p>
      <w:pPr>
        <w:spacing w:line="480" w:lineRule="auto"/>
      </w:pPr>
      <w:r>
        <w:rPr>
          <w:rFonts w:ascii="Times New Roman" w:hAnsi="Times New Roman"/>
          <w:sz w:val="22"/>
        </w:rPr>
        <w:t>[2] Jarow JP, Espeland MA, Lipshultz LI. Evaluation of the azoospermic patient. J Urol. 1989;142(1):62-65.</w:t>
      </w:r>
    </w:p>
    <w:p>
      <w:pPr>
        <w:spacing w:line="480" w:lineRule="auto"/>
      </w:pPr>
      <w:r>
        <w:rPr>
          <w:rFonts w:ascii="Times New Roman" w:hAnsi="Times New Roman"/>
          <w:sz w:val="22"/>
        </w:rPr>
        <w:t>[3] Wosnitzer M, Goldstein M, Hardy MP. Review of azoospermia. Spermatogenesis. 2014;4(1):e28218.</w:t>
      </w:r>
    </w:p>
    <w:p>
      <w:pPr>
        <w:spacing w:line="480" w:lineRule="auto"/>
      </w:pPr>
      <w:r>
        <w:rPr>
          <w:rFonts w:ascii="Times New Roman" w:hAnsi="Times New Roman"/>
          <w:sz w:val="22"/>
        </w:rPr>
        <w:t>[4] Schlegel PN. Testicular sperm extraction: microdissection improves sperm yield with minimal tissue excision. Hum Reprod. 1999;14(1):131-135.</w:t>
      </w:r>
    </w:p>
    <w:p>
      <w:pPr>
        <w:spacing w:line="480" w:lineRule="auto"/>
      </w:pPr>
      <w:r>
        <w:rPr>
          <w:rFonts w:ascii="Times New Roman" w:hAnsi="Times New Roman"/>
          <w:sz w:val="22"/>
        </w:rPr>
        <w:t>[5] Bernie AM, Mata DA, Ramasamy R, Schlegel PN. Comparison of microdissection testicular sperm extraction, conventional testicular sperm extraction, and testicular sperm aspiration for nonobstructive azoospermia: a systematic review and meta-analysis. Fertil Steril. 2015;104(5):1099-1103.</w:t>
      </w:r>
    </w:p>
    <w:p>
      <w:pPr>
        <w:spacing w:line="480" w:lineRule="auto"/>
      </w:pPr>
      <w:r>
        <w:rPr>
          <w:rFonts w:ascii="Times New Roman" w:hAnsi="Times New Roman"/>
          <w:sz w:val="22"/>
        </w:rPr>
        <w:t>[6] Esteves SC, Ramasamy R, Agarwal A. Sperm retrieval techniques for assisted reproduction. In: Parekattil SJ, Agarwal A, editors. Male Infertility. New York: Springer; 2012. p. 191-216.</w:t>
      </w:r>
    </w:p>
    <w:p>
      <w:pPr>
        <w:spacing w:line="480" w:lineRule="auto"/>
      </w:pPr>
      <w:r>
        <w:rPr>
          <w:rFonts w:ascii="Times New Roman" w:hAnsi="Times New Roman"/>
          <w:sz w:val="22"/>
        </w:rPr>
        <w:t>[7] Ramasamy R, Lin K, Gosden LV, Rosenwaks Z, Palermo GD, Schlegel PN. High serum FSH levels in men with nonobstructive azoospermia does not affect success of microdissection testicular sperm extraction. Fertil Steril. 2009;92(2):590-593.</w:t>
      </w:r>
    </w:p>
    <w:p>
      <w:pPr>
        <w:spacing w:line="480" w:lineRule="auto"/>
      </w:pPr>
      <w:r>
        <w:rPr>
          <w:rFonts w:ascii="Times New Roman" w:hAnsi="Times New Roman"/>
          <w:sz w:val="22"/>
        </w:rPr>
        <w:t>[8] Hung AJ, King P, Schlegel PN. Uniform testicular maturation arrest: a unique subset of men with nonobstructive azoospermia. J Urol. 2007;178(2):608-612.</w:t>
      </w:r>
    </w:p>
    <w:p>
      <w:pPr>
        <w:spacing w:line="480" w:lineRule="auto"/>
      </w:pPr>
      <w:r>
        <w:rPr>
          <w:rFonts w:ascii="Times New Roman" w:hAnsi="Times New Roman"/>
          <w:sz w:val="22"/>
        </w:rPr>
        <w:t>[9] Dabaja AA, Schlegel PN. Microdissection testicular sperm extraction: an update. Asian J Androl. 2013;15(1):35-39.</w:t>
      </w:r>
    </w:p>
    <w:p>
      <w:pPr>
        <w:spacing w:line="480" w:lineRule="auto"/>
      </w:pPr>
      <w:r>
        <w:rPr>
          <w:rFonts w:ascii="Times New Roman" w:hAnsi="Times New Roman"/>
          <w:sz w:val="22"/>
        </w:rPr>
        <w:t>[10] Ramasamy R, Yagan N, Schlegel PN. Structural and functional changes to the testis after conventional versus microdissection testicular sperm extraction. Urology. 2005;65(6):1190-1194.</w:t>
      </w:r>
    </w:p>
    <w:p>
      <w:pPr>
        <w:spacing w:line="480" w:lineRule="auto"/>
      </w:pPr>
      <w:r>
        <w:rPr>
          <w:rFonts w:ascii="Times New Roman" w:hAnsi="Times New Roman"/>
          <w:sz w:val="22"/>
        </w:rPr>
        <w:t>[11] Rajkomar A, Dean J, Kohane I. Machine learning in medicine. N Engl J Med. 2019;380(14):1347-1358.</w:t>
      </w:r>
    </w:p>
    <w:p>
      <w:pPr>
        <w:spacing w:line="480" w:lineRule="auto"/>
      </w:pPr>
      <w:r>
        <w:rPr>
          <w:rFonts w:ascii="Times New Roman" w:hAnsi="Times New Roman"/>
          <w:sz w:val="22"/>
        </w:rPr>
        <w:t>[12] Sidey-Gibbons JAM, Sidey-Gibbons CJ. Machine learning in medicine: a practical introduction. BMC Med Res Methodol. 2019;19(1):64.</w:t>
      </w:r>
    </w:p>
    <w:p>
      <w:pPr>
        <w:spacing w:line="480" w:lineRule="auto"/>
      </w:pPr>
      <w:r>
        <w:rPr>
          <w:rFonts w:ascii="Times New Roman" w:hAnsi="Times New Roman"/>
          <w:sz w:val="22"/>
        </w:rPr>
        <w:t>[13] Zeadna A, Khateeb N, Rokach L, et al. Prediction of sperm extraction in non-obstructive azoospermia patients: a machine-learning perspective. Hum Reprod. 2020;35(7):1505-1514.</w:t>
      </w:r>
    </w:p>
    <w:p>
      <w:pPr>
        <w:spacing w:line="480" w:lineRule="auto"/>
      </w:pPr>
      <w:r>
        <w:rPr>
          <w:rFonts w:ascii="Times New Roman" w:hAnsi="Times New Roman"/>
          <w:sz w:val="22"/>
        </w:rPr>
        <w:t>[14] Bachelot G, Dhombres F, Enguehard-Gueiffier C, et al. Machine learning prediction of surgical sperm retrieval outcome in non-obstructive azoospermia. J Clin Med. 2023;12(5):1975.</w:t>
      </w:r>
    </w:p>
    <w:p>
      <w:pPr>
        <w:spacing w:line="480" w:lineRule="auto"/>
      </w:pPr>
      <w:r>
        <w:rPr>
          <w:rFonts w:ascii="Times New Roman" w:hAnsi="Times New Roman"/>
          <w:sz w:val="22"/>
        </w:rPr>
        <w:t>[15] Kobayashi H, Hirata J, Kawaguchi S, et al. Prediction of sperm retrieval in men with non-obstructive azoospermia using artificial intelligence. Reprod Med Biol. 2023;22(1):e12529.</w:t>
      </w:r>
    </w:p>
    <w:p>
      <w:pPr>
        <w:spacing w:line="480" w:lineRule="auto"/>
      </w:pPr>
      <w:r>
        <w:rPr>
          <w:rFonts w:ascii="Times New Roman" w:hAnsi="Times New Roman"/>
          <w:sz w:val="22"/>
        </w:rPr>
        <w:t>[16] Liu T, Mao Y, Luo T, et al. Development and validation of a prediction model for sperm retrieval in nonobstructive azoospermia. Front Endocrinol. 2023;14:1125222.</w:t>
      </w:r>
    </w:p>
    <w:p>
      <w:pPr>
        <w:spacing w:line="480" w:lineRule="auto"/>
      </w:pPr>
      <w:r>
        <w:rPr>
          <w:rFonts w:ascii="Times New Roman" w:hAnsi="Times New Roman"/>
          <w:sz w:val="22"/>
        </w:rPr>
        <w:t>[17] Coppola L, Cianflone A, Grimaldi AM, et al. Biobanking in health care: evolution and future directions. J Transl Med. 2019;17(1):172.</w:t>
      </w:r>
    </w:p>
    <w:p>
      <w:pPr>
        <w:spacing w:line="480" w:lineRule="auto"/>
      </w:pPr>
      <w:r>
        <w:rPr>
          <w:rFonts w:ascii="Times New Roman" w:hAnsi="Times New Roman"/>
          <w:sz w:val="22"/>
        </w:rPr>
        <w:t>[18] Sutton RT, Pincock D, Baumgart DC, Sadowski DC, Fedorak RN, Kroeker KI. An overview of clinical decision support systems: benefits, risks, and strategies for success. NPJ Digit Med. 2020;3:17.</w:t>
      </w:r>
    </w:p>
    <w:p>
      <w:pPr>
        <w:spacing w:line="480" w:lineRule="auto"/>
      </w:pPr>
      <w:r>
        <w:rPr>
          <w:rFonts w:ascii="Times New Roman" w:hAnsi="Times New Roman"/>
          <w:sz w:val="22"/>
        </w:rPr>
        <w:t>[19] Shortliffe EH, Sepúlveda MJ. Clinical decision support in the era of artificial intelligence. JAMA. 2018;320(21):2199-2200.</w:t>
      </w:r>
    </w:p>
    <w:p>
      <w:pPr>
        <w:spacing w:line="480" w:lineRule="auto"/>
      </w:pPr>
      <w:r>
        <w:rPr>
          <w:rFonts w:ascii="Times New Roman" w:hAnsi="Times New Roman"/>
          <w:sz w:val="22"/>
        </w:rPr>
        <w:t>[20] Collins GS, Moons KGM, Dhiman P, et al. TRIPOD+AI statement: updated guidance for reporting clinical prediction models that use regression or machine learning methods. BMJ. 2024;385:e078378.</w:t>
      </w:r>
    </w:p>
    <w:p>
      <w:pPr>
        <w:spacing w:line="480" w:lineRule="auto"/>
      </w:pPr>
      <w:r>
        <w:rPr>
          <w:rFonts w:ascii="Times New Roman" w:hAnsi="Times New Roman"/>
          <w:sz w:val="22"/>
        </w:rPr>
        <w:t>[21] Arrieta AB, Díaz-Rodríguez N, Del Ser J, et al. Explainable artificial intelligence (XAI): concepts, taxonomies, opportunities and challenges toward responsible AI. Inf Fusion. 2020;58:82-115.</w:t>
      </w:r>
    </w:p>
    <w:p>
      <w:pPr>
        <w:spacing w:line="480" w:lineRule="auto"/>
      </w:pPr>
      <w:r>
        <w:rPr>
          <w:rFonts w:ascii="Times New Roman" w:hAnsi="Times New Roman"/>
          <w:sz w:val="22"/>
        </w:rPr>
        <w:t>[22] Kapoor S, Narayanan A. Leakage and the reproducibility crisis in machine-learning-based science. Patterns. 2023;4(9):100804.</w:t>
      </w:r>
    </w:p>
    <w:p>
      <w:pPr>
        <w:spacing w:line="480" w:lineRule="auto"/>
      </w:pPr>
      <w:r>
        <w:rPr>
          <w:rFonts w:ascii="Times New Roman" w:hAnsi="Times New Roman"/>
          <w:sz w:val="22"/>
        </w:rPr>
        <w:t>[23] Roberts M, Driggs D, Thorpe M, et al. Common pitfalls and recommendations for using machine learning to detect and prognosticate for COVID-19 using chest radiographs and CT scans. Nat Mach Intell. 2021;3(3):199-217.</w:t>
      </w:r>
    </w:p>
    <w:p>
      <w:pPr>
        <w:spacing w:line="480" w:lineRule="auto"/>
      </w:pPr>
      <w:r>
        <w:rPr>
          <w:rFonts w:ascii="Times New Roman" w:hAnsi="Times New Roman"/>
          <w:sz w:val="22"/>
        </w:rPr>
        <w:t>[24] Boulesteix AL, Lauer S, Eugster MJA. A plea for neutral comparison studies in computational sciences. PLoS One. 2013;8(4):e61562.</w:t>
      </w:r>
    </w:p>
    <w:p>
      <w:pPr>
        <w:spacing w:line="480" w:lineRule="auto"/>
      </w:pPr>
      <w:r>
        <w:rPr>
          <w:rFonts w:ascii="Times New Roman" w:hAnsi="Times New Roman"/>
          <w:sz w:val="22"/>
        </w:rPr>
        <w:t>[25] Wang J, Zhang Y, Kim TH, et al. Multi-agent systems for biomedical research: a systematic review. J Biomed Inform. 2023;142:104393.</w:t>
      </w:r>
    </w:p>
    <w:p>
      <w:pPr>
        <w:spacing w:line="480" w:lineRule="auto"/>
      </w:pPr>
      <w:r>
        <w:rPr>
          <w:rFonts w:ascii="Times New Roman" w:hAnsi="Times New Roman"/>
          <w:sz w:val="22"/>
        </w:rPr>
        <w:t>[26] Xi Z, Chen W, Guo X, et al. The rise and potential of large language model based agents: a survey. arXiv preprint arXiv:2309.07864. 2023.</w:t>
      </w:r>
    </w:p>
    <w:p>
      <w:pPr>
        <w:spacing w:line="480" w:lineRule="auto"/>
      </w:pPr>
      <w:r>
        <w:rPr>
          <w:rFonts w:ascii="Times New Roman" w:hAnsi="Times New Roman"/>
          <w:sz w:val="22"/>
        </w:rPr>
        <w:t>[27] Varma S, Simon R. Bias in error estimation when using cross-validation for model selection. BMC Bioinformatics. 2006;7:91.</w:t>
      </w:r>
    </w:p>
    <w:p>
      <w:pPr>
        <w:spacing w:line="480" w:lineRule="auto"/>
      </w:pPr>
      <w:r>
        <w:rPr>
          <w:rFonts w:ascii="Times New Roman" w:hAnsi="Times New Roman"/>
          <w:sz w:val="22"/>
        </w:rPr>
        <w:t>[28] Chawla NV, Bowyer KW, Hall LO, Kegelmeyer WP. SMOTE: synthetic minority over-sampling technique. J Artif Intell Res. 2002;16:321-357.</w:t>
      </w:r>
    </w:p>
    <w:p>
      <w:pPr>
        <w:spacing w:line="480" w:lineRule="auto"/>
      </w:pPr>
      <w:r>
        <w:rPr>
          <w:rFonts w:ascii="Times New Roman" w:hAnsi="Times New Roman"/>
          <w:sz w:val="22"/>
        </w:rPr>
        <w:t>[29] Cawley GC, Talbot NLC. On over-fitting in model selection and subsequent selection bias in performance evaluation. J Mach Learn Res. 2010;11:2079-2107.</w:t>
      </w:r>
    </w:p>
    <w:p>
      <w:pPr>
        <w:spacing w:line="480" w:lineRule="auto"/>
      </w:pPr>
      <w:r>
        <w:rPr>
          <w:rFonts w:ascii="Times New Roman" w:hAnsi="Times New Roman"/>
          <w:sz w:val="22"/>
        </w:rPr>
        <w:t>[30] Wallace BC, Small K, Brodley CE, Trikalinos TA. Class imbalance, redux. In: 2011 IEEE 11th International Conference on Data Mining; 2011. p. 754-763.</w:t>
      </w:r>
    </w:p>
    <w:p>
      <w:pPr>
        <w:spacing w:line="480" w:lineRule="auto"/>
      </w:pPr>
      <w:r>
        <w:rPr>
          <w:rFonts w:ascii="Times New Roman" w:hAnsi="Times New Roman"/>
          <w:sz w:val="22"/>
        </w:rPr>
        <w:t>[31] Vickers AJ, Elkin EB. Decision curve analysis: a novel method for evaluating prediction models. Med Decis Making. 2006;26(6):565-574.</w:t>
      </w:r>
    </w:p>
    <w:p>
      <w:pPr>
        <w:spacing w:line="480" w:lineRule="auto"/>
      </w:pPr>
      <w:r>
        <w:rPr>
          <w:rFonts w:ascii="Times New Roman" w:hAnsi="Times New Roman"/>
          <w:sz w:val="22"/>
        </w:rPr>
        <w:t>[32] Lundberg SM, Lee SI. A unified approach to interpreting model predictions. In: Advances in Neural Information Processing Systems. 2017;30:4765-4774.</w:t>
      </w:r>
    </w:p>
    <w:p>
      <w:pPr>
        <w:spacing w:line="480" w:lineRule="auto"/>
      </w:pPr>
      <w:r>
        <w:rPr>
          <w:rFonts w:ascii="Times New Roman" w:hAnsi="Times New Roman"/>
          <w:sz w:val="22"/>
        </w:rPr>
        <w:t>[33] Collins GS, Reitsma JB, Altman DG, Moons KGM. Transparent Reporting of a multivariable prediction model for Individual Prognosis Or Diagnosis (TRIPOD): the TRIPOD statement. Ann Intern Med. 2015;162(1):55-63.</w:t>
      </w:r>
    </w:p>
    <w:p>
      <w:pPr>
        <w:spacing w:line="480" w:lineRule="auto"/>
      </w:pPr>
      <w:r>
        <w:rPr>
          <w:rFonts w:ascii="Times New Roman" w:hAnsi="Times New Roman"/>
          <w:sz w:val="22"/>
        </w:rPr>
        <w:t>[34] Wolff RF, Moons KGM, Riley RD, et al. PROBAST: a tool to assess the risk of bias and applicability of prediction model studies. Ann Intern Med. 2019;170(1):51-58.</w:t>
      </w:r>
    </w:p>
    <w:p>
      <w:pPr>
        <w:spacing w:line="480" w:lineRule="auto"/>
      </w:pPr>
      <w:r>
        <w:rPr>
          <w:rFonts w:ascii="Times New Roman" w:hAnsi="Times New Roman"/>
          <w:sz w:val="22"/>
        </w:rPr>
        <w:t>[35] Esteves SC, Miyaoka R, Agarwal A. An update on the clinical assessment of the infertile male. Clinics. 2011;66(4):691-700.</w:t>
      </w:r>
    </w:p>
    <w:p>
      <w:pPr>
        <w:spacing w:line="480" w:lineRule="auto"/>
      </w:pPr>
      <w:r>
        <w:rPr>
          <w:rFonts w:ascii="Times New Roman" w:hAnsi="Times New Roman"/>
          <w:sz w:val="22"/>
        </w:rPr>
        <w:t>[36] Corona G, Minhas S, Giwercman A, et al. Sperm recovery and ICSI outcomes in men with non-obstructive azoospermia: a systematic review and meta-analysis. Hum Reprod Update. 2019;25(6):733-757.</w:t>
      </w:r>
    </w:p>
    <w:p>
      <w:pPr>
        <w:spacing w:line="480" w:lineRule="auto"/>
      </w:pPr>
      <w:r>
        <w:rPr>
          <w:rFonts w:ascii="Times New Roman" w:hAnsi="Times New Roman"/>
          <w:sz w:val="22"/>
        </w:rPr>
        <w:t>[37] McLachlan RI, Rajpert-De Meyts E, Hoei-Hansen CE, de Kretser DM, Skakkebaek NE. Histological evaluation of the human testis—approaches to optimizing the clinical value of the assessment: mini review. Hum Reprod. 2007;22(1):2-16.</w:t>
      </w:r>
    </w:p>
    <w:p>
      <w:pPr>
        <w:spacing w:line="480" w:lineRule="auto"/>
      </w:pPr>
      <w:r>
        <w:rPr>
          <w:rFonts w:ascii="Times New Roman" w:hAnsi="Times New Roman"/>
          <w:sz w:val="22"/>
        </w:rPr>
        <w:t>[38] Kawamoto K, Houlihan CA, Balas EA, Lobach DF. Improving clinical practice using clinical decision support systems: a systematic review of trials to identify features critical to success. BMJ. 2005;330(7494):765.</w:t>
      </w:r>
    </w:p>
    <w:p>
      <w:pPr>
        <w:spacing w:line="480" w:lineRule="auto"/>
      </w:pPr>
      <w:r>
        <w:rPr>
          <w:rFonts w:ascii="Times New Roman" w:hAnsi="Times New Roman"/>
          <w:sz w:val="22"/>
        </w:rPr>
        <w:t>[39] Steyerberg EW, Vergouwe Y. Towards better clinical prediction models: seven steps for development and an ABCD for validation. Eur Heart J. 2014;35(29):1925-1931.</w:t>
      </w:r>
    </w:p>
    <w:p>
      <w:pPr>
        <w:spacing w:line="480" w:lineRule="auto"/>
      </w:pPr>
      <w:r>
        <w:rPr>
          <w:rFonts w:ascii="Times New Roman" w:hAnsi="Times New Roman"/>
          <w:sz w:val="22"/>
        </w:rPr>
        <w:t>[40] Molnar C. Interpretable Machine Learning: A Guide for Making Black Box Models Explainable. 2nd ed. Munich, Germany: christophm.github.io; 2022.</w:t>
      </w:r>
    </w:p>
    <w:p>
      <w:pPr>
        <w:spacing w:line="480" w:lineRule="auto"/>
      </w:pPr>
      <w:r>
        <w:rPr>
          <w:rFonts w:ascii="Times New Roman" w:hAnsi="Times New Roman"/>
          <w:sz w:val="22"/>
        </w:rPr>
        <w:t>[41] Esteves SC, Agarwal A. Reproductive outcomes, including neonatal data, following sperm injection in men with obstructive and nonobstructive azoospermia: case series and systematic review. Clinics. 2013;68(S1):141-150.</w:t>
      </w:r>
    </w:p>
    <w:p>
      <w:pPr>
        <w:spacing w:line="480" w:lineRule="auto"/>
      </w:pPr>
      <w:r>
        <w:rPr>
          <w:rFonts w:ascii="Times New Roman" w:hAnsi="Times New Roman"/>
          <w:sz w:val="22"/>
        </w:rPr>
        <w:t>[42] Topol EJ. High-performance medicine: the convergence of human and artificial intelligence. Nat Med. 2019;25(1):44-56.</w:t>
      </w:r>
    </w:p>
    <w:p>
      <w:pPr>
        <w:spacing w:line="480" w:lineRule="auto"/>
      </w:pPr>
      <w:r>
        <w:rPr>
          <w:rFonts w:ascii="Times New Roman" w:hAnsi="Times New Roman"/>
          <w:sz w:val="22"/>
        </w:rPr>
        <w:t>[43] Prokhorenkova L, Gusev G, Vorobev A, Dorogush AV, Gulin A. CatBoost: unbiased boosting with categorical features. In: Advances in Neural Information Processing Systems. 2018;31:6638-6648.</w:t>
      </w:r>
    </w:p>
    <w:p>
      <w:pPr>
        <w:spacing w:line="480" w:lineRule="auto"/>
      </w:pPr>
      <w:r>
        <w:rPr>
          <w:rFonts w:ascii="Times New Roman" w:hAnsi="Times New Roman"/>
          <w:sz w:val="22"/>
        </w:rPr>
        <w:t>[44] Niculescu-Mizil A, Caruana R. Predicting good probabilities with supervised learning. In: Proceedings of the 22nd International Conference on Machine Learning; 2005. p. 625-632.</w:t>
      </w:r>
    </w:p>
    <w:p>
      <w:pPr>
        <w:spacing w:line="480" w:lineRule="auto"/>
      </w:pPr>
      <w:r>
        <w:rPr>
          <w:rFonts w:ascii="Times New Roman" w:hAnsi="Times New Roman"/>
          <w:sz w:val="22"/>
        </w:rPr>
        <w:t>[45] Van Calster B, McLernon DJ, van Smeden M, Steyerberg EW, Wynants L. Calibration: the Achilles heel of predictive analytics. BMC Med. 2019;17(1):230.</w:t>
      </w:r>
    </w:p>
    <w:p>
      <w:r>
        <w:br w:type="page"/>
      </w:r>
    </w:p>
    <w:p>
      <w:pPr>
        <w:pStyle w:val="Heading1"/>
      </w:pPr>
      <w:r>
        <w:t>Supplementary Material</w:t>
      </w:r>
    </w:p>
    <w:p>
      <w:pPr>
        <w:pStyle w:val="Heading2"/>
      </w:pPr>
      <w:r>
        <w:t>Supplementary Table S1: TRIPOD+AI Adherence Checklist</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fill="D9E2F3"/>
          </w:tcPr>
          <w:p>
            <w:pPr>
              <w:spacing w:line="276" w:lineRule="auto"/>
              <w:jc w:val="center"/>
            </w:pPr>
            <w:r/>
            <w:r>
              <w:rPr>
                <w:rFonts w:ascii="Times New Roman" w:hAnsi="Times New Roman"/>
                <w:b/>
                <w:sz w:val="20"/>
              </w:rPr>
              <w:t>TRIPOD+AI Item</w:t>
            </w:r>
          </w:p>
        </w:tc>
        <w:tc>
          <w:tcPr>
            <w:tcW w:type="dxa" w:w="2160"/>
            <w:shd w:fill="D9E2F3"/>
          </w:tcPr>
          <w:p>
            <w:pPr>
              <w:spacing w:line="276" w:lineRule="auto"/>
              <w:jc w:val="center"/>
            </w:pPr>
            <w:r/>
            <w:r>
              <w:rPr>
                <w:rFonts w:ascii="Times New Roman" w:hAnsi="Times New Roman"/>
                <w:b/>
                <w:sz w:val="20"/>
              </w:rPr>
              <w:t>Section</w:t>
            </w:r>
          </w:p>
        </w:tc>
        <w:tc>
          <w:tcPr>
            <w:tcW w:type="dxa" w:w="2160"/>
            <w:shd w:fill="D9E2F3"/>
          </w:tcPr>
          <w:p>
            <w:pPr>
              <w:spacing w:line="276" w:lineRule="auto"/>
              <w:jc w:val="center"/>
            </w:pPr>
            <w:r/>
            <w:r>
              <w:rPr>
                <w:rFonts w:ascii="Times New Roman" w:hAnsi="Times New Roman"/>
                <w:b/>
                <w:sz w:val="20"/>
              </w:rPr>
              <w:t>Status</w:t>
            </w:r>
          </w:p>
        </w:tc>
      </w:tr>
      <w:tr>
        <w:tc>
          <w:tcPr>
            <w:tcW w:type="dxa" w:w="4320"/>
          </w:tcPr>
          <w:p>
            <w:pPr>
              <w:spacing w:line="276" w:lineRule="auto"/>
              <w:jc w:val="center"/>
            </w:pPr>
            <w:r/>
            <w:r>
              <w:rPr>
                <w:rFonts w:ascii="Times New Roman" w:hAnsi="Times New Roman"/>
                <w:sz w:val="20"/>
              </w:rPr>
              <w:t>Title — Identify as prediction model study</w:t>
            </w:r>
          </w:p>
        </w:tc>
        <w:tc>
          <w:tcPr>
            <w:tcW w:type="dxa" w:w="2160"/>
          </w:tcPr>
          <w:p>
            <w:pPr>
              <w:spacing w:line="276" w:lineRule="auto"/>
              <w:jc w:val="center"/>
            </w:pPr>
            <w:r/>
            <w:r>
              <w:rPr>
                <w:rFonts w:ascii="Times New Roman" w:hAnsi="Times New Roman"/>
                <w:sz w:val="20"/>
              </w:rPr>
              <w:t>Title Page</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Abstract — Structured with key elements</w:t>
            </w:r>
          </w:p>
        </w:tc>
        <w:tc>
          <w:tcPr>
            <w:tcW w:type="dxa" w:w="2160"/>
          </w:tcPr>
          <w:p>
            <w:pPr>
              <w:spacing w:line="276" w:lineRule="auto"/>
              <w:jc w:val="center"/>
            </w:pPr>
            <w:r/>
            <w:r>
              <w:rPr>
                <w:rFonts w:ascii="Times New Roman" w:hAnsi="Times New Roman"/>
                <w:sz w:val="20"/>
              </w:rPr>
              <w:t>Abstract</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Background and objectives stated</w:t>
            </w:r>
          </w:p>
        </w:tc>
        <w:tc>
          <w:tcPr>
            <w:tcW w:type="dxa" w:w="2160"/>
          </w:tcPr>
          <w:p>
            <w:pPr>
              <w:spacing w:line="276" w:lineRule="auto"/>
              <w:jc w:val="center"/>
            </w:pPr>
            <w:r/>
            <w:r>
              <w:rPr>
                <w:rFonts w:ascii="Times New Roman" w:hAnsi="Times New Roman"/>
                <w:sz w:val="20"/>
              </w:rPr>
              <w:t>Introduction</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Source of data described</w:t>
            </w:r>
          </w:p>
        </w:tc>
        <w:tc>
          <w:tcPr>
            <w:tcW w:type="dxa" w:w="2160"/>
          </w:tcPr>
          <w:p>
            <w:pPr>
              <w:spacing w:line="276" w:lineRule="auto"/>
              <w:jc w:val="center"/>
            </w:pPr>
            <w:r/>
            <w:r>
              <w:rPr>
                <w:rFonts w:ascii="Times New Roman" w:hAnsi="Times New Roman"/>
                <w:sz w:val="20"/>
              </w:rPr>
              <w:t>Methods 4.1</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Participants — eligibility criteria</w:t>
            </w:r>
          </w:p>
        </w:tc>
        <w:tc>
          <w:tcPr>
            <w:tcW w:type="dxa" w:w="2160"/>
          </w:tcPr>
          <w:p>
            <w:pPr>
              <w:spacing w:line="276" w:lineRule="auto"/>
              <w:jc w:val="center"/>
            </w:pPr>
            <w:r/>
            <w:r>
              <w:rPr>
                <w:rFonts w:ascii="Times New Roman" w:hAnsi="Times New Roman"/>
                <w:sz w:val="20"/>
              </w:rPr>
              <w:t>Methods 4.1</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Outcome definition and measurement</w:t>
            </w:r>
          </w:p>
        </w:tc>
        <w:tc>
          <w:tcPr>
            <w:tcW w:type="dxa" w:w="2160"/>
          </w:tcPr>
          <w:p>
            <w:pPr>
              <w:spacing w:line="276" w:lineRule="auto"/>
              <w:jc w:val="center"/>
            </w:pPr>
            <w:r/>
            <w:r>
              <w:rPr>
                <w:rFonts w:ascii="Times New Roman" w:hAnsi="Times New Roman"/>
                <w:sz w:val="20"/>
              </w:rPr>
              <w:t>Methods 4.1</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Predictors — all candidate predictors described</w:t>
            </w:r>
          </w:p>
        </w:tc>
        <w:tc>
          <w:tcPr>
            <w:tcW w:type="dxa" w:w="2160"/>
          </w:tcPr>
          <w:p>
            <w:pPr>
              <w:spacing w:line="276" w:lineRule="auto"/>
              <w:jc w:val="center"/>
            </w:pPr>
            <w:r/>
            <w:r>
              <w:rPr>
                <w:rFonts w:ascii="Times New Roman" w:hAnsi="Times New Roman"/>
                <w:sz w:val="20"/>
              </w:rPr>
              <w:t>Methods 4.2</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Sample size justification</w:t>
            </w:r>
          </w:p>
        </w:tc>
        <w:tc>
          <w:tcPr>
            <w:tcW w:type="dxa" w:w="2160"/>
          </w:tcPr>
          <w:p>
            <w:pPr>
              <w:spacing w:line="276" w:lineRule="auto"/>
              <w:jc w:val="center"/>
            </w:pPr>
            <w:r/>
            <w:r>
              <w:rPr>
                <w:rFonts w:ascii="Times New Roman" w:hAnsi="Times New Roman"/>
                <w:sz w:val="20"/>
              </w:rPr>
              <w:t>Methods 4.1</w:t>
            </w:r>
          </w:p>
        </w:tc>
        <w:tc>
          <w:tcPr>
            <w:tcW w:type="dxa" w:w="2160"/>
          </w:tcPr>
          <w:p>
            <w:pPr>
              <w:spacing w:line="276" w:lineRule="auto"/>
              <w:jc w:val="center"/>
            </w:pPr>
            <w:r/>
            <w:r>
              <w:rPr>
                <w:rFonts w:ascii="Times New Roman" w:hAnsi="Times New Roman"/>
                <w:sz w:val="20"/>
              </w:rPr>
              <w:t>Reported (n=2,413)</w:t>
            </w:r>
          </w:p>
        </w:tc>
      </w:tr>
      <w:tr>
        <w:tc>
          <w:tcPr>
            <w:tcW w:type="dxa" w:w="4320"/>
          </w:tcPr>
          <w:p>
            <w:pPr>
              <w:spacing w:line="276" w:lineRule="auto"/>
              <w:jc w:val="center"/>
            </w:pPr>
            <w:r/>
            <w:r>
              <w:rPr>
                <w:rFonts w:ascii="Times New Roman" w:hAnsi="Times New Roman"/>
                <w:sz w:val="20"/>
              </w:rPr>
              <w:t>Missing data handling described</w:t>
            </w:r>
          </w:p>
        </w:tc>
        <w:tc>
          <w:tcPr>
            <w:tcW w:type="dxa" w:w="2160"/>
          </w:tcPr>
          <w:p>
            <w:pPr>
              <w:spacing w:line="276" w:lineRule="auto"/>
              <w:jc w:val="center"/>
            </w:pPr>
            <w:r/>
            <w:r>
              <w:rPr>
                <w:rFonts w:ascii="Times New Roman" w:hAnsi="Times New Roman"/>
                <w:sz w:val="20"/>
              </w:rPr>
              <w:t>Methods 4.4</w:t>
            </w:r>
          </w:p>
        </w:tc>
        <w:tc>
          <w:tcPr>
            <w:tcW w:type="dxa" w:w="2160"/>
          </w:tcPr>
          <w:p>
            <w:pPr>
              <w:spacing w:line="276" w:lineRule="auto"/>
              <w:jc w:val="center"/>
            </w:pPr>
            <w:r/>
            <w:r>
              <w:rPr>
                <w:rFonts w:ascii="Times New Roman" w:hAnsi="Times New Roman"/>
                <w:sz w:val="20"/>
              </w:rPr>
              <w:t>Reported (KNN imputation)</w:t>
            </w:r>
          </w:p>
        </w:tc>
      </w:tr>
      <w:tr>
        <w:tc>
          <w:tcPr>
            <w:tcW w:type="dxa" w:w="4320"/>
          </w:tcPr>
          <w:p>
            <w:pPr>
              <w:spacing w:line="276" w:lineRule="auto"/>
              <w:jc w:val="center"/>
            </w:pPr>
            <w:r/>
            <w:r>
              <w:rPr>
                <w:rFonts w:ascii="Times New Roman" w:hAnsi="Times New Roman"/>
                <w:sz w:val="20"/>
              </w:rPr>
              <w:t>Statistical analysis / modeling methods</w:t>
            </w:r>
          </w:p>
        </w:tc>
        <w:tc>
          <w:tcPr>
            <w:tcW w:type="dxa" w:w="2160"/>
          </w:tcPr>
          <w:p>
            <w:pPr>
              <w:spacing w:line="276" w:lineRule="auto"/>
              <w:jc w:val="center"/>
            </w:pPr>
            <w:r/>
            <w:r>
              <w:rPr>
                <w:rFonts w:ascii="Times New Roman" w:hAnsi="Times New Roman"/>
                <w:sz w:val="20"/>
              </w:rPr>
              <w:t>Methods 4.4</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AI-specific: model architecture described</w:t>
            </w:r>
          </w:p>
        </w:tc>
        <w:tc>
          <w:tcPr>
            <w:tcW w:type="dxa" w:w="2160"/>
          </w:tcPr>
          <w:p>
            <w:pPr>
              <w:spacing w:line="276" w:lineRule="auto"/>
              <w:jc w:val="center"/>
            </w:pPr>
            <w:r/>
            <w:r>
              <w:rPr>
                <w:rFonts w:ascii="Times New Roman" w:hAnsi="Times New Roman"/>
                <w:sz w:val="20"/>
              </w:rPr>
              <w:t>Methods 4.4</w:t>
            </w:r>
          </w:p>
        </w:tc>
        <w:tc>
          <w:tcPr>
            <w:tcW w:type="dxa" w:w="2160"/>
          </w:tcPr>
          <w:p>
            <w:pPr>
              <w:spacing w:line="276" w:lineRule="auto"/>
              <w:jc w:val="center"/>
            </w:pPr>
            <w:r/>
            <w:r>
              <w:rPr>
                <w:rFonts w:ascii="Times New Roman" w:hAnsi="Times New Roman"/>
                <w:sz w:val="20"/>
              </w:rPr>
              <w:t>Reported (CatBoost)</w:t>
            </w:r>
          </w:p>
        </w:tc>
      </w:tr>
      <w:tr>
        <w:tc>
          <w:tcPr>
            <w:tcW w:type="dxa" w:w="4320"/>
          </w:tcPr>
          <w:p>
            <w:pPr>
              <w:spacing w:line="276" w:lineRule="auto"/>
              <w:jc w:val="center"/>
            </w:pPr>
            <w:r/>
            <w:r>
              <w:rPr>
                <w:rFonts w:ascii="Times New Roman" w:hAnsi="Times New Roman"/>
                <w:sz w:val="20"/>
              </w:rPr>
              <w:t>AI-specific: hyperparameter tuning</w:t>
            </w:r>
          </w:p>
        </w:tc>
        <w:tc>
          <w:tcPr>
            <w:tcW w:type="dxa" w:w="2160"/>
          </w:tcPr>
          <w:p>
            <w:pPr>
              <w:spacing w:line="276" w:lineRule="auto"/>
              <w:jc w:val="center"/>
            </w:pPr>
            <w:r/>
            <w:r>
              <w:rPr>
                <w:rFonts w:ascii="Times New Roman" w:hAnsi="Times New Roman"/>
                <w:sz w:val="20"/>
              </w:rPr>
              <w:t>Methods 4.4</w:t>
            </w:r>
          </w:p>
        </w:tc>
        <w:tc>
          <w:tcPr>
            <w:tcW w:type="dxa" w:w="2160"/>
          </w:tcPr>
          <w:p>
            <w:pPr>
              <w:spacing w:line="276" w:lineRule="auto"/>
              <w:jc w:val="center"/>
            </w:pPr>
            <w:r/>
            <w:r>
              <w:rPr>
                <w:rFonts w:ascii="Times New Roman" w:hAnsi="Times New Roman"/>
                <w:sz w:val="20"/>
              </w:rPr>
              <w:t>Reported (nested CV)</w:t>
            </w:r>
          </w:p>
        </w:tc>
      </w:tr>
      <w:tr>
        <w:tc>
          <w:tcPr>
            <w:tcW w:type="dxa" w:w="4320"/>
          </w:tcPr>
          <w:p>
            <w:pPr>
              <w:spacing w:line="276" w:lineRule="auto"/>
              <w:jc w:val="center"/>
            </w:pPr>
            <w:r/>
            <w:r>
              <w:rPr>
                <w:rFonts w:ascii="Times New Roman" w:hAnsi="Times New Roman"/>
                <w:sz w:val="20"/>
              </w:rPr>
              <w:t>AI-specific: explainability method</w:t>
            </w:r>
          </w:p>
        </w:tc>
        <w:tc>
          <w:tcPr>
            <w:tcW w:type="dxa" w:w="2160"/>
          </w:tcPr>
          <w:p>
            <w:pPr>
              <w:spacing w:line="276" w:lineRule="auto"/>
              <w:jc w:val="center"/>
            </w:pPr>
            <w:r/>
            <w:r>
              <w:rPr>
                <w:rFonts w:ascii="Times New Roman" w:hAnsi="Times New Roman"/>
                <w:sz w:val="20"/>
              </w:rPr>
              <w:t>Methods 4.7</w:t>
            </w:r>
          </w:p>
        </w:tc>
        <w:tc>
          <w:tcPr>
            <w:tcW w:type="dxa" w:w="2160"/>
          </w:tcPr>
          <w:p>
            <w:pPr>
              <w:spacing w:line="276" w:lineRule="auto"/>
              <w:jc w:val="center"/>
            </w:pPr>
            <w:r/>
            <w:r>
              <w:rPr>
                <w:rFonts w:ascii="Times New Roman" w:hAnsi="Times New Roman"/>
                <w:sz w:val="20"/>
              </w:rPr>
              <w:t>Reported (SHAP)</w:t>
            </w:r>
          </w:p>
        </w:tc>
      </w:tr>
      <w:tr>
        <w:tc>
          <w:tcPr>
            <w:tcW w:type="dxa" w:w="4320"/>
          </w:tcPr>
          <w:p>
            <w:pPr>
              <w:spacing w:line="276" w:lineRule="auto"/>
              <w:jc w:val="center"/>
            </w:pPr>
            <w:r/>
            <w:r>
              <w:rPr>
                <w:rFonts w:ascii="Times New Roman" w:hAnsi="Times New Roman"/>
                <w:sz w:val="20"/>
              </w:rPr>
              <w:t>Model performance measures reported</w:t>
            </w:r>
          </w:p>
        </w:tc>
        <w:tc>
          <w:tcPr>
            <w:tcW w:type="dxa" w:w="2160"/>
          </w:tcPr>
          <w:p>
            <w:pPr>
              <w:spacing w:line="276" w:lineRule="auto"/>
              <w:jc w:val="center"/>
            </w:pPr>
            <w:r/>
            <w:r>
              <w:rPr>
                <w:rFonts w:ascii="Times New Roman" w:hAnsi="Times New Roman"/>
                <w:sz w:val="20"/>
              </w:rPr>
              <w:t>Results 5.2</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Calibration assessment</w:t>
            </w:r>
          </w:p>
        </w:tc>
        <w:tc>
          <w:tcPr>
            <w:tcW w:type="dxa" w:w="2160"/>
          </w:tcPr>
          <w:p>
            <w:pPr>
              <w:spacing w:line="276" w:lineRule="auto"/>
              <w:jc w:val="center"/>
            </w:pPr>
            <w:r/>
            <w:r>
              <w:rPr>
                <w:rFonts w:ascii="Times New Roman" w:hAnsi="Times New Roman"/>
                <w:sz w:val="20"/>
              </w:rPr>
              <w:t>Results 5.3</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Clinical utility (DCA)</w:t>
            </w:r>
          </w:p>
        </w:tc>
        <w:tc>
          <w:tcPr>
            <w:tcW w:type="dxa" w:w="2160"/>
          </w:tcPr>
          <w:p>
            <w:pPr>
              <w:spacing w:line="276" w:lineRule="auto"/>
              <w:jc w:val="center"/>
            </w:pPr>
            <w:r/>
            <w:r>
              <w:rPr>
                <w:rFonts w:ascii="Times New Roman" w:hAnsi="Times New Roman"/>
                <w:sz w:val="20"/>
              </w:rPr>
              <w:t>Results 5.4</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Model interpretation / feature importance</w:t>
            </w:r>
          </w:p>
        </w:tc>
        <w:tc>
          <w:tcPr>
            <w:tcW w:type="dxa" w:w="2160"/>
          </w:tcPr>
          <w:p>
            <w:pPr>
              <w:spacing w:line="276" w:lineRule="auto"/>
              <w:jc w:val="center"/>
            </w:pPr>
            <w:r/>
            <w:r>
              <w:rPr>
                <w:rFonts w:ascii="Times New Roman" w:hAnsi="Times New Roman"/>
                <w:sz w:val="20"/>
              </w:rPr>
              <w:t>Results 5.5</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Limitations discussed</w:t>
            </w:r>
          </w:p>
        </w:tc>
        <w:tc>
          <w:tcPr>
            <w:tcW w:type="dxa" w:w="2160"/>
          </w:tcPr>
          <w:p>
            <w:pPr>
              <w:spacing w:line="276" w:lineRule="auto"/>
              <w:jc w:val="center"/>
            </w:pPr>
            <w:r/>
            <w:r>
              <w:rPr>
                <w:rFonts w:ascii="Times New Roman" w:hAnsi="Times New Roman"/>
                <w:sz w:val="20"/>
              </w:rPr>
              <w:t>Discussion</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Implications for clinical practice</w:t>
            </w:r>
          </w:p>
        </w:tc>
        <w:tc>
          <w:tcPr>
            <w:tcW w:type="dxa" w:w="2160"/>
          </w:tcPr>
          <w:p>
            <w:pPr>
              <w:spacing w:line="276" w:lineRule="auto"/>
              <w:jc w:val="center"/>
            </w:pPr>
            <w:r/>
            <w:r>
              <w:rPr>
                <w:rFonts w:ascii="Times New Roman" w:hAnsi="Times New Roman"/>
                <w:sz w:val="20"/>
              </w:rPr>
              <w:t>Discussion</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Registration or protocol availability</w:t>
            </w:r>
          </w:p>
        </w:tc>
        <w:tc>
          <w:tcPr>
            <w:tcW w:type="dxa" w:w="2160"/>
          </w:tcPr>
          <w:p>
            <w:pPr>
              <w:spacing w:line="276" w:lineRule="auto"/>
              <w:jc w:val="center"/>
            </w:pPr>
            <w:r/>
            <w:r>
              <w:rPr>
                <w:rFonts w:ascii="Times New Roman" w:hAnsi="Times New Roman"/>
                <w:sz w:val="20"/>
              </w:rPr>
              <w:t>N/A</w:t>
            </w:r>
          </w:p>
        </w:tc>
        <w:tc>
          <w:tcPr>
            <w:tcW w:type="dxa" w:w="2160"/>
          </w:tcPr>
          <w:p>
            <w:pPr>
              <w:spacing w:line="276" w:lineRule="auto"/>
              <w:jc w:val="center"/>
            </w:pPr>
            <w:r/>
            <w:r>
              <w:rPr>
                <w:rFonts w:ascii="Times New Roman" w:hAnsi="Times New Roman"/>
                <w:sz w:val="20"/>
              </w:rPr>
              <w:t>Not applicable</w:t>
            </w:r>
          </w:p>
        </w:tc>
      </w:tr>
      <w:tr>
        <w:tc>
          <w:tcPr>
            <w:tcW w:type="dxa" w:w="4320"/>
          </w:tcPr>
          <w:p>
            <w:pPr>
              <w:spacing w:line="276" w:lineRule="auto"/>
              <w:jc w:val="center"/>
            </w:pPr>
            <w:r/>
            <w:r>
              <w:rPr>
                <w:rFonts w:ascii="Times New Roman" w:hAnsi="Times New Roman"/>
                <w:sz w:val="20"/>
              </w:rPr>
              <w:t>Code / data availability</w:t>
            </w:r>
          </w:p>
        </w:tc>
        <w:tc>
          <w:tcPr>
            <w:tcW w:type="dxa" w:w="2160"/>
          </w:tcPr>
          <w:p>
            <w:pPr>
              <w:spacing w:line="276" w:lineRule="auto"/>
              <w:jc w:val="center"/>
            </w:pPr>
            <w:r/>
            <w:r>
              <w:rPr>
                <w:rFonts w:ascii="Times New Roman" w:hAnsi="Times New Roman"/>
                <w:sz w:val="20"/>
              </w:rPr>
              <w:t>Declarations</w:t>
            </w:r>
          </w:p>
        </w:tc>
        <w:tc>
          <w:tcPr>
            <w:tcW w:type="dxa" w:w="2160"/>
          </w:tcPr>
          <w:p>
            <w:pPr>
              <w:spacing w:line="276" w:lineRule="auto"/>
              <w:jc w:val="center"/>
            </w:pPr>
            <w:r/>
            <w:r>
              <w:rPr>
                <w:rFonts w:ascii="Times New Roman" w:hAnsi="Times New Roman"/>
                <w:sz w:val="20"/>
              </w:rPr>
              <w:t>Reported</w:t>
            </w:r>
          </w:p>
        </w:tc>
      </w:tr>
      <w:tr>
        <w:tc>
          <w:tcPr>
            <w:tcW w:type="dxa" w:w="4320"/>
          </w:tcPr>
          <w:p>
            <w:pPr>
              <w:spacing w:line="276" w:lineRule="auto"/>
              <w:jc w:val="center"/>
            </w:pPr>
            <w:r/>
            <w:r>
              <w:rPr>
                <w:rFonts w:ascii="Times New Roman" w:hAnsi="Times New Roman"/>
                <w:sz w:val="20"/>
              </w:rPr>
              <w:t>AI-specific: multi-agent verification</w:t>
            </w:r>
          </w:p>
        </w:tc>
        <w:tc>
          <w:tcPr>
            <w:tcW w:type="dxa" w:w="2160"/>
          </w:tcPr>
          <w:p>
            <w:pPr>
              <w:spacing w:line="276" w:lineRule="auto"/>
              <w:jc w:val="center"/>
            </w:pPr>
            <w:r/>
            <w:r>
              <w:rPr>
                <w:rFonts w:ascii="Times New Roman" w:hAnsi="Times New Roman"/>
                <w:sz w:val="20"/>
              </w:rPr>
              <w:t>Methods 4.8, Results 5.6</w:t>
            </w:r>
          </w:p>
        </w:tc>
        <w:tc>
          <w:tcPr>
            <w:tcW w:type="dxa" w:w="2160"/>
          </w:tcPr>
          <w:p>
            <w:pPr>
              <w:spacing w:line="276" w:lineRule="auto"/>
              <w:jc w:val="center"/>
            </w:pPr>
            <w:r/>
            <w:r>
              <w:rPr>
                <w:rFonts w:ascii="Times New Roman" w:hAnsi="Times New Roman"/>
                <w:sz w:val="20"/>
              </w:rPr>
              <w:t>Reported</w:t>
            </w:r>
          </w:p>
        </w:tc>
      </w:tr>
    </w:tbl>
    <w:p>
      <w:pPr/>
      <w:r>
        <w:rPr>
          <w:rFonts w:ascii="Times New Roman" w:hAnsi="Times New Roman"/>
          <w:b w:val="0"/>
          <w:i w:val="0"/>
        </w:rPr>
      </w:r>
    </w:p>
    <w:p>
      <w:pPr>
        <w:pStyle w:val="Heading2"/>
      </w:pPr>
      <w:r>
        <w:t>Supplementary Table S2: PROBAST Risk of Bias Assessment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D9E2F3"/>
          </w:tcPr>
          <w:p>
            <w:pPr>
              <w:spacing w:line="276" w:lineRule="auto"/>
              <w:jc w:val="center"/>
            </w:pPr>
            <w:r/>
            <w:r>
              <w:rPr>
                <w:rFonts w:ascii="Times New Roman" w:hAnsi="Times New Roman"/>
                <w:b/>
                <w:sz w:val="20"/>
              </w:rPr>
              <w:t>Domain</w:t>
            </w:r>
          </w:p>
        </w:tc>
        <w:tc>
          <w:tcPr>
            <w:tcW w:type="dxa" w:w="3600"/>
            <w:shd w:fill="D9E2F3"/>
          </w:tcPr>
          <w:p>
            <w:pPr>
              <w:spacing w:line="276" w:lineRule="auto"/>
              <w:jc w:val="center"/>
            </w:pPr>
            <w:r/>
            <w:r>
              <w:rPr>
                <w:rFonts w:ascii="Times New Roman" w:hAnsi="Times New Roman"/>
                <w:b/>
                <w:sz w:val="20"/>
              </w:rPr>
              <w:t>Signaling Question</w:t>
            </w:r>
          </w:p>
        </w:tc>
        <w:tc>
          <w:tcPr>
            <w:tcW w:type="dxa" w:w="1440"/>
            <w:shd w:fill="D9E2F3"/>
          </w:tcPr>
          <w:p>
            <w:pPr>
              <w:spacing w:line="276" w:lineRule="auto"/>
              <w:jc w:val="center"/>
            </w:pPr>
            <w:r/>
            <w:r>
              <w:rPr>
                <w:rFonts w:ascii="Times New Roman" w:hAnsi="Times New Roman"/>
                <w:b/>
                <w:sz w:val="20"/>
              </w:rPr>
              <w:t>v1 Judgment</w:t>
            </w:r>
          </w:p>
        </w:tc>
        <w:tc>
          <w:tcPr>
            <w:tcW w:type="dxa" w:w="1440"/>
            <w:shd w:fill="D9E2F3"/>
          </w:tcPr>
          <w:p>
            <w:pPr>
              <w:spacing w:line="276" w:lineRule="auto"/>
              <w:jc w:val="center"/>
            </w:pPr>
            <w:r/>
            <w:r>
              <w:rPr>
                <w:rFonts w:ascii="Times New Roman" w:hAnsi="Times New Roman"/>
                <w:b/>
                <w:sz w:val="20"/>
              </w:rPr>
              <w:t>v2 Judgment</w:t>
            </w:r>
          </w:p>
        </w:tc>
      </w:tr>
      <w:tr>
        <w:tc>
          <w:tcPr>
            <w:tcW w:type="dxa" w:w="1728"/>
          </w:tcPr>
          <w:p>
            <w:pPr>
              <w:spacing w:line="276" w:lineRule="auto"/>
              <w:jc w:val="center"/>
            </w:pPr>
            <w:r/>
            <w:r>
              <w:rPr>
                <w:rFonts w:ascii="Times New Roman" w:hAnsi="Times New Roman"/>
                <w:sz w:val="20"/>
              </w:rPr>
              <w:t>Participants</w:t>
            </w:r>
          </w:p>
        </w:tc>
        <w:tc>
          <w:tcPr>
            <w:tcW w:type="dxa" w:w="3600"/>
          </w:tcPr>
          <w:p>
            <w:pPr>
              <w:spacing w:line="276" w:lineRule="auto"/>
              <w:jc w:val="center"/>
            </w:pPr>
            <w:r/>
            <w:r>
              <w:rPr>
                <w:rFonts w:ascii="Times New Roman" w:hAnsi="Times New Roman"/>
                <w:sz w:val="20"/>
              </w:rPr>
              <w:t>Were appropriate inclusion/exclusion criteria used?</w:t>
            </w:r>
          </w:p>
        </w:tc>
        <w:tc>
          <w:tcPr>
            <w:tcW w:type="dxa" w:w="1440"/>
          </w:tcPr>
          <w:p>
            <w:pPr>
              <w:spacing w:line="276" w:lineRule="auto"/>
              <w:jc w:val="center"/>
            </w:pPr>
            <w:r/>
            <w:r>
              <w:rPr>
                <w:rFonts w:ascii="Times New Roman" w:hAnsi="Times New Roman"/>
                <w:sz w:val="20"/>
              </w:rPr>
              <w:t>Low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Participants</w:t>
            </w:r>
          </w:p>
        </w:tc>
        <w:tc>
          <w:tcPr>
            <w:tcW w:type="dxa" w:w="3600"/>
          </w:tcPr>
          <w:p>
            <w:pPr>
              <w:spacing w:line="276" w:lineRule="auto"/>
              <w:jc w:val="center"/>
            </w:pPr>
            <w:r/>
            <w:r>
              <w:rPr>
                <w:rFonts w:ascii="Times New Roman" w:hAnsi="Times New Roman"/>
                <w:sz w:val="20"/>
              </w:rPr>
              <w:t>Were participants representative?</w:t>
            </w:r>
          </w:p>
        </w:tc>
        <w:tc>
          <w:tcPr>
            <w:tcW w:type="dxa" w:w="1440"/>
          </w:tcPr>
          <w:p>
            <w:pPr>
              <w:spacing w:line="276" w:lineRule="auto"/>
              <w:jc w:val="center"/>
            </w:pPr>
            <w:r/>
            <w:r>
              <w:rPr>
                <w:rFonts w:ascii="Times New Roman" w:hAnsi="Times New Roman"/>
                <w:sz w:val="20"/>
              </w:rPr>
              <w:t>Low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Predictors</w:t>
            </w:r>
          </w:p>
        </w:tc>
        <w:tc>
          <w:tcPr>
            <w:tcW w:type="dxa" w:w="3600"/>
          </w:tcPr>
          <w:p>
            <w:pPr>
              <w:spacing w:line="276" w:lineRule="auto"/>
              <w:jc w:val="center"/>
            </w:pPr>
            <w:r/>
            <w:r>
              <w:rPr>
                <w:rFonts w:ascii="Times New Roman" w:hAnsi="Times New Roman"/>
                <w:sz w:val="20"/>
              </w:rPr>
              <w:t>Were predictors defined and assessed appropriately?</w:t>
            </w:r>
          </w:p>
        </w:tc>
        <w:tc>
          <w:tcPr>
            <w:tcW w:type="dxa" w:w="1440"/>
          </w:tcPr>
          <w:p>
            <w:pPr>
              <w:spacing w:line="276" w:lineRule="auto"/>
              <w:jc w:val="center"/>
            </w:pPr>
            <w:r/>
            <w:r>
              <w:rPr>
                <w:rFonts w:ascii="Times New Roman" w:hAnsi="Times New Roman"/>
                <w:sz w:val="20"/>
              </w:rPr>
              <w:t>High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Predictors</w:t>
            </w:r>
          </w:p>
        </w:tc>
        <w:tc>
          <w:tcPr>
            <w:tcW w:type="dxa" w:w="3600"/>
          </w:tcPr>
          <w:p>
            <w:pPr>
              <w:spacing w:line="276" w:lineRule="auto"/>
              <w:jc w:val="center"/>
            </w:pPr>
            <w:r/>
            <w:r>
              <w:rPr>
                <w:rFonts w:ascii="Times New Roman" w:hAnsi="Times New Roman"/>
                <w:sz w:val="20"/>
              </w:rPr>
              <w:t>Were all predictors available at time of intended use?</w:t>
            </w:r>
          </w:p>
        </w:tc>
        <w:tc>
          <w:tcPr>
            <w:tcW w:type="dxa" w:w="1440"/>
          </w:tcPr>
          <w:p>
            <w:pPr>
              <w:spacing w:line="276" w:lineRule="auto"/>
              <w:jc w:val="center"/>
            </w:pPr>
            <w:r/>
            <w:r>
              <w:rPr>
                <w:rFonts w:ascii="Times New Roman" w:hAnsi="Times New Roman"/>
                <w:sz w:val="20"/>
              </w:rPr>
              <w:t>Low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Outcome</w:t>
            </w:r>
          </w:p>
        </w:tc>
        <w:tc>
          <w:tcPr>
            <w:tcW w:type="dxa" w:w="3600"/>
          </w:tcPr>
          <w:p>
            <w:pPr>
              <w:spacing w:line="276" w:lineRule="auto"/>
              <w:jc w:val="center"/>
            </w:pPr>
            <w:r/>
            <w:r>
              <w:rPr>
                <w:rFonts w:ascii="Times New Roman" w:hAnsi="Times New Roman"/>
                <w:sz w:val="20"/>
              </w:rPr>
              <w:t>Was the outcome defined and measured appropriately?</w:t>
            </w:r>
          </w:p>
        </w:tc>
        <w:tc>
          <w:tcPr>
            <w:tcW w:type="dxa" w:w="1440"/>
          </w:tcPr>
          <w:p>
            <w:pPr>
              <w:spacing w:line="276" w:lineRule="auto"/>
              <w:jc w:val="center"/>
            </w:pPr>
            <w:r/>
            <w:r>
              <w:rPr>
                <w:rFonts w:ascii="Times New Roman" w:hAnsi="Times New Roman"/>
                <w:sz w:val="20"/>
              </w:rPr>
              <w:t>Low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Outcome</w:t>
            </w:r>
          </w:p>
        </w:tc>
        <w:tc>
          <w:tcPr>
            <w:tcW w:type="dxa" w:w="3600"/>
          </w:tcPr>
          <w:p>
            <w:pPr>
              <w:spacing w:line="276" w:lineRule="auto"/>
              <w:jc w:val="center"/>
            </w:pPr>
            <w:r/>
            <w:r>
              <w:rPr>
                <w:rFonts w:ascii="Times New Roman" w:hAnsi="Times New Roman"/>
                <w:sz w:val="20"/>
              </w:rPr>
              <w:t>Was the outcome determined without knowledge of predictors?</w:t>
            </w:r>
          </w:p>
        </w:tc>
        <w:tc>
          <w:tcPr>
            <w:tcW w:type="dxa" w:w="1440"/>
          </w:tcPr>
          <w:p>
            <w:pPr>
              <w:spacing w:line="276" w:lineRule="auto"/>
              <w:jc w:val="center"/>
            </w:pPr>
            <w:r/>
            <w:r>
              <w:rPr>
                <w:rFonts w:ascii="Times New Roman" w:hAnsi="Times New Roman"/>
                <w:sz w:val="20"/>
              </w:rPr>
              <w:t>Low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Analysis</w:t>
            </w:r>
          </w:p>
        </w:tc>
        <w:tc>
          <w:tcPr>
            <w:tcW w:type="dxa" w:w="3600"/>
          </w:tcPr>
          <w:p>
            <w:pPr>
              <w:spacing w:line="276" w:lineRule="auto"/>
              <w:jc w:val="center"/>
            </w:pPr>
            <w:r/>
            <w:r>
              <w:rPr>
                <w:rFonts w:ascii="Times New Roman" w:hAnsi="Times New Roman"/>
                <w:sz w:val="20"/>
              </w:rPr>
              <w:t>Was sample size adequate?</w:t>
            </w:r>
          </w:p>
        </w:tc>
        <w:tc>
          <w:tcPr>
            <w:tcW w:type="dxa" w:w="1440"/>
          </w:tcPr>
          <w:p>
            <w:pPr>
              <w:spacing w:line="276" w:lineRule="auto"/>
              <w:jc w:val="center"/>
            </w:pPr>
            <w:r/>
            <w:r>
              <w:rPr>
                <w:rFonts w:ascii="Times New Roman" w:hAnsi="Times New Roman"/>
                <w:sz w:val="20"/>
              </w:rPr>
              <w:t>Low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Analysis</w:t>
            </w:r>
          </w:p>
        </w:tc>
        <w:tc>
          <w:tcPr>
            <w:tcW w:type="dxa" w:w="3600"/>
          </w:tcPr>
          <w:p>
            <w:pPr>
              <w:spacing w:line="276" w:lineRule="auto"/>
              <w:jc w:val="center"/>
            </w:pPr>
            <w:r/>
            <w:r>
              <w:rPr>
                <w:rFonts w:ascii="Times New Roman" w:hAnsi="Times New Roman"/>
                <w:sz w:val="20"/>
              </w:rPr>
              <w:t>Were appropriate statistical methods used?</w:t>
            </w:r>
          </w:p>
        </w:tc>
        <w:tc>
          <w:tcPr>
            <w:tcW w:type="dxa" w:w="1440"/>
          </w:tcPr>
          <w:p>
            <w:pPr>
              <w:spacing w:line="276" w:lineRule="auto"/>
              <w:jc w:val="center"/>
            </w:pPr>
            <w:r/>
            <w:r>
              <w:rPr>
                <w:rFonts w:ascii="Times New Roman" w:hAnsi="Times New Roman"/>
                <w:sz w:val="20"/>
              </w:rPr>
              <w:t>High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Analysis</w:t>
            </w:r>
          </w:p>
        </w:tc>
        <w:tc>
          <w:tcPr>
            <w:tcW w:type="dxa" w:w="3600"/>
          </w:tcPr>
          <w:p>
            <w:pPr>
              <w:spacing w:line="276" w:lineRule="auto"/>
              <w:jc w:val="center"/>
            </w:pPr>
            <w:r/>
            <w:r>
              <w:rPr>
                <w:rFonts w:ascii="Times New Roman" w:hAnsi="Times New Roman"/>
                <w:sz w:val="20"/>
              </w:rPr>
              <w:t>Were model-building steps appropriate?</w:t>
            </w:r>
          </w:p>
        </w:tc>
        <w:tc>
          <w:tcPr>
            <w:tcW w:type="dxa" w:w="1440"/>
          </w:tcPr>
          <w:p>
            <w:pPr>
              <w:spacing w:line="276" w:lineRule="auto"/>
              <w:jc w:val="center"/>
            </w:pPr>
            <w:r/>
            <w:r>
              <w:rPr>
                <w:rFonts w:ascii="Times New Roman" w:hAnsi="Times New Roman"/>
                <w:sz w:val="20"/>
              </w:rPr>
              <w:t>High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Analysis</w:t>
            </w:r>
          </w:p>
        </w:tc>
        <w:tc>
          <w:tcPr>
            <w:tcW w:type="dxa" w:w="3600"/>
          </w:tcPr>
          <w:p>
            <w:pPr>
              <w:spacing w:line="276" w:lineRule="auto"/>
              <w:jc w:val="center"/>
            </w:pPr>
            <w:r/>
            <w:r>
              <w:rPr>
                <w:rFonts w:ascii="Times New Roman" w:hAnsi="Times New Roman"/>
                <w:sz w:val="20"/>
              </w:rPr>
              <w:t>Was model performance evaluated appropriately?</w:t>
            </w:r>
          </w:p>
        </w:tc>
        <w:tc>
          <w:tcPr>
            <w:tcW w:type="dxa" w:w="1440"/>
          </w:tcPr>
          <w:p>
            <w:pPr>
              <w:spacing w:line="276" w:lineRule="auto"/>
              <w:jc w:val="center"/>
            </w:pPr>
            <w:r/>
            <w:r>
              <w:rPr>
                <w:rFonts w:ascii="Times New Roman" w:hAnsi="Times New Roman"/>
                <w:sz w:val="20"/>
              </w:rPr>
              <w:t>High risk§</w:t>
            </w:r>
          </w:p>
        </w:tc>
        <w:tc>
          <w:tcPr>
            <w:tcW w:type="dxa" w:w="1440"/>
          </w:tcPr>
          <w:p>
            <w:pPr>
              <w:spacing w:line="276" w:lineRule="auto"/>
              <w:jc w:val="center"/>
            </w:pPr>
            <w:r/>
            <w:r>
              <w:rPr>
                <w:rFonts w:ascii="Times New Roman" w:hAnsi="Times New Roman"/>
                <w:sz w:val="20"/>
              </w:rPr>
              <w:t>Low risk</w:t>
            </w:r>
          </w:p>
        </w:tc>
      </w:tr>
      <w:tr>
        <w:tc>
          <w:tcPr>
            <w:tcW w:type="dxa" w:w="1728"/>
          </w:tcPr>
          <w:p>
            <w:pPr>
              <w:spacing w:line="276" w:lineRule="auto"/>
              <w:jc w:val="center"/>
            </w:pPr>
            <w:r/>
            <w:r>
              <w:rPr>
                <w:rFonts w:ascii="Times New Roman" w:hAnsi="Times New Roman"/>
                <w:sz w:val="20"/>
              </w:rPr>
              <w:t>Overall</w:t>
            </w:r>
          </w:p>
        </w:tc>
        <w:tc>
          <w:tcPr>
            <w:tcW w:type="dxa" w:w="3600"/>
          </w:tcPr>
          <w:p>
            <w:pPr>
              <w:spacing w:line="276" w:lineRule="auto"/>
              <w:jc w:val="center"/>
            </w:pPr>
            <w:r/>
            <w:r>
              <w:rPr>
                <w:rFonts w:ascii="Times New Roman" w:hAnsi="Times New Roman"/>
                <w:sz w:val="20"/>
              </w:rPr>
              <w:t>Overall risk of bias</w:t>
            </w:r>
          </w:p>
        </w:tc>
        <w:tc>
          <w:tcPr>
            <w:tcW w:type="dxa" w:w="1440"/>
          </w:tcPr>
          <w:p>
            <w:pPr>
              <w:spacing w:line="276" w:lineRule="auto"/>
              <w:jc w:val="center"/>
            </w:pPr>
            <w:r/>
            <w:r>
              <w:rPr>
                <w:rFonts w:ascii="Times New Roman" w:hAnsi="Times New Roman"/>
                <w:sz w:val="20"/>
              </w:rPr>
              <w:t>High</w:t>
            </w:r>
          </w:p>
        </w:tc>
        <w:tc>
          <w:tcPr>
            <w:tcW w:type="dxa" w:w="1440"/>
          </w:tcPr>
          <w:p>
            <w:pPr>
              <w:spacing w:line="276" w:lineRule="auto"/>
              <w:jc w:val="center"/>
            </w:pPr>
            <w:r/>
            <w:r>
              <w:rPr>
                <w:rFonts w:ascii="Times New Roman" w:hAnsi="Times New Roman"/>
                <w:sz w:val="20"/>
              </w:rPr>
              <w:t>Low</w:t>
            </w:r>
          </w:p>
        </w:tc>
      </w:tr>
      <w:tr>
        <w:tc>
          <w:tcPr>
            <w:tcW w:type="dxa" w:w="1728"/>
          </w:tcPr>
          <w:p>
            <w:pPr>
              <w:spacing w:line="276" w:lineRule="auto"/>
              <w:jc w:val="center"/>
            </w:pPr>
            <w:r/>
            <w:r>
              <w:rPr>
                <w:rFonts w:ascii="Times New Roman" w:hAnsi="Times New Roman"/>
                <w:sz w:val="20"/>
              </w:rPr>
              <w:t>Applicability</w:t>
            </w:r>
          </w:p>
        </w:tc>
        <w:tc>
          <w:tcPr>
            <w:tcW w:type="dxa" w:w="3600"/>
          </w:tcPr>
          <w:p>
            <w:pPr>
              <w:spacing w:line="276" w:lineRule="auto"/>
              <w:jc w:val="center"/>
            </w:pPr>
            <w:r/>
            <w:r>
              <w:rPr>
                <w:rFonts w:ascii="Times New Roman" w:hAnsi="Times New Roman"/>
                <w:sz w:val="20"/>
              </w:rPr>
              <w:t>Applicability concern</w:t>
            </w:r>
          </w:p>
        </w:tc>
        <w:tc>
          <w:tcPr>
            <w:tcW w:type="dxa" w:w="1440"/>
          </w:tcPr>
          <w:p>
            <w:pPr>
              <w:spacing w:line="276" w:lineRule="auto"/>
              <w:jc w:val="center"/>
            </w:pPr>
            <w:r/>
            <w:r>
              <w:rPr>
                <w:rFonts w:ascii="Times New Roman" w:hAnsi="Times New Roman"/>
                <w:sz w:val="20"/>
              </w:rPr>
              <w:t>Moderate‖</w:t>
            </w:r>
          </w:p>
        </w:tc>
        <w:tc>
          <w:tcPr>
            <w:tcW w:type="dxa" w:w="1440"/>
          </w:tcPr>
          <w:p>
            <w:pPr>
              <w:spacing w:line="276" w:lineRule="auto"/>
              <w:jc w:val="center"/>
            </w:pPr>
            <w:r/>
            <w:r>
              <w:rPr>
                <w:rFonts w:ascii="Times New Roman" w:hAnsi="Times New Roman"/>
                <w:sz w:val="20"/>
              </w:rPr>
              <w:t>Moderate‖</w:t>
            </w:r>
          </w:p>
        </w:tc>
      </w:tr>
    </w:tbl>
    <w:p>
      <w:pPr/>
      <w:r>
        <w:rPr>
          <w:rFonts w:ascii="Times New Roman" w:hAnsi="Times New Roman"/>
          <w:b w:val="0"/>
          <w:i/>
          <w:sz w:val="20"/>
        </w:rPr>
        <w:t>* IQR clipper collapsed pathology features; Height/Weight included alongside BMI. † 2×2 nested CV underpowered. ‡ Outer-test AUC used for hyperparameter selection (data leakage). § Hard-coded threshold of 0.5. ‖ Single-center study; no temporal or external validation.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