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1800" w:leader="none"/>
        </w:tabs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IDENTIFICAÇÃO DO ÓRGÃO/CONCURSO/PROCEDIMENTO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Órgão promotor do concurso/seleção/nomeação: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SEGES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Cargo: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Programa de Residência (GP)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Número de candidatos para aferição: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sz w:val="24"/>
          <w:szCs w:val="24"/>
        </w:rPr>
        <w:t>500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Data da aferição: </w:t>
      </w:r>
      <w:r>
        <w:rPr>
          <w:rFonts w:eastAsia="Leelawadee" w:cs="Leelawadee" w:ascii="Leelawadee" w:hAnsi="Leelawadee"/>
          <w:sz w:val="24"/>
          <w:szCs w:val="24"/>
        </w:rPr>
        <w:t>0</w:t>
      </w:r>
      <w:r>
        <w:rPr>
          <w:rFonts w:eastAsia="Leelawadee" w:cs="Leelawadee" w:ascii="Leelawadee" w:hAnsi="Leelawadee"/>
          <w:b w:val="false"/>
          <w:position w:val="0"/>
          <w:sz w:val="24"/>
          <w:sz w:val="24"/>
          <w:szCs w:val="24"/>
          <w:vertAlign w:val="baseline"/>
        </w:rPr>
        <w:t>7/04/22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Etapa: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Análise fotográfica 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AFERIÇÃO DO MEMBRO DA CAPPC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PARA IDENTIFICAÇÃO DA CORRESPONDÊNCIA ENTRE A AUTODECLARAÇÃO APRESENTADA PELO CANDIDATO COTISTA E O SEU CONJUNTO DE CARACTERÍSTICAS FENOTÍPICAS 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/>
          <w:color w:val="000000"/>
          <w:position w:val="0"/>
          <w:sz w:val="20"/>
          <w:sz w:val="20"/>
          <w:szCs w:val="20"/>
          <w:vertAlign w:val="baseline"/>
        </w:rPr>
        <w:t>Art. 3º, Dec. 57.557/2016</w:t>
      </w: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. Para os efeitos deste decreto, negros, negras ou afrodescendentes são as pessoas que se enquadram como pretos, pardos ou denominação equivalente, conforme estabelecido pelo Instituto Brasileiro de Geografia e Estatística – IBGE, considerando-se a autodeclaração.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1º A autodeclaração não dispensa a efetiva correspondência da identidade fenotípica do candidato com a de pessoas identificadas socialmente como negras.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2º O vocábulo “afrodescendente” deve ser interpretado como sinônimo de negro ou negra.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3º A expressão “denominação equivalente” a que se refere o “caput” deste artigo abrange a pessoa preta ou parda, ou seja, apenas será considerada quando sua fenotipia a identifique socialmente como negra.</w:t>
      </w:r>
    </w:p>
    <w:p>
      <w:pPr>
        <w:pStyle w:val="Normal1"/>
        <w:spacing w:lineRule="auto" w:line="240" w:before="0" w:after="0"/>
        <w:rPr>
          <w:rFonts w:ascii="Leelawadee" w:hAnsi="Leelawadee" w:eastAsia="Leelawadee" w:cs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pPr>
      <w:r>
        <w:rPr>
          <w:rFonts w:eastAsia="Leelawadee" w:cs="Leelawadee" w:ascii="Leelawadee" w:hAnsi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XXXXXXXX-8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MARCIA MORALEZ</w:t>
      </w:r>
    </w:p>
    <w:tbl>
      <w:tblPr>
        <w:tblStyle w:val="Table1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XXXXXXXX-11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PEDRO HENRIQUE DOS SANTOS</w:t>
      </w:r>
    </w:p>
    <w:tbl>
      <w:tblPr>
        <w:tblStyle w:val="Table2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XXXXXXXX-9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REGINALDO FREITAS</w:t>
      </w:r>
    </w:p>
    <w:tbl>
      <w:tblPr>
        <w:tblStyle w:val="Table3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XXXXXXXX-5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RICARDO JESUS</w:t>
      </w:r>
    </w:p>
    <w:tbl>
      <w:tblPr>
        <w:tblStyle w:val="Table4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58" w:right="1351" w:header="0" w:top="1666" w:footer="227" w:bottom="107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elawadee">
    <w:charset w:val="01"/>
    <w:family w:val="roman"/>
    <w:pitch w:val="variable"/>
  </w:font>
  <w:font w:name="Altuna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ltuna Sans" w:cs="Altuna Sans" w:ascii="Altuna Sans" w:hAnsi="Altuna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2849880" cy="58166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355</Words>
  <Characters>2362</Characters>
  <CharactersWithSpaces>2683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2022-04-07T15:58:06Z</dcterms:modified>
  <cp:revision>1</cp:revision>
  <dc:subject/>
  <dc:title/>
</cp:coreProperties>
</file>