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sz w:val="32"/>
        </w:rPr>
        <w:t>Ignite ; 불꽃이 들려주는 음악의 밤</w:t>
      </w:r>
    </w:p>
    <w:p>
      <w:r>
        <w:rPr>
          <w:rFonts w:ascii="맑은 고딕" w:hAnsi="맑은 고딕"/>
          <w:sz w:val="22"/>
        </w:rPr>
        <w:t>음악감상과비평 수행평가 | 31209 남수민</w:t>
      </w:r>
    </w:p>
    <w:tbl>
      <w:tblPr>
        <w:tblStyle w:val="TableGrid"/>
        <w:tblW w:type="auto" w:w="0"/>
        <w:tblLook w:firstColumn="1" w:firstRow="1" w:lastColumn="0" w:lastRow="0" w:noHBand="0" w:noVBand="1" w:val="04A0"/>
      </w:tblPr>
      <w:tblGrid>
        <w:gridCol w:w="4320"/>
        <w:gridCol w:w="4320"/>
      </w:tblGrid>
      <w:tr>
        <w:tc>
          <w:tcPr>
            <w:tcBorders>
              <w:top w:val="single" w:sz="4" w:space="0" w:color="000000"/>
              <w:bottom w:val="single" w:sz="4" w:space="0" w:color="000000"/>
              <w:left w:val="single" w:sz="4" w:space="0" w:color="000000"/>
              <w:right w:val="single" w:sz="4" w:space="0" w:color="000000"/>
            </w:tcBorders>
            <w:shd w:val="clear" w:color="auto" w:fill="2B4C7E"/>
            <w:tcW w:w="3000" w:type="dxa"/>
          </w:tcPr>
          <w:p>
            <w:r>
              <w:rPr>
                <w:rFonts w:ascii="맑은 고딕" w:hAnsi="맑은 고딕"/>
                <w:b/>
                <w:color w:val="FFFFFF"/>
                <w:sz w:val="22"/>
              </w:rPr>
              <w:t>질문</w:t>
            </w:r>
          </w:p>
        </w:tc>
        <w:tc>
          <w:tcPr>
            <w:tcBorders>
              <w:top w:val="single" w:sz="4" w:space="0" w:color="000000"/>
              <w:bottom w:val="single" w:sz="4" w:space="0" w:color="000000"/>
              <w:left w:val="single" w:sz="4" w:space="0" w:color="000000"/>
              <w:right w:val="single" w:sz="4" w:space="0" w:color="000000"/>
            </w:tcBorders>
            <w:shd w:val="clear" w:color="auto" w:fill="2B4C7E"/>
            <w:tcW w:w="8000" w:type="dxa"/>
          </w:tcPr>
          <w:p>
            <w:r>
              <w:rPr>
                <w:rFonts w:ascii="맑은 고딕" w:hAnsi="맑은 고딕"/>
                <w:b/>
                <w:color w:val="FFFFFF"/>
                <w:sz w:val="22"/>
              </w:rPr>
              <w:t>응답</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1. 학번과 이름</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31209 남수민</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2. 공연명</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Ignite ; 불꽃이 들려주는 음악의 밤</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3. 기획의도 (중요)</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화학공학을 진로로 준비하며 금속 이온의 불꽃 반응이 원소마다 고유한 색을 낸다는 사실에서 물질이 지닌 미적 가치를 발견했습니다. 빛의 파장이 색을 결정하듯 공기의 진동이 음색을 만든다는 물리적 유사성에 착안하여, 화학 반응의 시각적 아름다움과 클래식 음악의 감정선을 하나의 무대 위에서 동기화하는 공연을 기획했습니다. 불꽃을 시각과 청각 사이의 매개로 삼아, 관객이 사전 지식 없이도 과학과 예술이 분리되지 않는다는 것을 직관적으로 체감하게 하는 것이 본 공연의 핵심 목표입니다.</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4. 공연 컨셉</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원소별 불꽃 반응의 고유한 색채 변화와 클래식 음악의 감정선을 실시간으로 동기화하여, 과학과 예술의 경계를 허무는 감각 통합 공연</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5. 주요 관객 예상 연령대</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10대, 20대, 30대, 40대</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6. 타깃 관객 특징과 공연 관람 이유</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주요 타깃은 10대와 20대입니다. 이 세대는 야외 복합 문화 행사에 가장 활발하게 참여하며, 고등학교 화학 수업에서 불꽃 반응을 이미 학습한 경험이 있어 공연 속 불꽃의 원리를 자연스럽게 이해할 수 있습니다. 교과서에서 배운 화학 개념이 실제 공연에서 감동으로 전환되는 순간을 경험하며 배움의 의미를 재발견하게 됩니다. SNS 공유에 익숙한 세대이므로 불꽃과 음악이 결합된 시각적 장면이 자발적 확산으로 이어질 것으로 기대합니다. 30~40대 관객에게는 익숙한 클래식 명곡이 불꽃이라는 전혀 새로운 시각적 층위와 결합되어 신선한 감상 경험을 제공하며, 자녀와 함께 방문하여 과학과 예술의 융합을 가족 단위로 체험할 수 있다는 점에서 관람 동기가 형성됩니다.</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7. 공연 시간(러닝타임)</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90분 (오후 7시 30분 ~ 오후 9시)</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8. 공연 장소</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천안 성성호수공원 야외 광장 — 호수에 반사되는 불꽃이 시각적 효과를 극대화하며, 야외 공간 특성상 불꽃 연출 시 안전 거리를 충분히 확보할 수 있습니다. 일몰 이후 시간대를 선택하여 어두운 배경에서 불꽃의 색채가 최대한 선명하게 드러나도록 설계했습니다.</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9. 프로그램 구성 (중요)</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공연은 총 5개 섹션으로 구성되며, 각 섹션은 특정 원소의 불꽃 색과 그에 어울리는 클래식 음악을 매칭하여 감정의 흐름을 설계했습니다.</w:t>
              <w:br/>
              <w:br/>
              <w:t>[오프닝 — 점화 (10분)] 홀스트 「행성」 中 목성. 나트륨(Na)의 황금빛과 마그네슘(Mg)의 강렬한 흰색 불꽃으로 공간을 압도적으로 열며, 웅장한 관현악과 함께 관객의 시선을 무대로 집중시킵니다.</w:t>
              <w:br/>
              <w:br/>
              <w:t>[1부 — 고요 (20분)] 드뷔시 「달빛」, 사티 「짐노페디 1번」. 세슘(Cs)의 청색과 칼륨(K)의 보라색 불꽃이 서정적이고 차분한 선율과 함께 호수 위로 퍼지며 몽환적인 분위기를 조성합니다.</w:t>
              <w:br/>
              <w:br/>
              <w:t>[2부 — 고조 (20분)] 비발디 「사계」 中 여름 3악장. 구리(Cu)의 초록색과 칼슘(Ca)의 주황색 불꽃이 빠른 템포의 긴장감과 함께 에너지를 끌어올립니다. 색의 대비가 뚜렷해 시각적 자극이 극대화되는 구간입니다.</w:t>
              <w:br/>
              <w:br/>
              <w:t>[클라이맥스 — 절정 (20분)] 베토벤 「운명」 교향곡 1악장. 리튬(Li)의 진한 빨강과 철(Fe)의 금색 불꽃이 강렬한 4음 모티프와 함께 터지며 공연의 절정을 만듭니다.</w:t>
              <w:br/>
              <w:br/>
              <w:t>[피날레 — 해방 (20분)] 베토벤 「환희의 송가」. 앞서 등장한 모든 원소의 불꽃이 동시에 연출되며, 개별적이던 색이 하나의 화합으로 수렴합니다. 과학과 예술이 결국 같은 아름다움을 향한다는 메시지를 감각으로 전달하며 공연을 마무리합니다.</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10. 예산 계획 (주요 예산 항목)</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총 예산: 1,900만 원</w:t>
              <w:br/>
              <w:br/>
              <w:t>① 불꽃 연출 장비 및 운영: 800만 원 — 전문 불꽃 연출 업체 섭외, 원소별 금속 화합물 조달, 안전 인력 4명 배치, 공연 배상책임보험 가입 포함</w:t>
              <w:br/>
              <w:t>② 연주자 섭외(앙상블 10인): 400만 원 — 현악 4중주 + 관악 4인 + 피아노 + 타악기, 1인당 40만 원(리허설 2회 포함)</w:t>
              <w:br/>
              <w:t>③ 음향·조명 장비: 300만 원 — 야외 공연용 PA 시스템, LED 보조 조명, 무선 마이크 시스템 임대</w:t>
              <w:br/>
              <w:t>④ 무대·안전 설비: 200만 원 — 조립식 야외 무대(6m×8m), 관객 안전 펜스, 소화기·방화 담요 등 소방 장비, 비상 대피 안내 시스템</w:t>
              <w:br/>
              <w:t>⑤ 홍보·마케팅: 100만 원 — SNS 광고비(인스타그램·유튜브 타깃 광고), 현장 포토존 제작, 포스터 인쇄</w:t>
              <w:br/>
              <w:t>⑥ 기타 운영비: 100만 원 — 현장 스태프 인건비, 관객 안내 물품, 예비비</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11. 마케팅 전략</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[홍보 문구] "리튬은 빨강, 구리는 초록, 나트륨은 금빛 — 원소가 연주하는 빛의 교향곡, Ignite에서 만나세요."</w:t>
              <w:br/>
              <w:br/>
              <w:t>(1) 공연 2주 전 — SNS 바이럴: "이 불꽃은 무슨 원소일까?" 퀴즈 이벤트를 인스타그램 스토리와 릴스로 진행하여 과학 호기심을 자극하고, 정답자에게 공연 초대권 증정</w:t>
              <w:br/>
              <w:t>(2) 공연 1주 전 — 숏폼 영상 공개: 리튬·구리·나트륨 불꽃 반응 실험 영상을 30초 숏폼으로 제작해 유튜브 쇼츠와 인스타그램 릴스에 배포</w:t>
              <w:br/>
              <w:t>(3) 공연 당일 — 현장 참여형 콘텐츠: 원소별 불꽃 색 포토존 운영, 공식 해시태그(#Ignite불꽃의밤) 이벤트</w:t>
              <w:br/>
              <w:t>(4) 공연 후 — 확산: 하이라이트 영상(3분) 게시, 관객 후기 리포스트</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12. 후원 기업 및 선정 사유</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(1) 한화재단 — 서울세계불꽃축제 주관 경험, 불꽃 연출 전문성과 안전 인프라 지원. 문화예술 지원 사업 취지 부합.</w:t>
              <w:br/>
              <w:br/>
              <w:t>(2) 삼성 뮤직 펠로우십 — 삼성문화재단 산하 음악 지원 프로그램. 젊은 클래식 연주자 육성과 공연 기회 확대 목표. 음악 프로그램 기획과 연주자 섭외 협력.</w:t>
              <w:br/>
              <w:br/>
              <w:t>(3) 천안시 문화재단 — 성성호수공원 관할, 장소 제공과 홍보 협력. 지역 문화 행사 활성화 취지 부합.</w:t>
            </w:r>
          </w:p>
        </w:tc>
      </w:tr>
      <w:tr>
        <w:tc>
          <w:tcPr>
            <w:tcBorders>
              <w:top w:val="single" w:sz="4" w:space="0" w:color="000000"/>
              <w:bottom w:val="single" w:sz="4" w:space="0" w:color="000000"/>
              <w:left w:val="single" w:sz="4" w:space="0" w:color="000000"/>
              <w:right w:val="single" w:sz="4" w:space="0" w:color="000000"/>
            </w:tcBorders>
            <w:tcW w:w="3000" w:type="dxa"/>
          </w:tcPr>
          <w:p>
            <w:r>
              <w:rPr>
                <w:rFonts w:ascii="맑은 고딕" w:hAnsi="맑은 고딕"/>
                <w:b/>
                <w:sz w:val="20"/>
              </w:rPr>
              <w:t>13. 기대효과</w:t>
            </w:r>
          </w:p>
        </w:tc>
        <w:tc>
          <w:tcPr>
            <w:tcBorders>
              <w:top w:val="single" w:sz="4" w:space="0" w:color="000000"/>
              <w:bottom w:val="single" w:sz="4" w:space="0" w:color="000000"/>
              <w:left w:val="single" w:sz="4" w:space="0" w:color="000000"/>
              <w:right w:val="single" w:sz="4" w:space="0" w:color="000000"/>
            </w:tcBorders>
            <w:tcW w:w="8000" w:type="dxa"/>
          </w:tcPr>
          <w:p>
            <w:r>
              <w:rPr>
                <w:rFonts w:ascii="맑은 고딕" w:hAnsi="맑은 고딕"/>
                <w:sz w:val="20"/>
              </w:rPr>
              <w:t>첫째, 과학과 예술이 별개의 영역이 아니라 동일한 자연 현상의 서로 다른 해석이라는 인식을 관객에게 심어줄 수 있습니다. 불꽃 반응이라는 화학 원리가 무대 위에서 아름다움으로 전환되는 과정을 직접 목격함으로써, 과학에 대한 심리적 장벽이 낮아지는 효과를 기대합니다. 둘째, 클래식 음악을 처음 접하는 젊은 관객에게 시각적 매개를 통해 음악 감상의 진입 장벽을 낮추고, 능동적으로 음악을 해석하는 경험을 제공합니다. 셋째, 천안 지역의 야외 문화 콘텐츠를 다양화하고, 성성호수공원을 과학·예술 융합 공연의 명소로 자리매김하여 지역 문화 브랜드 가치를 높이는 데 기여합니다.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 불꽃이 들려주는 음악의 밤 — 구글폼 응답</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