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rFonts w:ascii="맑은 고딕" w:hAnsi="맑은 고딕"/>
          <w:sz w:val="22"/>
        </w:rPr>
        <w:t>2026-1 사회와 문화                          탐구 보고서</w:t>
      </w:r>
    </w:p>
    <w:tbl>
      <w:tblPr>
        <w:tblStyle w:val="TableGrid"/>
        <w:tblW w:type="auto" w:w="0"/>
        <w:tblLook w:firstColumn="1" w:firstRow="1" w:lastColumn="0" w:lastRow="0" w:noHBand="0" w:noVBand="1" w:val="04A0"/>
      </w:tblPr>
      <w:tblGrid>
        <w:gridCol w:w="2160"/>
        <w:gridCol w:w="2160"/>
        <w:gridCol w:w="2160"/>
        <w:gridCol w:w="2160"/>
      </w:tblGrid>
      <w:tr>
        <w:tc>
          <w:tcPr>
            <w:tcW w:type="dxa" w:w="2160"/>
            <w:tcBorders>
              <w:top w:val="single" w:sz="4" w:space="0" w:color="000000"/>
              <w:bottom w:val="single" w:sz="4" w:space="0" w:color="000000"/>
              <w:left w:val="single" w:sz="4" w:space="0" w:color="000000"/>
              <w:right w:val="single" w:sz="4" w:space="0" w:color="000000"/>
            </w:tcBorders>
          </w:tcPr>
          <w:p>
            <w:r>
              <w:rPr>
                <w:rFonts w:ascii="맑은 고딕" w:hAnsi="맑은 고딕"/>
                <w:b/>
                <w:sz w:val="22"/>
              </w:rPr>
              <w:t>분반</w:t>
            </w:r>
          </w:p>
        </w:tc>
        <w:tc>
          <w:tcPr>
            <w:tcW w:type="dxa" w:w="2160"/>
            <w:tcBorders>
              <w:top w:val="single" w:sz="4" w:space="0" w:color="000000"/>
              <w:bottom w:val="single" w:sz="4" w:space="0" w:color="000000"/>
              <w:left w:val="single" w:sz="4" w:space="0" w:color="000000"/>
              <w:right w:val="single" w:sz="4" w:space="0" w:color="000000"/>
            </w:tcBorders>
          </w:tcPr>
          <w:p>
            <w:r/>
          </w:p>
        </w:tc>
        <w:tc>
          <w:tcPr>
            <w:tcW w:type="dxa" w:w="2160"/>
            <w:tcBorders>
              <w:top w:val="single" w:sz="4" w:space="0" w:color="000000"/>
              <w:bottom w:val="single" w:sz="4" w:space="0" w:color="000000"/>
              <w:left w:val="single" w:sz="4" w:space="0" w:color="000000"/>
              <w:right w:val="single" w:sz="4" w:space="0" w:color="000000"/>
            </w:tcBorders>
          </w:tcPr>
          <w:p>
            <w:r>
              <w:rPr>
                <w:rFonts w:ascii="맑은 고딕" w:hAnsi="맑은 고딕"/>
                <w:b/>
                <w:sz w:val="22"/>
              </w:rPr>
              <w:t>학번</w:t>
            </w:r>
          </w:p>
        </w:tc>
        <w:tc>
          <w:tcPr>
            <w:tcW w:type="dxa" w:w="2160"/>
            <w:tcBorders>
              <w:top w:val="single" w:sz="4" w:space="0" w:color="000000"/>
              <w:bottom w:val="single" w:sz="4" w:space="0" w:color="000000"/>
              <w:left w:val="single" w:sz="4" w:space="0" w:color="000000"/>
              <w:right w:val="single" w:sz="4" w:space="0" w:color="000000"/>
            </w:tcBorders>
          </w:tcPr>
          <w:p>
            <w:r/>
          </w:p>
        </w:tc>
      </w:tr>
      <w:tr>
        <w:tc>
          <w:tcPr>
            <w:tcW w:type="dxa" w:w="2160"/>
            <w:tcBorders>
              <w:top w:val="single" w:sz="4" w:space="0" w:color="000000"/>
              <w:bottom w:val="single" w:sz="4" w:space="0" w:color="000000"/>
              <w:left w:val="single" w:sz="4" w:space="0" w:color="000000"/>
              <w:right w:val="single" w:sz="4" w:space="0" w:color="000000"/>
            </w:tcBorders>
          </w:tcPr>
          <w:p>
            <w:r>
              <w:rPr>
                <w:rFonts w:ascii="맑은 고딕" w:hAnsi="맑은 고딕"/>
                <w:b/>
                <w:sz w:val="22"/>
              </w:rPr>
              <w:t>성명</w:t>
            </w:r>
          </w:p>
        </w:tc>
        <w:tc>
          <w:tcPr>
            <w:tcW w:type="dxa" w:w="6480"/>
            <w:gridSpan w:val="3"/>
            <w:tcBorders>
              <w:top w:val="single" w:sz="4" w:space="0" w:color="000000"/>
              <w:bottom w:val="single" w:sz="4" w:space="0" w:color="000000"/>
              <w:left w:val="single" w:sz="4" w:space="0" w:color="000000"/>
              <w:right w:val="single" w:sz="4" w:space="0" w:color="000000"/>
            </w:tcBorders>
          </w:tcPr>
          <w:p>
            <w:r/>
          </w:p>
          <w:p>
            <w:r/>
          </w:p>
          <w:p>
            <w:r/>
          </w:p>
        </w:tc>
      </w:tr>
      <w:tr>
        <w:tc>
          <w:tcPr>
            <w:tcW w:type="dxa" w:w="8640"/>
            <w:gridSpan w:val="4"/>
            <w:tcBorders>
              <w:top w:val="single" w:sz="4" w:space="0" w:color="000000"/>
              <w:bottom w:val="single" w:sz="4" w:space="0" w:color="000000"/>
              <w:left w:val="single" w:sz="4" w:space="0" w:color="000000"/>
              <w:right w:val="single" w:sz="4" w:space="0" w:color="000000"/>
            </w:tcBorders>
            <w:vAlign w:val="center"/>
          </w:tcPr>
          <w:p>
            <w:pPr>
              <w:jc w:val="center"/>
            </w:pPr>
            <w:r>
              <w:rPr>
                <w:rFonts w:ascii="맑은 고딕" w:hAnsi="맑은 고딕"/>
                <w:b/>
                <w:sz w:val="28"/>
              </w:rPr>
              <w:t>독서 기반 사회학적 상상력 탐구-보고서</w:t>
            </w:r>
          </w:p>
        </w:tc>
      </w:tr>
    </w:tbl>
    <w:tbl>
      <w:tblPr>
        <w:tblStyle w:val="TableGrid"/>
        <w:tblW w:type="auto" w:w="0"/>
        <w:tblLook w:firstColumn="1" w:firstRow="1" w:lastColumn="0" w:lastRow="0" w:noHBand="0" w:noVBand="1" w:val="04A0"/>
      </w:tblPr>
      <w:tblGrid>
        <w:gridCol w:w="2880"/>
        <w:gridCol w:w="2880"/>
        <w:gridCol w:w="2880"/>
      </w:tblGrid>
      <w:tr>
        <w:tc>
          <w:tcPr>
            <w:vMerge w:val="restart"/>
            <w:tcBorders>
              <w:top w:val="single" w:sz="4" w:space="0" w:color="000000"/>
              <w:bottom w:val="single" w:sz="4" w:space="0" w:color="000000"/>
              <w:left w:val="single" w:sz="4" w:space="0" w:color="000000"/>
              <w:right w:val="single" w:sz="4" w:space="0" w:color="000000"/>
            </w:tcBorders>
            <w:tcW w:w="1400" w:type="dxa"/>
            <w:shd w:val="clear" w:color="auto" w:fill="D9E2F3"/>
            <w:vAlign w:val="center"/>
          </w:tcPr>
          <w:p>
            <w:pPr>
              <w:jc w:val="center"/>
            </w:pPr>
            <w:r>
              <w:rPr>
                <w:rFonts w:ascii="맑은 고딕" w:hAnsi="맑은 고딕"/>
                <w:b/>
                <w:sz w:val="22"/>
              </w:rPr>
              <w:t>자료 수집</w:t>
              <w:br/>
              <w:t>및 분석</w:t>
            </w:r>
          </w:p>
          <w:p>
            <w:pPr>
              <w:jc w:val="center"/>
            </w:pPr>
            <w:r>
              <w:rPr>
                <w:rFonts w:ascii="맑은 고딕" w:hAnsi="맑은 고딕"/>
                <w:b/>
                <w:sz w:val="22"/>
              </w:rPr>
            </w:r>
          </w:p>
          <w:p>
            <w:pPr>
              <w:jc w:val="center"/>
            </w:pPr>
            <w:r>
              <w:rPr>
                <w:rFonts w:ascii="맑은 고딕" w:hAnsi="맑은 고딕"/>
                <w:b/>
                <w:sz w:val="22"/>
              </w:rPr>
            </w:r>
          </w:p>
          <w:p>
            <w:pPr>
              <w:jc w:val="center"/>
            </w:pPr>
            <w:r>
              <w:rPr>
                <w:rFonts w:ascii="맑은 고딕" w:hAnsi="맑은 고딕"/>
                <w:b/>
                <w:sz w:val="22"/>
              </w:rPr>
            </w:r>
          </w:p>
        </w:tc>
        <w:tc>
          <w:tcPr>
            <w:tcBorders>
              <w:top w:val="single" w:sz="4" w:space="0" w:color="000000"/>
              <w:bottom w:val="single" w:sz="4" w:space="0" w:color="000000"/>
              <w:left w:val="single" w:sz="4" w:space="0" w:color="000000"/>
              <w:right w:val="single" w:sz="4" w:space="0" w:color="000000"/>
            </w:tcBorders>
            <w:tcW w:w="1700" w:type="dxa"/>
            <w:shd w:val="clear" w:color="auto" w:fill="D9E2F3"/>
          </w:tcPr>
          <w:p>
            <w:r>
              <w:rPr>
                <w:rFonts w:ascii="맑은 고딕" w:hAnsi="맑은 고딕"/>
                <w:b/>
                <w:sz w:val="22"/>
              </w:rPr>
              <w:t>선택한</w:t>
              <w:br/>
              <w:t>연구 방법</w:t>
            </w:r>
          </w:p>
        </w:tc>
        <w:tc>
          <w:tcPr>
            <w:tcBorders>
              <w:top w:val="single" w:sz="4" w:space="0" w:color="000000"/>
              <w:bottom w:val="single" w:sz="4" w:space="0" w:color="000000"/>
              <w:left w:val="single" w:sz="4" w:space="0" w:color="000000"/>
              <w:right w:val="single" w:sz="4" w:space="0" w:color="000000"/>
            </w:tcBorders>
            <w:tcW w:w="7000" w:type="dxa"/>
          </w:tcPr>
          <w:p>
            <w:r>
              <w:rPr>
                <w:rFonts w:ascii="맑은 고딕" w:hAnsi="맑은 고딕"/>
                <w:sz w:val="22"/>
              </w:rPr>
              <w:t>양적 연구 방법</w:t>
            </w:r>
          </w:p>
        </w:tc>
      </w:tr>
      <w:tr>
        <w:tc>
          <w:tcPr>
            <w:tcW w:type="dxa" w:w="2880"/>
            <w:vMerge/>
            <w:tcBorders>
              <w:top w:val="single" w:sz="4" w:space="0" w:color="000000"/>
              <w:bottom w:val="single" w:sz="4" w:space="0" w:color="000000"/>
              <w:left w:val="single" w:sz="4" w:space="0" w:color="000000"/>
              <w:right w:val="single" w:sz="4" w:space="0" w:color="000000"/>
            </w:tcBorders>
          </w:tcPr>
          <w:p/>
        </w:tc>
        <w:tc>
          <w:tcPr>
            <w:tcBorders>
              <w:top w:val="single" w:sz="4" w:space="0" w:color="000000"/>
              <w:bottom w:val="single" w:sz="4" w:space="0" w:color="000000"/>
              <w:left w:val="single" w:sz="4" w:space="0" w:color="000000"/>
              <w:right w:val="single" w:sz="4" w:space="0" w:color="000000"/>
            </w:tcBorders>
            <w:tcW w:w="1700" w:type="dxa"/>
            <w:shd w:val="clear" w:color="auto" w:fill="D9E2F3"/>
          </w:tcPr>
          <w:p>
            <w:r>
              <w:rPr>
                <w:rFonts w:ascii="맑은 고딕" w:hAnsi="맑은 고딕"/>
                <w:b/>
                <w:sz w:val="22"/>
              </w:rPr>
              <w:t>증빙 자료</w:t>
            </w:r>
          </w:p>
        </w:tc>
        <w:tc>
          <w:tcPr>
            <w:tcBorders>
              <w:top w:val="single" w:sz="4" w:space="0" w:color="000000"/>
              <w:bottom w:val="single" w:sz="4" w:space="0" w:color="000000"/>
              <w:left w:val="single" w:sz="4" w:space="0" w:color="000000"/>
              <w:right w:val="single" w:sz="4" w:space="0" w:color="000000"/>
            </w:tcBorders>
            <w:tcW w:w="7000" w:type="dxa"/>
          </w:tcPr>
          <w:p>
            <w:r>
              <w:rPr>
                <w:rFonts w:ascii="맑은 고딕" w:hAnsi="맑은 고딕"/>
                <w:sz w:val="22"/>
              </w:rPr>
              <w:t>[구글폼 설문 화면 캡처 삽입]</w:t>
              <w:br/>
              <w:br/>
              <w:t>※ 본인이 직접 제작한 구글폼 설문지 화면과 응답 수집 현황 캡처본을 이 칸에 붙여넣을 것</w:t>
            </w:r>
          </w:p>
        </w:tc>
      </w:tr>
      <w:tr>
        <w:tc>
          <w:tcPr>
            <w:tcW w:type="dxa" w:w="2880"/>
            <w:vMerge/>
            <w:tcBorders>
              <w:top w:val="single" w:sz="4" w:space="0" w:color="000000"/>
              <w:bottom w:val="single" w:sz="4" w:space="0" w:color="000000"/>
              <w:left w:val="single" w:sz="4" w:space="0" w:color="000000"/>
              <w:right w:val="single" w:sz="4" w:space="0" w:color="000000"/>
            </w:tcBorders>
          </w:tcPr>
          <w:p/>
        </w:tc>
        <w:tc>
          <w:tcPr>
            <w:tcBorders>
              <w:top w:val="single" w:sz="4" w:space="0" w:color="000000"/>
              <w:bottom w:val="single" w:sz="4" w:space="0" w:color="000000"/>
              <w:left w:val="single" w:sz="4" w:space="0" w:color="000000"/>
              <w:right w:val="single" w:sz="4" w:space="0" w:color="000000"/>
            </w:tcBorders>
            <w:tcW w:w="1700" w:type="dxa"/>
            <w:shd w:val="clear" w:color="auto" w:fill="D9E2F3"/>
          </w:tcPr>
          <w:p>
            <w:r>
              <w:rPr>
                <w:rFonts w:ascii="맑은 고딕" w:hAnsi="맑은 고딕"/>
                <w:b/>
                <w:sz w:val="22"/>
              </w:rPr>
              <w:t>사용한</w:t>
              <w:br/>
              <w:t>자료 수집</w:t>
              <w:br/>
              <w:t>방법</w:t>
            </w:r>
          </w:p>
        </w:tc>
        <w:tc>
          <w:tcPr>
            <w:tcBorders>
              <w:top w:val="single" w:sz="4" w:space="0" w:color="000000"/>
              <w:bottom w:val="single" w:sz="4" w:space="0" w:color="000000"/>
              <w:left w:val="single" w:sz="4" w:space="0" w:color="000000"/>
              <w:right w:val="single" w:sz="4" w:space="0" w:color="000000"/>
            </w:tcBorders>
            <w:tcW w:w="7000" w:type="dxa"/>
          </w:tcPr>
          <w:p>
            <w:r>
              <w:rPr>
                <w:rFonts w:ascii="맑은 고딕" w:hAnsi="맑은 고딕"/>
                <w:sz w:val="22"/>
              </w:rPr>
              <w:t>설문조사 (구글폼을 활용한 온라인 설문)</w:t>
            </w:r>
          </w:p>
        </w:tc>
      </w:tr>
      <w:tr>
        <w:tc>
          <w:tcPr>
            <w:tcW w:type="dxa" w:w="2880"/>
            <w:vMerge/>
            <w:tcBorders>
              <w:top w:val="single" w:sz="4" w:space="0" w:color="000000"/>
              <w:bottom w:val="single" w:sz="4" w:space="0" w:color="000000"/>
              <w:left w:val="single" w:sz="4" w:space="0" w:color="000000"/>
              <w:right w:val="single" w:sz="4" w:space="0" w:color="000000"/>
            </w:tcBorders>
          </w:tcPr>
          <w:p/>
        </w:tc>
        <w:tc>
          <w:tcPr>
            <w:tcBorders>
              <w:top w:val="single" w:sz="4" w:space="0" w:color="000000"/>
              <w:bottom w:val="single" w:sz="4" w:space="0" w:color="000000"/>
              <w:left w:val="single" w:sz="4" w:space="0" w:color="000000"/>
              <w:right w:val="single" w:sz="4" w:space="0" w:color="000000"/>
            </w:tcBorders>
            <w:tcW w:w="1700" w:type="dxa"/>
            <w:shd w:val="clear" w:color="auto" w:fill="D9E2F3"/>
          </w:tcPr>
          <w:p>
            <w:r>
              <w:rPr>
                <w:rFonts w:ascii="맑은 고딕" w:hAnsi="맑은 고딕"/>
                <w:b/>
                <w:sz w:val="22"/>
              </w:rPr>
              <w:t>자료 수집</w:t>
              <w:br/>
              <w:t>결과 및</w:t>
              <w:br/>
              <w:t>분석</w:t>
            </w:r>
          </w:p>
        </w:tc>
        <w:tc>
          <w:tcPr>
            <w:tcBorders>
              <w:top w:val="single" w:sz="4" w:space="0" w:color="000000"/>
              <w:bottom w:val="single" w:sz="4" w:space="0" w:color="000000"/>
              <w:left w:val="single" w:sz="4" w:space="0" w:color="000000"/>
              <w:right w:val="single" w:sz="4" w:space="0" w:color="000000"/>
            </w:tcBorders>
            <w:tcW w:w="7000" w:type="dxa"/>
          </w:tcPr>
          <w:p>
            <w:r>
              <w:rPr>
                <w:rFonts w:ascii="맑은 고딕" w:hAnsi="맑은 고딕"/>
                <w:sz w:val="22"/>
              </w:rPr>
              <w:t>북일여고 학생 63명을 대상으로 2026년 3월 22일부터 25일까지 구글폼을 활용한 온라인 설문조사를 실시하였다. 응답자의 학년 분포는 1학년 41명, 2학년 15명, 3학년 7명이었다.</w:t>
              <w:br/>
              <w:br/>
              <w:t>먼저 가정의 사회경제적 지위와 관련된 응답을 살펴보면, 보호자의 최종 학력은 대학교 재학 또는 졸업이 49.2%로 가장 높았고, 전문대 17.5%, 고졸 12.7%, 대학원 11.1% 순이었다. 월평균 가구소득은 400만~600만 원 구간이 33.3%로 가장 많았으며, 600만~800만 원 22.2%, 200만~400만 원 19.0%가 뒤를 이었다. 사교육 현황의 경우 주 3회 이상 받는다는 응답이 42.9%, 주 1~2회 42.9%, 전혀 받지 않는다 14.3%로 나타났다.</w:t>
              <w:br/>
              <w:br/>
              <w:t>학업성취도 관련 응답에서는 중위권(3등급)이 34.9%로 가장 많았고, 중상위권 22.2%, 중하위권 20.6%, 상위권 12.7%, 하위권 9.5% 순으로 분포하였다.</w:t>
              <w:br/>
              <w:br/>
              <w:t>핵심 분석을 위해 보호자 학력과 가구소득을 종합하여 사회경제적 지위를 상·중·하 세 집단으로 구분하였다. 가구소득 600만 원 이상이면서 보호자 학력이 대졸 이상인 경우를 상위 집단(18명), 가구소득 400만~600만 원대이거나 조건이 혼합된 경우를 중위 집단(25명), 가구소득 400만 원 미만이거나 보호자 학력이 고졸 이하인 경우를 하위 집단(15명)으로 분류하였다(소득 또는 학력을 모르겠다고 응답한 5명은 분석에서 제외).</w:t>
              <w:br/>
              <w:br/>
              <w:t>교차 분석 결과, 상위 집단에서는 상위권·중상위권 성적 비율이 61.1%에 달한 반면, 중위 집단은 32.0%, 하위 집단은 20.0%에 그쳤다. 반대로 중하위권·하위권 성적 비율은 상위 집단 11.1%, 중위 집단 28.0%, 하위 집단 46.7%로, 사회경제적 지위가 낮을수록 학업성취도가 낮은 경향이 뚜렷하게 나타났다.</w:t>
              <w:br/>
              <w:br/>
              <w:t>사교육 참여 정도와 성적의 관계도 유사한 양상을 보였다. 주 3회 이상 사교육을 받는 학생 중 상위권·중상위권 비율은 48.1%였으나, 사교육을 전혀 받지 않는 학생 중 같은 비율은 11.1%에 불과하였다. 가정의 학습 지원 정도와 학습 공간 확보 여부 역시 성적과 양의 상관관계를 보였는데, 가정 학습 지원이 '그런 편이다' 이상이라고 응답한 학생의 평균 성적 등급이 그렇지 않다고 응답한 학생보다 약 1등급 정도 높았다.</w:t>
              <w:br/>
              <w:br/>
              <w:t>이러한 결과는 마이클 샌델이 《공정하다는 착각》에서 지적한 능력주의의 모순과 맥을 같이한다. 샌델은 개인의 성공이 순전히 노력과 재능의 산물이라는 믿음이 구조적 불평등을 은폐한다고 비판하였는데, 본 설문 결과에서도 가정 배경에 따라 사교육 기회, 학습 환경, 나아가 학업 성취에 이르기까지 체계적인 차이가 확인되었다. 특히 사교육 참여율이 가구소득과 밀접하게 연관되어 있다는 점은, 교육 기회의 불평등이 경제적 자원에 의해 재생산되고 있음을 보여준다.</w:t>
            </w:r>
          </w:p>
        </w:tc>
      </w:tr>
      <w:tr>
        <w:tc>
          <w:tcPr>
            <w:vMerge w:val="restart"/>
            <w:tcBorders>
              <w:top w:val="single" w:sz="4" w:space="0" w:color="000000"/>
              <w:bottom w:val="single" w:sz="4" w:space="0" w:color="000000"/>
              <w:left w:val="single" w:sz="4" w:space="0" w:color="000000"/>
              <w:right w:val="single" w:sz="4" w:space="0" w:color="000000"/>
            </w:tcBorders>
            <w:tcW w:w="1400" w:type="dxa"/>
            <w:shd w:val="clear" w:color="auto" w:fill="D9E2F3"/>
            <w:vAlign w:val="center"/>
          </w:tcPr>
          <w:p>
            <w:pPr>
              <w:jc w:val="center"/>
            </w:pPr>
            <w:r>
              <w:rPr>
                <w:rFonts w:ascii="맑은 고딕" w:hAnsi="맑은 고딕"/>
                <w:b/>
                <w:sz w:val="22"/>
              </w:rPr>
              <w:t>가설 검증</w:t>
              <w:br/>
              <w:t>및 결론</w:t>
              <w:br/>
              <w:t>도출</w:t>
            </w:r>
          </w:p>
          <w:p>
            <w:pPr>
              <w:jc w:val="center"/>
            </w:pPr>
            <w:r>
              <w:rPr>
                <w:rFonts w:ascii="맑은 고딕" w:hAnsi="맑은 고딕"/>
                <w:b/>
                <w:sz w:val="22"/>
              </w:rPr>
            </w:r>
          </w:p>
        </w:tc>
        <w:tc>
          <w:tcPr>
            <w:tcBorders>
              <w:top w:val="single" w:sz="4" w:space="0" w:color="000000"/>
              <w:bottom w:val="single" w:sz="4" w:space="0" w:color="000000"/>
              <w:left w:val="single" w:sz="4" w:space="0" w:color="000000"/>
              <w:right w:val="single" w:sz="4" w:space="0" w:color="000000"/>
            </w:tcBorders>
            <w:tcW w:w="1700" w:type="dxa"/>
            <w:shd w:val="clear" w:color="auto" w:fill="D9E2F3"/>
          </w:tcPr>
          <w:p>
            <w:r>
              <w:rPr>
                <w:rFonts w:ascii="맑은 고딕" w:hAnsi="맑은 고딕"/>
                <w:b/>
                <w:sz w:val="22"/>
              </w:rPr>
              <w:t>가설 검증</w:t>
            </w:r>
          </w:p>
        </w:tc>
        <w:tc>
          <w:tcPr>
            <w:tcBorders>
              <w:top w:val="single" w:sz="4" w:space="0" w:color="000000"/>
              <w:bottom w:val="single" w:sz="4" w:space="0" w:color="000000"/>
              <w:left w:val="single" w:sz="4" w:space="0" w:color="000000"/>
              <w:right w:val="single" w:sz="4" w:space="0" w:color="000000"/>
            </w:tcBorders>
            <w:tcW w:w="7000" w:type="dxa"/>
          </w:tcPr>
          <w:p>
            <w:r>
              <w:rPr>
                <w:rFonts w:ascii="맑은 고딕" w:hAnsi="맑은 고딕"/>
                <w:sz w:val="22"/>
              </w:rPr>
              <w:t>가설: "가정의 사회경제적 지위가 높을수록 학업성취도가 높을 것이다."</w:t>
              <w:br/>
              <w:br/>
              <w:t>검증 결과, 사회경제적 지위 상위 집단의 상위권·중상위권 성적 비율(61.1%)이 하위 집단(20.0%)의 약 3배에 달하였고, 중하위권·하위권 성적 비율은 하위 집단(46.7%)이 상위 집단(11.1%)보다 약 4배 높았다. 사교육 참여율, 가정 학습 지원, 학습 공간 등 매개 변인에서도 일관된 차이가 나타났으므로, 본 가설을 채택한다.</w:t>
              <w:br/>
              <w:br/>
              <w:t>다만 중위 집단 내에서도 자습 시간이 많은 학생은 높은 성적을 보인 사례가 있어, 사회경제적 지위가 학업성취도를 전적으로 결정하는 것은 아니며 개인의 노력 역시 유의미한 변인임을 함께 확인하였다.</w:t>
            </w:r>
          </w:p>
        </w:tc>
      </w:tr>
      <w:tr>
        <w:tc>
          <w:tcPr>
            <w:tcW w:type="dxa" w:w="2880"/>
            <w:vMerge/>
            <w:tcBorders>
              <w:top w:val="single" w:sz="4" w:space="0" w:color="000000"/>
              <w:bottom w:val="single" w:sz="4" w:space="0" w:color="000000"/>
              <w:left w:val="single" w:sz="4" w:space="0" w:color="000000"/>
              <w:right w:val="single" w:sz="4" w:space="0" w:color="000000"/>
            </w:tcBorders>
          </w:tcPr>
          <w:p/>
        </w:tc>
        <w:tc>
          <w:tcPr>
            <w:tcBorders>
              <w:top w:val="single" w:sz="4" w:space="0" w:color="000000"/>
              <w:bottom w:val="single" w:sz="4" w:space="0" w:color="000000"/>
              <w:left w:val="single" w:sz="4" w:space="0" w:color="000000"/>
              <w:right w:val="single" w:sz="4" w:space="0" w:color="000000"/>
            </w:tcBorders>
            <w:tcW w:w="1700" w:type="dxa"/>
            <w:shd w:val="clear" w:color="auto" w:fill="D9E2F3"/>
          </w:tcPr>
          <w:p>
            <w:r>
              <w:rPr>
                <w:rFonts w:ascii="맑은 고딕" w:hAnsi="맑은 고딕"/>
                <w:b/>
                <w:sz w:val="22"/>
              </w:rPr>
              <w:t>결론 도출</w:t>
            </w:r>
          </w:p>
        </w:tc>
        <w:tc>
          <w:tcPr>
            <w:tcBorders>
              <w:top w:val="single" w:sz="4" w:space="0" w:color="000000"/>
              <w:bottom w:val="single" w:sz="4" w:space="0" w:color="000000"/>
              <w:left w:val="single" w:sz="4" w:space="0" w:color="000000"/>
              <w:right w:val="single" w:sz="4" w:space="0" w:color="000000"/>
            </w:tcBorders>
            <w:tcW w:w="7000" w:type="dxa"/>
          </w:tcPr>
          <w:p>
            <w:r>
              <w:rPr>
                <w:rFonts w:ascii="맑은 고딕" w:hAnsi="맑은 고딕"/>
                <w:sz w:val="22"/>
              </w:rPr>
              <w:t>본 연구를 통해 고등학생의 가정 사회경제적 지위가 학업성취도와 유의미한 관계가 있음을 확인하였다. 가구소득과 보호자 학력이 높을수록 사교육 참여, 가정 내 학습 지원, 독립적 학습 공간 등 교육 자원에 대한 접근성이 높았고, 이는 학업 성취의 차이로 이어졌다. 이는 능력주의가 전제하는 '공정한 경쟁'이 실제로는 출발선부터 다르다는 것을 의미한다.</w:t>
              <w:br/>
              <w:br/>
              <w:t>마이클 샌델은 능력주의 사회에서 성공한 사람들이 자신의 성취를 온전히 개인의 노력 덕분이라고 여기면서, 그 성취를 가능하게 한 사회적·경제적 조건을 간과한다고 비판하였다. 본 연구 결과는 이러한 비판이 한국 고등학생의 현실에서도 유효함을 보여준다. 교육학을 진로로 희망하는 학생으로서, 이번 탐구를 통해 교육 기회의 평등이 단순히 제도적 접근권을 넘어 가정 환경과 사회 구조까지 아우르는 문제임을 깊이 인식하게 되었다. 모든 학생이 가정 배경과 무관하게 동등한 교육 기회를 누릴 수 있도록 사회적 지원 체계를 마련하는 것이 앞으로의 과제라고 생각한다.</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독서 기반 사회학적 상상력 탐구-보고서</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