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맑은 고딕"/>
          <w:sz w:val="40"/>
        </w:rPr>
        <w:t>자외선 차단제 도포량에 따른 차단 효과와 사용감의 최적점 분석</w:t>
      </w:r>
    </w:p>
    <w:p>
      <w:pPr>
        <w:jc w:val="center"/>
      </w:pPr>
      <w:r>
        <w:rPr>
          <w:rFonts w:ascii="Arial" w:hAnsi="Arial" w:eastAsia="맑은 고딕"/>
          <w:color w:val="505050"/>
          <w:sz w:val="20"/>
        </w:rPr>
        <w:t>기하 | 2학년 | 김주원 | 화장품학 진로 탐구</w:t>
      </w:r>
    </w:p>
    <w:p>
      <w:pPr>
        <w:pStyle w:val="Heading1"/>
      </w:pPr>
      <w:r>
        <w:t>1. 탐구 동기</w:t>
      </w:r>
    </w:p>
    <w:p>
      <w:r>
        <w:rPr>
          <w:rFonts w:ascii="Arial" w:hAnsi="Arial" w:eastAsia="맑은 고딕"/>
          <w:sz w:val="21"/>
        </w:rPr>
        <w:t>자외선 차단제는 표시된 SPF와 PA 지수만 보고 고르는 경우가 많지만, 실제 피부에 바르는 양과 사용감도 효과를 좌우한다. 식품의약품안전처 자료에 따르면 SPF는 자외선B 차단 정도, PA는 자외선A 차단 정도를 나타내며, SPF 30 정도에서 약 95% 이상의 자외선이 차단된다고 설명한다. 또한 대한화장품협회 자료는 자외선 차단제의 시험 기준 도포량을 신체 표면적 1 cm²당 2 mg으로 제시한다. 이 기준에 가까워질수록 차단 효과는 커지지만, 너무 많이 바르면 끈적임과 백탁감 때문에 실제 사용 지속성이 낮아진다. 따라서 본 탐구에서는 도포량을 변수로 두고 차단 효과와 사용감을 함께 고려하여 어느 지점에서 균형이 생기는지 기하적으로 분석하고자 한다.</w:t>
      </w:r>
    </w:p>
    <w:p>
      <w:pPr>
        <w:pStyle w:val="Heading1"/>
      </w:pPr>
      <w:r>
        <w:t>2. 이론적 배경</w:t>
      </w:r>
    </w:p>
    <w:p>
      <w:r>
        <w:rPr>
          <w:rFonts w:ascii="Arial" w:hAnsi="Arial" w:eastAsia="맑은 고딕"/>
          <w:b/>
          <w:sz w:val="21"/>
        </w:rPr>
        <w:t>SPF와 PA:</w:t>
      </w:r>
      <w:r>
        <w:rPr>
          <w:rFonts w:ascii="Arial" w:hAnsi="Arial" w:eastAsia="맑은 고딕"/>
          <w:sz w:val="21"/>
        </w:rPr>
        <w:t xml:space="preserve"> SPF는 UVB로 인한 홍반을 기준으로 정해지는 차단 지수이고, PA는 UVA 차단 정도를 등급으로 나타낸다. 두 지표는 모두 제품을 일정한 조건에서 바른 뒤 얻은 값이므로, 실제 사용에서는 도포량과 덧바르기 여부가 함께 고려되어야 한다.</w:t>
      </w:r>
    </w:p>
    <w:p>
      <w:r>
        <w:rPr>
          <w:rFonts w:ascii="Arial" w:hAnsi="Arial" w:eastAsia="맑은 고딕"/>
          <w:b/>
          <w:sz w:val="21"/>
        </w:rPr>
        <w:t>도포량 기준:</w:t>
      </w:r>
      <w:r>
        <w:rPr>
          <w:rFonts w:ascii="Arial" w:hAnsi="Arial" w:eastAsia="맑은 고딕"/>
          <w:sz w:val="21"/>
        </w:rPr>
        <w:t xml:space="preserve"> 대한화장품협회는 자외선 차단제의 권장 도포량을 2 mg/cm²로 설명한다. 이 값은 제품 시험에서 유효한 양이므로, 본 탐구에서는 x축의 기준점으로 사용한다. 다만 학생 보고서의 모델은 실제 임상 시험값을 대신하는 값은 아니며, 도포량 변화에 따른 경향을 기하적으로 설명하기 위한 가정이다.</w:t>
      </w:r>
    </w:p>
    <w:p>
      <w:r>
        <w:rPr>
          <w:rFonts w:ascii="Arial" w:hAnsi="Arial" w:eastAsia="맑은 고딕"/>
          <w:b/>
          <w:sz w:val="21"/>
        </w:rPr>
        <w:t>이차함수와 포물선:</w:t>
      </w:r>
      <w:r>
        <w:rPr>
          <w:rFonts w:ascii="Arial" w:hAnsi="Arial" w:eastAsia="맑은 고딕"/>
          <w:sz w:val="21"/>
        </w:rPr>
        <w:t xml:space="preserve"> 어떤 양이 증가하다가 일정 지점 이후 증가폭이 줄거나 만족도가 감소하는 상황은 포물선으로 표현하기 쉽다. 포물선의 꼭짓점은 최댓값 또는 최솟값을 나타내므로, 여러 조건을 합친 점수의 꼭짓점을 찾으면 탐구 주제의 최적점을 수학적으로 설명하게 된다.</w:t>
      </w:r>
    </w:p>
    <w:p>
      <w:pPr>
        <w:pStyle w:val="Heading1"/>
      </w:pPr>
      <w:r>
        <w:t>3. 수학적 모델 설정</w:t>
      </w:r>
    </w:p>
    <w:p>
      <w:r>
        <w:rPr>
          <w:rFonts w:ascii="Arial" w:hAnsi="Arial" w:eastAsia="맑은 고딕"/>
          <w:sz w:val="21"/>
        </w:rPr>
        <w:t>도포량을 x mg/cm²라고 두었다. 차단 효과 점수 E(x)는 2 mg/cm² 부근에서 높아지는 곡선으로, 사용감 점수 S(x)는 지나치게 많이 바르면 낮아지는 곡선으로 잡았다. 차단 효과를 조금 더 중요하게 보기 위해 종합 점수 T(x)는 차단 효과 60%, 사용감 40%의 가중 평균으로 정했다.</w:t>
      </w:r>
    </w:p>
    <w:p>
      <w:r>
        <w:rPr>
          <w:rFonts w:ascii="Arial" w:hAnsi="Arial" w:eastAsia="맑은 고딕"/>
          <w:sz w:val="21"/>
        </w:rPr>
        <w:t>E(x) = -12(x - 2.2)² + 98</w:t>
      </w:r>
    </w:p>
    <w:p>
      <w:r>
        <w:rPr>
          <w:rFonts w:ascii="Arial" w:hAnsi="Arial" w:eastAsia="맑은 고딕"/>
          <w:sz w:val="21"/>
        </w:rPr>
        <w:t>S(x) = -18(x - 1.1)² + 92</w:t>
      </w:r>
    </w:p>
    <w:p>
      <w:r>
        <w:rPr>
          <w:rFonts w:ascii="Arial" w:hAnsi="Arial" w:eastAsia="맑은 고딕"/>
          <w:sz w:val="21"/>
        </w:rPr>
        <w:t>T(x) = 0.6E(x) + 0.4S(x) = -14.4x² + 47.52x + 52.04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1F3F4"/>
          </w:tcPr>
          <w:p>
            <w:pPr>
              <w:jc w:val="center"/>
            </w:pPr>
            <w:r/>
            <w:r>
              <w:rPr>
                <w:rFonts w:ascii="Arial" w:hAnsi="Arial" w:eastAsia="맑은 고딕"/>
                <w:b/>
                <w:sz w:val="18"/>
              </w:rPr>
              <w:t>도포량 x</w:t>
            </w:r>
          </w:p>
        </w:tc>
        <w:tc>
          <w:tcPr>
            <w:tcW w:type="dxa" w:w="2340"/>
            <w:vAlign w:val="center"/>
            <w:shd w:fill="F1F3F4"/>
          </w:tcPr>
          <w:p>
            <w:pPr>
              <w:jc w:val="center"/>
            </w:pPr>
            <w:r/>
            <w:r>
              <w:rPr>
                <w:rFonts w:ascii="Arial" w:hAnsi="Arial" w:eastAsia="맑은 고딕"/>
                <w:b/>
                <w:sz w:val="18"/>
              </w:rPr>
              <w:t>차단 효과 E(x)</w:t>
            </w:r>
          </w:p>
        </w:tc>
        <w:tc>
          <w:tcPr>
            <w:tcW w:type="dxa" w:w="2340"/>
            <w:vAlign w:val="center"/>
            <w:shd w:fill="F1F3F4"/>
          </w:tcPr>
          <w:p>
            <w:pPr>
              <w:jc w:val="center"/>
            </w:pPr>
            <w:r/>
            <w:r>
              <w:rPr>
                <w:rFonts w:ascii="Arial" w:hAnsi="Arial" w:eastAsia="맑은 고딕"/>
                <w:b/>
                <w:sz w:val="18"/>
              </w:rPr>
              <w:t>사용감 S(x)</w:t>
            </w:r>
          </w:p>
        </w:tc>
        <w:tc>
          <w:tcPr>
            <w:tcW w:type="dxa" w:w="2340"/>
            <w:vAlign w:val="center"/>
            <w:shd w:fill="F1F3F4"/>
          </w:tcPr>
          <w:p>
            <w:pPr>
              <w:jc w:val="center"/>
            </w:pPr>
            <w:r/>
            <w:r>
              <w:rPr>
                <w:rFonts w:ascii="Arial" w:hAnsi="Arial" w:eastAsia="맑은 고딕"/>
                <w:b/>
                <w:sz w:val="18"/>
              </w:rPr>
              <w:t>종합 점수 T(x)</w:t>
            </w:r>
          </w:p>
        </w:tc>
      </w:tr>
      <w:tr>
        <w:tc>
          <w:tcPr>
            <w:tcW w:type="dxa" w:w="2340"/>
            <w:vAlign w:val="center"/>
          </w:tcPr>
          <w:p>
            <w:pPr>
              <w:jc w:val="center"/>
            </w:pPr>
            <w:r/>
            <w:r>
              <w:rPr>
                <w:rFonts w:ascii="Arial" w:hAnsi="Arial" w:eastAsia="맑은 고딕"/>
                <w:b w:val="0"/>
                <w:sz w:val="18"/>
              </w:rPr>
              <w:t>0.50</w:t>
            </w:r>
          </w:p>
        </w:tc>
        <w:tc>
          <w:tcPr>
            <w:tcW w:type="dxa" w:w="2340"/>
            <w:vAlign w:val="center"/>
          </w:tcPr>
          <w:p>
            <w:pPr>
              <w:jc w:val="center"/>
            </w:pPr>
            <w:r/>
            <w:r>
              <w:rPr>
                <w:rFonts w:ascii="Arial" w:hAnsi="Arial" w:eastAsia="맑은 고딕"/>
                <w:b w:val="0"/>
                <w:sz w:val="18"/>
              </w:rPr>
              <w:t>63.3</w:t>
            </w:r>
          </w:p>
        </w:tc>
        <w:tc>
          <w:tcPr>
            <w:tcW w:type="dxa" w:w="2340"/>
            <w:vAlign w:val="center"/>
          </w:tcPr>
          <w:p>
            <w:pPr>
              <w:jc w:val="center"/>
            </w:pPr>
            <w:r/>
            <w:r>
              <w:rPr>
                <w:rFonts w:ascii="Arial" w:hAnsi="Arial" w:eastAsia="맑은 고딕"/>
                <w:b w:val="0"/>
                <w:sz w:val="18"/>
              </w:rPr>
              <w:t>85.5</w:t>
            </w:r>
          </w:p>
        </w:tc>
        <w:tc>
          <w:tcPr>
            <w:tcW w:type="dxa" w:w="2340"/>
            <w:vAlign w:val="center"/>
          </w:tcPr>
          <w:p>
            <w:pPr>
              <w:jc w:val="center"/>
            </w:pPr>
            <w:r/>
            <w:r>
              <w:rPr>
                <w:rFonts w:ascii="Arial" w:hAnsi="Arial" w:eastAsia="맑은 고딕"/>
                <w:b w:val="0"/>
                <w:sz w:val="18"/>
              </w:rPr>
              <w:t>72.2</w:t>
            </w:r>
          </w:p>
        </w:tc>
      </w:tr>
      <w:tr>
        <w:tc>
          <w:tcPr>
            <w:tcW w:type="dxa" w:w="2340"/>
            <w:vAlign w:val="center"/>
          </w:tcPr>
          <w:p>
            <w:pPr>
              <w:jc w:val="center"/>
            </w:pPr>
            <w:r/>
            <w:r>
              <w:rPr>
                <w:rFonts w:ascii="Arial" w:hAnsi="Arial" w:eastAsia="맑은 고딕"/>
                <w:b w:val="0"/>
                <w:sz w:val="18"/>
              </w:rPr>
              <w:t>1.00</w:t>
            </w:r>
          </w:p>
        </w:tc>
        <w:tc>
          <w:tcPr>
            <w:tcW w:type="dxa" w:w="2340"/>
            <w:vAlign w:val="center"/>
          </w:tcPr>
          <w:p>
            <w:pPr>
              <w:jc w:val="center"/>
            </w:pPr>
            <w:r/>
            <w:r>
              <w:rPr>
                <w:rFonts w:ascii="Arial" w:hAnsi="Arial" w:eastAsia="맑은 고딕"/>
                <w:b w:val="0"/>
                <w:sz w:val="18"/>
              </w:rPr>
              <w:t>80.7</w:t>
            </w:r>
          </w:p>
        </w:tc>
        <w:tc>
          <w:tcPr>
            <w:tcW w:type="dxa" w:w="2340"/>
            <w:vAlign w:val="center"/>
          </w:tcPr>
          <w:p>
            <w:pPr>
              <w:jc w:val="center"/>
            </w:pPr>
            <w:r/>
            <w:r>
              <w:rPr>
                <w:rFonts w:ascii="Arial" w:hAnsi="Arial" w:eastAsia="맑은 고딕"/>
                <w:b w:val="0"/>
                <w:sz w:val="18"/>
              </w:rPr>
              <w:t>91.8</w:t>
            </w:r>
          </w:p>
        </w:tc>
        <w:tc>
          <w:tcPr>
            <w:tcW w:type="dxa" w:w="2340"/>
            <w:vAlign w:val="center"/>
          </w:tcPr>
          <w:p>
            <w:pPr>
              <w:jc w:val="center"/>
            </w:pPr>
            <w:r/>
            <w:r>
              <w:rPr>
                <w:rFonts w:ascii="Arial" w:hAnsi="Arial" w:eastAsia="맑은 고딕"/>
                <w:b w:val="0"/>
                <w:sz w:val="18"/>
              </w:rPr>
              <w:t>85.2</w:t>
            </w:r>
          </w:p>
        </w:tc>
      </w:tr>
      <w:tr>
        <w:tc>
          <w:tcPr>
            <w:tcW w:type="dxa" w:w="2340"/>
            <w:vAlign w:val="center"/>
          </w:tcPr>
          <w:p>
            <w:pPr>
              <w:jc w:val="center"/>
            </w:pPr>
            <w:r/>
            <w:r>
              <w:rPr>
                <w:rFonts w:ascii="Arial" w:hAnsi="Arial" w:eastAsia="맑은 고딕"/>
                <w:b w:val="0"/>
                <w:sz w:val="18"/>
              </w:rPr>
              <w:t>1.50</w:t>
            </w:r>
          </w:p>
        </w:tc>
        <w:tc>
          <w:tcPr>
            <w:tcW w:type="dxa" w:w="2340"/>
            <w:vAlign w:val="center"/>
          </w:tcPr>
          <w:p>
            <w:pPr>
              <w:jc w:val="center"/>
            </w:pPr>
            <w:r/>
            <w:r>
              <w:rPr>
                <w:rFonts w:ascii="Arial" w:hAnsi="Arial" w:eastAsia="맑은 고딕"/>
                <w:b w:val="0"/>
                <w:sz w:val="18"/>
              </w:rPr>
              <w:t>92.1</w:t>
            </w:r>
          </w:p>
        </w:tc>
        <w:tc>
          <w:tcPr>
            <w:tcW w:type="dxa" w:w="2340"/>
            <w:vAlign w:val="center"/>
          </w:tcPr>
          <w:p>
            <w:pPr>
              <w:jc w:val="center"/>
            </w:pPr>
            <w:r/>
            <w:r>
              <w:rPr>
                <w:rFonts w:ascii="Arial" w:hAnsi="Arial" w:eastAsia="맑은 고딕"/>
                <w:b w:val="0"/>
                <w:sz w:val="18"/>
              </w:rPr>
              <w:t>89.1</w:t>
            </w:r>
          </w:p>
        </w:tc>
        <w:tc>
          <w:tcPr>
            <w:tcW w:type="dxa" w:w="2340"/>
            <w:vAlign w:val="center"/>
          </w:tcPr>
          <w:p>
            <w:pPr>
              <w:jc w:val="center"/>
            </w:pPr>
            <w:r/>
            <w:r>
              <w:rPr>
                <w:rFonts w:ascii="Arial" w:hAnsi="Arial" w:eastAsia="맑은 고딕"/>
                <w:b w:val="0"/>
                <w:sz w:val="18"/>
              </w:rPr>
              <w:t>90.9</w:t>
            </w:r>
          </w:p>
        </w:tc>
      </w:tr>
      <w:tr>
        <w:tc>
          <w:tcPr>
            <w:tcW w:type="dxa" w:w="2340"/>
            <w:vAlign w:val="center"/>
          </w:tcPr>
          <w:p>
            <w:pPr>
              <w:jc w:val="center"/>
            </w:pPr>
            <w:r/>
            <w:r>
              <w:rPr>
                <w:rFonts w:ascii="Arial" w:hAnsi="Arial" w:eastAsia="맑은 고딕"/>
                <w:b w:val="0"/>
                <w:sz w:val="18"/>
              </w:rPr>
              <w:t>1.65</w:t>
            </w:r>
          </w:p>
        </w:tc>
        <w:tc>
          <w:tcPr>
            <w:tcW w:type="dxa" w:w="2340"/>
            <w:vAlign w:val="center"/>
          </w:tcPr>
          <w:p>
            <w:pPr>
              <w:jc w:val="center"/>
            </w:pPr>
            <w:r/>
            <w:r>
              <w:rPr>
                <w:rFonts w:ascii="Arial" w:hAnsi="Arial" w:eastAsia="맑은 고딕"/>
                <w:b w:val="0"/>
                <w:sz w:val="18"/>
              </w:rPr>
              <w:t>94.4</w:t>
            </w:r>
          </w:p>
        </w:tc>
        <w:tc>
          <w:tcPr>
            <w:tcW w:type="dxa" w:w="2340"/>
            <w:vAlign w:val="center"/>
          </w:tcPr>
          <w:p>
            <w:pPr>
              <w:jc w:val="center"/>
            </w:pPr>
            <w:r/>
            <w:r>
              <w:rPr>
                <w:rFonts w:ascii="Arial" w:hAnsi="Arial" w:eastAsia="맑은 고딕"/>
                <w:b w:val="0"/>
                <w:sz w:val="18"/>
              </w:rPr>
              <w:t>86.6</w:t>
            </w:r>
          </w:p>
        </w:tc>
        <w:tc>
          <w:tcPr>
            <w:tcW w:type="dxa" w:w="2340"/>
            <w:vAlign w:val="center"/>
          </w:tcPr>
          <w:p>
            <w:pPr>
              <w:jc w:val="center"/>
            </w:pPr>
            <w:r/>
            <w:r>
              <w:rPr>
                <w:rFonts w:ascii="Arial" w:hAnsi="Arial" w:eastAsia="맑은 고딕"/>
                <w:b w:val="0"/>
                <w:sz w:val="18"/>
              </w:rPr>
              <w:t>91.2</w:t>
            </w:r>
          </w:p>
        </w:tc>
      </w:tr>
      <w:tr>
        <w:tc>
          <w:tcPr>
            <w:tcW w:type="dxa" w:w="2340"/>
            <w:vAlign w:val="center"/>
          </w:tcPr>
          <w:p>
            <w:pPr>
              <w:jc w:val="center"/>
            </w:pPr>
            <w:r/>
            <w:r>
              <w:rPr>
                <w:rFonts w:ascii="Arial" w:hAnsi="Arial" w:eastAsia="맑은 고딕"/>
                <w:b w:val="0"/>
                <w:sz w:val="18"/>
              </w:rPr>
              <w:t>2.00</w:t>
            </w:r>
          </w:p>
        </w:tc>
        <w:tc>
          <w:tcPr>
            <w:tcW w:type="dxa" w:w="2340"/>
            <w:vAlign w:val="center"/>
          </w:tcPr>
          <w:p>
            <w:pPr>
              <w:jc w:val="center"/>
            </w:pPr>
            <w:r/>
            <w:r>
              <w:rPr>
                <w:rFonts w:ascii="Arial" w:hAnsi="Arial" w:eastAsia="맑은 고딕"/>
                <w:b w:val="0"/>
                <w:sz w:val="18"/>
              </w:rPr>
              <w:t>97.5</w:t>
            </w:r>
          </w:p>
        </w:tc>
        <w:tc>
          <w:tcPr>
            <w:tcW w:type="dxa" w:w="2340"/>
            <w:vAlign w:val="center"/>
          </w:tcPr>
          <w:p>
            <w:pPr>
              <w:jc w:val="center"/>
            </w:pPr>
            <w:r/>
            <w:r>
              <w:rPr>
                <w:rFonts w:ascii="Arial" w:hAnsi="Arial" w:eastAsia="맑은 고딕"/>
                <w:b w:val="0"/>
                <w:sz w:val="18"/>
              </w:rPr>
              <w:t>77.4</w:t>
            </w:r>
          </w:p>
        </w:tc>
        <w:tc>
          <w:tcPr>
            <w:tcW w:type="dxa" w:w="2340"/>
            <w:vAlign w:val="center"/>
          </w:tcPr>
          <w:p>
            <w:pPr>
              <w:jc w:val="center"/>
            </w:pPr>
            <w:r/>
            <w:r>
              <w:rPr>
                <w:rFonts w:ascii="Arial" w:hAnsi="Arial" w:eastAsia="맑은 고딕"/>
                <w:b w:val="0"/>
                <w:sz w:val="18"/>
              </w:rPr>
              <w:t>89.5</w:t>
            </w:r>
          </w:p>
        </w:tc>
      </w:tr>
      <w:tr>
        <w:tc>
          <w:tcPr>
            <w:tcW w:type="dxa" w:w="2340"/>
            <w:vAlign w:val="center"/>
          </w:tcPr>
          <w:p>
            <w:pPr>
              <w:jc w:val="center"/>
            </w:pPr>
            <w:r/>
            <w:r>
              <w:rPr>
                <w:rFonts w:ascii="Arial" w:hAnsi="Arial" w:eastAsia="맑은 고딕"/>
                <w:b w:val="0"/>
                <w:sz w:val="18"/>
              </w:rPr>
              <w:t>2.50</w:t>
            </w:r>
          </w:p>
        </w:tc>
        <w:tc>
          <w:tcPr>
            <w:tcW w:type="dxa" w:w="2340"/>
            <w:vAlign w:val="center"/>
          </w:tcPr>
          <w:p>
            <w:pPr>
              <w:jc w:val="center"/>
            </w:pPr>
            <w:r/>
            <w:r>
              <w:rPr>
                <w:rFonts w:ascii="Arial" w:hAnsi="Arial" w:eastAsia="맑은 고딕"/>
                <w:b w:val="0"/>
                <w:sz w:val="18"/>
              </w:rPr>
              <w:t>96.9</w:t>
            </w:r>
          </w:p>
        </w:tc>
        <w:tc>
          <w:tcPr>
            <w:tcW w:type="dxa" w:w="2340"/>
            <w:vAlign w:val="center"/>
          </w:tcPr>
          <w:p>
            <w:pPr>
              <w:jc w:val="center"/>
            </w:pPr>
            <w:r/>
            <w:r>
              <w:rPr>
                <w:rFonts w:ascii="Arial" w:hAnsi="Arial" w:eastAsia="맑은 고딕"/>
                <w:b w:val="0"/>
                <w:sz w:val="18"/>
              </w:rPr>
              <w:t>56.7</w:t>
            </w:r>
          </w:p>
        </w:tc>
        <w:tc>
          <w:tcPr>
            <w:tcW w:type="dxa" w:w="2340"/>
            <w:vAlign w:val="center"/>
          </w:tcPr>
          <w:p>
            <w:pPr>
              <w:jc w:val="center"/>
            </w:pPr>
            <w:r/>
            <w:r>
              <w:rPr>
                <w:rFonts w:ascii="Arial" w:hAnsi="Arial" w:eastAsia="맑은 고딕"/>
                <w:b w:val="0"/>
                <w:sz w:val="18"/>
              </w:rPr>
              <w:t>80.8</w:t>
            </w:r>
          </w:p>
        </w:tc>
      </w:tr>
    </w:tbl>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sunscreen_model_graph.png"/>
                    <pic:cNvPicPr/>
                  </pic:nvPicPr>
                  <pic:blipFill>
                    <a:blip r:embed="rId9"/>
                    <a:stretch>
                      <a:fillRect/>
                    </a:stretch>
                  </pic:blipFill>
                  <pic:spPr>
                    <a:xfrm>
                      <a:off x="0" y="0"/>
                      <a:ext cx="5669280" cy="3401568"/>
                    </a:xfrm>
                    <a:prstGeom prst="rect"/>
                  </pic:spPr>
                </pic:pic>
              </a:graphicData>
            </a:graphic>
          </wp:inline>
        </w:drawing>
      </w:r>
    </w:p>
    <w:p>
      <w:pPr>
        <w:jc w:val="center"/>
      </w:pPr>
      <w:r>
        <w:rPr>
          <w:color w:val="5A5A5A"/>
          <w:sz w:val="18"/>
        </w:rPr>
        <w:t>그림 1. 도포량에 따른 차단 효과, 사용감, 종합 점수의 포물선 모델</w:t>
      </w:r>
    </w:p>
    <w:p>
      <w:pPr>
        <w:pStyle w:val="Heading1"/>
      </w:pPr>
      <w:r>
        <w:t>4. 최적점 계산과 해석</w:t>
      </w:r>
    </w:p>
    <w:p>
      <w:r>
        <w:rPr>
          <w:rFonts w:ascii="Arial" w:hAnsi="Arial" w:eastAsia="맑은 고딕"/>
          <w:sz w:val="21"/>
        </w:rPr>
        <w:t>종합 점수 T(x)는 아래로 열린 이차함수이다. 아래로 열린 포물선에서는 꼭짓점이 최댓값을 가지므로, 꼭짓점의 x좌표가 차단 효과와 사용감을 함께 고려한 최적 도포량이 된다.</w:t>
      </w:r>
    </w:p>
    <w:p>
      <w:r>
        <w:rPr>
          <w:rFonts w:ascii="Arial" w:hAnsi="Arial" w:eastAsia="맑은 고딕"/>
          <w:sz w:val="21"/>
        </w:rPr>
        <w:t>x = -b / 2a = -47.52 / (2 × -14.4) = 1.65</w:t>
      </w:r>
    </w:p>
    <w:p>
      <w:r>
        <w:rPr>
          <w:rFonts w:ascii="Arial" w:hAnsi="Arial" w:eastAsia="맑은 고딕"/>
          <w:sz w:val="21"/>
        </w:rPr>
        <w:t>계산 결과 종합 점수는 x = 1.65 mg/cm² 부근에서 가장 크게 나타났다. 이 값은 시험 기준인 2 mg/cm²보다 작지만, 차단 효과를 크게 희생하지 않으면서 사용감 감소를 줄이는 지점으로 해석된다. 즉 실제 권장량은 2 mg/cm²에 가깝게 바르는 것이지만, 사용자가 끈적임 때문에 양을 지나치게 줄이는 상황을 생각하면 1.65 mg/cm² 부근은 현실적인 균형점으로 설명된다. 이 분석은 제품의 표시 지수를 바꾸는 계산으로 보기보다, 도포량과 사용 지속성 사이의 관계를 수학적으로 이해하기 위한 모델이다.</w:t>
      </w:r>
    </w:p>
    <w:p>
      <w:pPr>
        <w:pStyle w:val="Heading1"/>
      </w:pPr>
      <w:r>
        <w:t>5. 화장품학 관점의 해석</w:t>
      </w:r>
    </w:p>
    <w:p>
      <w:r>
        <w:rPr>
          <w:rFonts w:ascii="Arial" w:hAnsi="Arial" w:eastAsia="맑은 고딕"/>
          <w:sz w:val="21"/>
        </w:rPr>
        <w:t>화장품 개발에서는 성분의 차단 능력만큼 제형의 발림성, 백탁감, 유분감, 지속성도 중요하다. 같은 SPF 제품이라도 사용자가 충분한 양을 바르지 않으면 기대한 효과가 줄어들기 때문에, 제형 설계는 수학적 최적화 문제와 닮아 있다. 예를 들어 차단 효과를 높이는 원료 함량을 늘리면 보호 점수는 올라가지만, 사용감이 떨어지면 실제 사용량이 감소한다. 따라서 좋은 자외선 차단제는 높은 차단 지수와 편안한 사용감이 함께 유지되도록 설계되어야 한다.</w:t>
      </w:r>
    </w:p>
    <w:p>
      <w:pPr>
        <w:pStyle w:val="Heading1"/>
      </w:pPr>
      <w:r>
        <w:t>6. 한계와 후속 탐구</w:t>
      </w:r>
    </w:p>
    <w:p>
      <w:r>
        <w:rPr>
          <w:rFonts w:ascii="Arial" w:hAnsi="Arial" w:eastAsia="맑은 고딕"/>
          <w:sz w:val="21"/>
        </w:rPr>
        <w:t>본 탐구의 함수식은 실제 실험 자료를 직접 측정한 값은 아니며 공개 자료의 기준과 생활 속 사용 상황을 바탕으로 만든 수학적 모델이다. 따라서 제품 종류, 피부 타입, 날씨, 땀, 물 접촉, 덧바르기 간격에 따라 실제 결과는 달라진다. 후속 탐구에서는 동일한 SPF 제품을 정해 도포량별 백탁감, 끈적임, 재도포 의향을 설문으로 조사하고, 자외선 측정 카드나 UV 비즈를 활용해 차단 경향을 비교하면 더 설득력 있는 그래프가 완성된다.</w:t>
      </w:r>
    </w:p>
    <w:p>
      <w:pPr>
        <w:pStyle w:val="Heading1"/>
      </w:pPr>
      <w:r>
        <w:t>7. 참고자료</w:t>
      </w:r>
    </w:p>
    <w:p>
      <w:pPr>
        <w:pStyle w:val="ListBullet"/>
      </w:pPr>
      <w:r>
        <w:rPr>
          <w:rFonts w:ascii="Arial" w:hAnsi="Arial" w:eastAsia="맑은 고딕"/>
          <w:sz w:val="20"/>
        </w:rPr>
        <w:t>식품의약품안전처, 「식약처, 여름 휴가철 식·의약품 건강안전 정보 제공」, 2017.07.20.</w:t>
      </w:r>
    </w:p>
    <w:p>
      <w:pPr>
        <w:pStyle w:val="ListBullet"/>
      </w:pPr>
      <w:r>
        <w:rPr>
          <w:rFonts w:ascii="Arial" w:hAnsi="Arial" w:eastAsia="맑은 고딕"/>
          <w:sz w:val="20"/>
        </w:rPr>
        <w:t>식품의약품안전처, 「자외선 차단제 올바른 사용법 리플렛」, 2014.05.30.</w:t>
      </w:r>
    </w:p>
    <w:p>
      <w:pPr>
        <w:pStyle w:val="ListBullet"/>
      </w:pPr>
      <w:r>
        <w:rPr>
          <w:rFonts w:ascii="Arial" w:hAnsi="Arial" w:eastAsia="맑은 고딕"/>
          <w:sz w:val="20"/>
        </w:rPr>
        <w:t>대한화장품협회, 「소비자를 위한 화장품 상식: 자외선차단제」.</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맑은 고딕"/>
      <w:b/>
      <w:bCs/>
      <w:color w:val="4343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