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맑은 고딕" w:cs="맑은 고딕" w:eastAsia="맑은 고딕" w:hAnsi="맑은 고딕"/>
          <w:color w:val="000000"/>
          <w:sz w:val="22"/>
          <w:szCs w:val="22"/>
        </w:rPr>
        <w:t xml:space="preserve">2026학년도 3학년 1학기</w:t>
      </w:r>
    </w:p>
    <w:p>
      <w:pPr>
        <w:spacing w:after="280"/>
        <w:jc w:val="center"/>
      </w:pPr>
      <w:r>
        <w:rPr>
          <w:rFonts w:ascii="맑은 고딕" w:cs="맑은 고딕" w:eastAsia="맑은 고딕" w:hAnsi="맑은 고딕"/>
          <w:b/>
          <w:bCs/>
          <w:color w:val="000000"/>
          <w:sz w:val="32"/>
          <w:szCs w:val="32"/>
        </w:rPr>
        <w:t xml:space="preserve">진로 탐구 보고서 + 세특 자기평가서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jc w:val="left"/>
            </w:pPr>
            <w:r>
              <w:rPr>
                <w:rFonts w:ascii="맑은 고딕" w:cs="맑은 고딕" w:eastAsia="맑은 고딕" w:hAnsi="맑은 고딕"/>
                <w:b w:val="false"/>
                <w:bCs w:val="false"/>
                <w:color w:val="000000"/>
                <w:sz w:val="20"/>
                <w:szCs w:val="20"/>
              </w:rPr>
              <w:t xml:space="preserve">학번 :         </w:t>
            </w:r>
          </w:p>
        </w:tc>
        <w:tc>
          <w:tcPr>
            <w:tcW w:type="dxa" w:w="3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jc w:val="left"/>
            </w:pPr>
            <w:r>
              <w:rPr>
                <w:rFonts w:ascii="맑은 고딕" w:cs="맑은 고딕" w:eastAsia="맑은 고딕" w:hAnsi="맑은 고딕"/>
                <w:b w:val="false"/>
                <w:bCs w:val="false"/>
                <w:color w:val="000000"/>
                <w:sz w:val="20"/>
                <w:szCs w:val="20"/>
              </w:rPr>
              <w:t xml:space="preserve">이름 :  김서연</w:t>
            </w:r>
          </w:p>
        </w:tc>
        <w:tc>
          <w:tcPr>
            <w:tcW w:type="dxa" w:w="3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jc w:val="left"/>
            </w:pPr>
            <w:r>
              <w:rPr>
                <w:rFonts w:ascii="맑은 고딕" w:cs="맑은 고딕" w:eastAsia="맑은 고딕" w:hAnsi="맑은 고딕"/>
                <w:b w:val="false"/>
                <w:bCs w:val="false"/>
                <w:color w:val="000000"/>
                <w:sz w:val="20"/>
                <w:szCs w:val="20"/>
              </w:rPr>
              <w:t xml:space="preserve">진로(전공분야) :  문화콘텐츠</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000"/>
      </w:tblGrid>
      <w:tr>
        <w:tc>
          <w:tcPr>
            <w:tcW w:type="dxa" w:w="1500"/>
            <w:tcBorders>
              <w:top w:val="single" w:color="000000" w:sz="4"/>
              <w:left w:val="single" w:color="000000" w:sz="4"/>
              <w:bottom w:val="single" w:color="000000" w:sz="4"/>
              <w:right w:val="single" w:color="000000" w:sz="4"/>
            </w:tcBorders>
            <w:shd w:fill="D9D9D9" w:val="clear"/>
            <w:tcMar>
              <w:top w:type="dxa" w:w="100"/>
              <w:left w:type="dxa" w:w="120"/>
              <w:bottom w:type="dxa" w:w="100"/>
              <w:right w:type="dxa" w:w="120"/>
            </w:tcMar>
            <w:vAlign w:val="top"/>
          </w:tcPr>
          <w:p>
            <w:pPr>
              <w:jc w:val="center"/>
            </w:pPr>
            <w:r>
              <w:rPr>
                <w:rFonts w:ascii="맑은 고딕" w:cs="맑은 고딕" w:eastAsia="맑은 고딕" w:hAnsi="맑은 고딕"/>
                <w:b/>
                <w:bCs/>
                <w:color w:val="000000"/>
                <w:sz w:val="20"/>
                <w:szCs w:val="20"/>
              </w:rPr>
              <w:t xml:space="preserve">항목</w:t>
            </w:r>
          </w:p>
        </w:tc>
        <w:tc>
          <w:tcPr>
            <w:tcW w:type="dxa" w:w="5500"/>
            <w:tcBorders>
              <w:top w:val="single" w:color="000000" w:sz="4"/>
              <w:left w:val="single" w:color="000000" w:sz="4"/>
              <w:bottom w:val="single" w:color="000000" w:sz="4"/>
              <w:right w:val="single" w:color="000000" w:sz="4"/>
            </w:tcBorders>
            <w:shd w:fill="D9D9D9" w:val="clear"/>
            <w:tcMar>
              <w:top w:type="dxa" w:w="100"/>
              <w:left w:type="dxa" w:w="120"/>
              <w:bottom w:type="dxa" w:w="100"/>
              <w:right w:type="dxa" w:w="120"/>
            </w:tcMar>
            <w:vAlign w:val="top"/>
          </w:tcPr>
          <w:p>
            <w:pPr>
              <w:jc w:val="center"/>
            </w:pPr>
            <w:r>
              <w:rPr>
                <w:rFonts w:ascii="맑은 고딕" w:cs="맑은 고딕" w:eastAsia="맑은 고딕" w:hAnsi="맑은 고딕"/>
                <w:b/>
                <w:bCs/>
                <w:color w:val="000000"/>
                <w:sz w:val="20"/>
                <w:szCs w:val="20"/>
              </w:rPr>
              <w:t xml:space="preserve">내용</w:t>
            </w:r>
          </w:p>
        </w:tc>
        <w:tc>
          <w:tcPr>
            <w:tcW w:type="dxa" w:w="2000"/>
            <w:tcBorders>
              <w:top w:val="single" w:color="000000" w:sz="4"/>
              <w:left w:val="single" w:color="000000" w:sz="4"/>
              <w:bottom w:val="single" w:color="000000" w:sz="4"/>
              <w:right w:val="single" w:color="000000" w:sz="4"/>
            </w:tcBorders>
            <w:shd w:fill="D9D9D9" w:val="clear"/>
            <w:tcMar>
              <w:top w:type="dxa" w:w="100"/>
              <w:left w:type="dxa" w:w="120"/>
              <w:bottom w:type="dxa" w:w="100"/>
              <w:right w:type="dxa" w:w="120"/>
            </w:tcMar>
            <w:vAlign w:val="top"/>
          </w:tcPr>
          <w:p>
            <w:pPr>
              <w:jc w:val="center"/>
            </w:pPr>
            <w:r>
              <w:rPr>
                <w:rFonts w:ascii="맑은 고딕" w:cs="맑은 고딕" w:eastAsia="맑은 고딕" w:hAnsi="맑은 고딕"/>
                <w:b/>
                <w:bCs/>
                <w:color w:val="000000"/>
                <w:sz w:val="20"/>
                <w:szCs w:val="20"/>
              </w:rPr>
              <w:t xml:space="preserve">비고</w:t>
            </w:r>
          </w:p>
        </w:tc>
      </w:tr>
      <w:tr>
        <w:tc>
          <w:tcPr>
            <w:tcW w:type="dxa" w:w="1500"/>
            <w:tcBorders>
              <w:top w:val="single" w:color="000000" w:sz="4"/>
              <w:left w:val="single" w:color="000000" w:sz="4"/>
              <w:bottom w:val="single" w:color="000000" w:sz="4"/>
              <w:right w:val="single" w:color="000000" w:sz="4"/>
            </w:tcBorders>
            <w:shd w:fill="D9D9D9" w:val="clear"/>
            <w:tcMar>
              <w:top w:type="dxa" w:w="100"/>
              <w:left w:type="dxa" w:w="120"/>
              <w:bottom w:type="dxa" w:w="100"/>
              <w:right w:type="dxa" w:w="120"/>
            </w:tcMar>
            <w:vAlign w:val="top"/>
          </w:tcPr>
          <w:p>
            <w:pPr>
              <w:jc w:val="center"/>
            </w:pPr>
            <w:r>
              <w:rPr>
                <w:rFonts w:ascii="맑은 고딕" w:cs="맑은 고딕" w:eastAsia="맑은 고딕" w:hAnsi="맑은 고딕"/>
                <w:b/>
                <w:bCs/>
                <w:color w:val="000000"/>
                <w:sz w:val="20"/>
                <w:szCs w:val="20"/>
              </w:rPr>
              <w:t xml:space="preserve">탐구과제 제목</w:t>
            </w:r>
          </w:p>
        </w:tc>
        <w:tc>
          <w:tcPr>
            <w:tcW w:type="dxa" w:w="5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jc w:val="left"/>
            </w:pPr>
            <w:r>
              <w:rPr>
                <w:rFonts w:ascii="맑은 고딕" w:cs="맑은 고딕" w:eastAsia="맑은 고딕" w:hAnsi="맑은 고딕"/>
                <w:b w:val="false"/>
                <w:bCs w:val="false"/>
                <w:color w:val="000000"/>
                <w:sz w:val="20"/>
                <w:szCs w:val="20"/>
              </w:rPr>
              <w:t xml:space="preserve">콘텐츠형 홍보가 수용자 참여를 높이는 방식 탐구</w:t>
            </w:r>
            <w:r>
              <w:br/>
            </w:r>
            <w:r>
              <w:rPr>
                <w:rFonts w:ascii="맑은 고딕" w:cs="맑은 고딕" w:eastAsia="맑은 고딕" w:hAnsi="맑은 고딕"/>
                <w:b w:val="false"/>
                <w:bCs w:val="false"/>
                <w:color w:val="000000"/>
                <w:sz w:val="20"/>
                <w:szCs w:val="20"/>
              </w:rPr>
              <w:t xml:space="preserve">— 엔터테인먼트 IP 홍보 전략 사례를 중심으로</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jc w:val="left"/>
            </w:pPr>
            <w:r>
              <w:rPr>
                <w:rFonts w:ascii="맑은 고딕" w:cs="맑은 고딕" w:eastAsia="맑은 고딕" w:hAnsi="맑은 고딕"/>
                <w:b w:val="false"/>
                <w:bCs w:val="false"/>
                <w:color w:val="000000"/>
                <w:sz w:val="18"/>
                <w:szCs w:val="18"/>
              </w:rPr>
              <w:t xml:space="preserve">진로 활동과 연계한 탐구주제</w:t>
            </w:r>
          </w:p>
        </w:tc>
      </w:tr>
      <w:tr>
        <w:tc>
          <w:tcPr>
            <w:tcW w:type="dxa" w:w="1500"/>
            <w:tcBorders>
              <w:top w:val="single" w:color="000000" w:sz="4"/>
              <w:left w:val="single" w:color="000000" w:sz="4"/>
              <w:bottom w:val="single" w:color="000000" w:sz="4"/>
              <w:right w:val="single" w:color="000000" w:sz="4"/>
            </w:tcBorders>
            <w:shd w:fill="D9D9D9" w:val="clear"/>
            <w:tcMar>
              <w:top w:type="dxa" w:w="100"/>
              <w:left w:type="dxa" w:w="120"/>
              <w:bottom w:type="dxa" w:w="100"/>
              <w:right w:type="dxa" w:w="120"/>
            </w:tcMar>
            <w:vAlign w:val="top"/>
          </w:tcPr>
          <w:p>
            <w:pPr>
              <w:jc w:val="center"/>
            </w:pPr>
            <w:r>
              <w:rPr>
                <w:rFonts w:ascii="맑은 고딕" w:cs="맑은 고딕" w:eastAsia="맑은 고딕" w:hAnsi="맑은 고딕"/>
                <w:b/>
                <w:bCs/>
                <w:color w:val="000000"/>
                <w:sz w:val="20"/>
                <w:szCs w:val="20"/>
              </w:rPr>
              <w:t xml:space="preserve">동기형성</w:t>
            </w:r>
            <w:r>
              <w:br/>
            </w:r>
            <w:r>
              <w:rPr>
                <w:rFonts w:ascii="맑은 고딕" w:cs="맑은 고딕" w:eastAsia="맑은 고딕" w:hAnsi="맑은 고딕"/>
                <w:b/>
                <w:bCs/>
                <w:color w:val="000000"/>
                <w:sz w:val="20"/>
                <w:szCs w:val="20"/>
              </w:rPr>
              <w:t xml:space="preserve">(탐구주제</w:t>
            </w:r>
            <w:r>
              <w:br/>
            </w:r>
            <w:r>
              <w:rPr>
                <w:rFonts w:ascii="맑은 고딕" w:cs="맑은 고딕" w:eastAsia="맑은 고딕" w:hAnsi="맑은 고딕"/>
                <w:b/>
                <w:bCs/>
                <w:color w:val="000000"/>
                <w:sz w:val="20"/>
                <w:szCs w:val="20"/>
              </w:rPr>
              <w:t xml:space="preserve">형성배경</w:t>
            </w:r>
            <w:r>
              <w:br/>
            </w:r>
            <w:r>
              <w:rPr>
                <w:rFonts w:ascii="맑은 고딕" w:cs="맑은 고딕" w:eastAsia="맑은 고딕" w:hAnsi="맑은 고딕"/>
                <w:b/>
                <w:bCs/>
                <w:color w:val="000000"/>
                <w:sz w:val="20"/>
                <w:szCs w:val="20"/>
              </w:rPr>
              <w:t xml:space="preserve">기록)</w:t>
            </w:r>
          </w:p>
        </w:tc>
        <w:tc>
          <w:tcPr>
            <w:tcW w:type="dxa" w:w="5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jc w:val="left"/>
            </w:pPr>
            <w:r>
              <w:rPr>
                <w:rFonts w:ascii="맑은 고딕" w:cs="맑은 고딕" w:eastAsia="맑은 고딕" w:hAnsi="맑은 고딕"/>
                <w:b w:val="false"/>
                <w:bCs w:val="false"/>
                <w:color w:val="000000"/>
                <w:sz w:val="20"/>
                <w:szCs w:val="20"/>
              </w:rPr>
              <w:t xml:space="preserve">독서리더 활동에서 교내 축제 부스 홍보 관련 정책제안을 준비하면서, 천안여고 학생들을 대상으로 네이버폼 설문조사를 진행했다. 결과를 보니 게시판에 붙어 있는 홍보물을 자주 읽는다고 응답한 비율이 3%에 불과했고, 홍보물의 정보 전달 정도에 대해서도 '보통이다'가 62%로 가장 많았다. 홍보물이 게시판에 분명 붙어 있는데 학생들 대부분이 그걸 읽지 않는다는 점이 이상했다. 부족한 정보로는 부스의 구체적인 활동 내용과 참여 방법이 가장 많이 꼽혔는데, 그냥 '와보세요'가 아니라 '이런 걸 직접 할 수 있어요'처럼 상대방이 뭔가를 하고 싶게 만드는 방식이 필요하다는 생각이 들었다. 진로가 콘텐츠 기획 쪽이다 보니, 팬들의 반응을 이끌어내는 것으로 잘 알려진 엔터테인먼트 업계에서 수용자 참여를 어떻게 설계하는지 살펴보고 싶어졌다.</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jc w:val="left"/>
            </w:pPr>
            <w:r>
              <w:rPr>
                <w:rFonts w:ascii="맑은 고딕" w:cs="맑은 고딕" w:eastAsia="맑은 고딕" w:hAnsi="맑은 고딕"/>
                <w:b w:val="false"/>
                <w:bCs w:val="false"/>
                <w:color w:val="000000"/>
                <w:sz w:val="18"/>
                <w:szCs w:val="18"/>
              </w:rPr>
              <w:t xml:space="preserve">사회현상, 경험한 내용 등을 출발점으로 삼을 것</w:t>
            </w:r>
          </w:p>
        </w:tc>
      </w:tr>
      <w:tr>
        <w:tc>
          <w:tcPr>
            <w:tcW w:type="dxa" w:w="1500"/>
            <w:tcBorders>
              <w:top w:val="single" w:color="000000" w:sz="4"/>
              <w:left w:val="single" w:color="000000" w:sz="4"/>
              <w:bottom w:val="single" w:color="000000" w:sz="4"/>
              <w:right w:val="single" w:color="000000" w:sz="4"/>
            </w:tcBorders>
            <w:shd w:fill="D9D9D9" w:val="clear"/>
            <w:tcMar>
              <w:top w:type="dxa" w:w="100"/>
              <w:left w:type="dxa" w:w="120"/>
              <w:bottom w:type="dxa" w:w="100"/>
              <w:right w:type="dxa" w:w="120"/>
            </w:tcMar>
            <w:vAlign w:val="top"/>
          </w:tcPr>
          <w:p>
            <w:pPr>
              <w:jc w:val="center"/>
            </w:pPr>
            <w:r>
              <w:rPr>
                <w:rFonts w:ascii="맑은 고딕" w:cs="맑은 고딕" w:eastAsia="맑은 고딕" w:hAnsi="맑은 고딕"/>
                <w:b/>
                <w:bCs/>
                <w:color w:val="000000"/>
                <w:sz w:val="20"/>
                <w:szCs w:val="20"/>
              </w:rPr>
              <w:t xml:space="preserve">계획수립</w:t>
            </w:r>
            <w:r>
              <w:br/>
            </w:r>
            <w:r>
              <w:rPr>
                <w:rFonts w:ascii="맑은 고딕" w:cs="맑은 고딕" w:eastAsia="맑은 고딕" w:hAnsi="맑은 고딕"/>
                <w:b/>
                <w:bCs/>
                <w:color w:val="000000"/>
                <w:sz w:val="20"/>
                <w:szCs w:val="20"/>
              </w:rPr>
              <w:t xml:space="preserve">(조사할 내용)</w:t>
            </w:r>
          </w:p>
        </w:tc>
        <w:tc>
          <w:tcPr>
            <w:tcW w:type="dxa" w:w="5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jc w:val="left"/>
            </w:pPr>
            <w:r>
              <w:rPr>
                <w:rFonts w:ascii="맑은 고딕" w:cs="맑은 고딕" w:eastAsia="맑은 고딕" w:hAnsi="맑은 고딕"/>
                <w:b w:val="false"/>
                <w:bCs w:val="false"/>
                <w:color w:val="000000"/>
                <w:sz w:val="20"/>
                <w:szCs w:val="20"/>
              </w:rPr>
              <w:t xml:space="preserve">1. 기존 게시판 홍보 방식이 참여로 이어지지 않는 이유</w:t>
            </w:r>
            <w:r>
              <w:br/>
            </w:r>
            <w:r>
              <w:rPr>
                <w:rFonts w:ascii="맑은 고딕" w:cs="맑은 고딕" w:eastAsia="맑은 고딕" w:hAnsi="맑은 고딕"/>
                <w:b w:val="false"/>
                <w:bCs w:val="false"/>
                <w:color w:val="000000"/>
                <w:sz w:val="20"/>
                <w:szCs w:val="20"/>
              </w:rPr>
              <w:t xml:space="preserve">2. 엔터테인먼트 기획사가 팬 참여를 유도하는 콘텐츠 방식</w:t>
            </w:r>
            <w:r>
              <w:br/>
            </w:r>
            <w:r>
              <w:rPr>
                <w:rFonts w:ascii="맑은 고딕" w:cs="맑은 고딕" w:eastAsia="맑은 고딕" w:hAnsi="맑은 고딕"/>
                <w:b w:val="false"/>
                <w:bCs w:val="false"/>
                <w:color w:val="000000"/>
                <w:sz w:val="20"/>
                <w:szCs w:val="20"/>
              </w:rPr>
              <w:t xml:space="preserve">3. 참여를 이끄는 홍보의 공통 조건</w:t>
            </w:r>
            <w:r>
              <w:br/>
            </w:r>
            <w:r>
              <w:rPr>
                <w:rFonts w:ascii="맑은 고딕" w:cs="맑은 고딕" w:eastAsia="맑은 고딕" w:hAnsi="맑은 고딕"/>
                <w:b w:val="false"/>
                <w:bCs w:val="false"/>
                <w:color w:val="000000"/>
                <w:sz w:val="20"/>
                <w:szCs w:val="20"/>
              </w:rPr>
              <w:t xml:space="preserve"/>
            </w:r>
            <w:r>
              <w:br/>
            </w:r>
            <w:r>
              <w:rPr>
                <w:rFonts w:ascii="맑은 고딕" w:cs="맑은 고딕" w:eastAsia="맑은 고딕" w:hAnsi="맑은 고딕"/>
                <w:b w:val="false"/>
                <w:bCs w:val="false"/>
                <w:color w:val="000000"/>
                <w:sz w:val="20"/>
                <w:szCs w:val="20"/>
              </w:rPr>
              <w:t xml:space="preserve">[탐구하고 싶은 최종 주제]</w:t>
            </w:r>
            <w:r>
              <w:br/>
            </w:r>
            <w:r>
              <w:rPr>
                <w:rFonts w:ascii="맑은 고딕" w:cs="맑은 고딕" w:eastAsia="맑은 고딕" w:hAnsi="맑은 고딕"/>
                <w:b w:val="false"/>
                <w:bCs w:val="false"/>
                <w:color w:val="000000"/>
                <w:sz w:val="20"/>
                <w:szCs w:val="20"/>
              </w:rPr>
              <w:t xml:space="preserve">수용자가 반응하게 만드는 콘텐츠형 홍보의 설계 조건</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jc w:val="left"/>
            </w:pPr>
            <w:r>
              <w:rPr>
                <w:rFonts w:ascii="맑은 고딕" w:cs="맑은 고딕" w:eastAsia="맑은 고딕" w:hAnsi="맑은 고딕"/>
                <w:b w:val="false"/>
                <w:bCs w:val="false"/>
                <w:color w:val="000000"/>
                <w:sz w:val="18"/>
                <w:szCs w:val="18"/>
              </w:rPr>
              <w:t xml:space="preserve">관심에서 찾아보고 싶은 내용 / 탐구하고 싶은 최종 주제 포함</w:t>
            </w:r>
          </w:p>
        </w:tc>
      </w:tr>
      <w:tr>
        <w:tc>
          <w:tcPr>
            <w:tcW w:type="dxa" w:w="1500"/>
            <w:tcBorders>
              <w:top w:val="single" w:color="000000" w:sz="4"/>
              <w:left w:val="single" w:color="000000" w:sz="4"/>
              <w:bottom w:val="single" w:color="000000" w:sz="4"/>
              <w:right w:val="single" w:color="000000" w:sz="4"/>
            </w:tcBorders>
            <w:shd w:fill="D9D9D9" w:val="clear"/>
            <w:tcMar>
              <w:top w:type="dxa" w:w="100"/>
              <w:left w:type="dxa" w:w="120"/>
              <w:bottom w:type="dxa" w:w="100"/>
              <w:right w:type="dxa" w:w="120"/>
            </w:tcMar>
            <w:vAlign w:val="top"/>
          </w:tcPr>
          <w:p>
            <w:pPr>
              <w:jc w:val="center"/>
            </w:pPr>
            <w:r>
              <w:rPr>
                <w:rFonts w:ascii="맑은 고딕" w:cs="맑은 고딕" w:eastAsia="맑은 고딕" w:hAnsi="맑은 고딕"/>
                <w:b/>
                <w:bCs/>
                <w:color w:val="000000"/>
                <w:sz w:val="20"/>
                <w:szCs w:val="20"/>
              </w:rPr>
              <w:t xml:space="preserve">주제탐구</w:t>
            </w:r>
            <w:r>
              <w:br/>
            </w:r>
            <w:r>
              <w:rPr>
                <w:rFonts w:ascii="맑은 고딕" w:cs="맑은 고딕" w:eastAsia="맑은 고딕" w:hAnsi="맑은 고딕"/>
                <w:b/>
                <w:bCs/>
                <w:color w:val="000000"/>
                <w:sz w:val="20"/>
                <w:szCs w:val="20"/>
              </w:rPr>
              <w:t xml:space="preserve">과정</w:t>
            </w:r>
          </w:p>
        </w:tc>
        <w:tc>
          <w:tcPr>
            <w:tcW w:type="dxa" w:w="5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jc w:val="left"/>
            </w:pPr>
            <w:r>
              <w:rPr>
                <w:rFonts w:ascii="맑은 고딕" w:cs="맑은 고딕" w:eastAsia="맑은 고딕" w:hAnsi="맑은 고딕"/>
                <w:b w:val="false"/>
                <w:bCs w:val="false"/>
                <w:color w:val="000000"/>
                <w:sz w:val="20"/>
                <w:szCs w:val="20"/>
              </w:rPr>
              <w:t xml:space="preserve">먼저 엔터테인먼트 기획사의 실제 사례를 조사했다. HYBE는 위버스(Weverse) 플랫폼을 통해 팬들이 아티스트의 게시물에 댓글·좋아요로 직접 반응하고, 퀴즈나 챌린지에 참여하는 구조를 만들었다. 위버스 측은 댓글·퀴즈·챌린지 참여 건수를 KPI로 삼는다고 밝혔는데, 정보를 보여주기만 하는 게 아니라 팬이 무언가를 '하도록' 설계된 구조라는 점이 인상적이었다. HYBE는 위버스를 소통·콘텐츠 감상·굿즈 구매까지 가능한 하나의 플랫폼으로 운영하면서 팬의 행동 데이터를 분석해 맞춤형 서비스를 제공하고 있는데, 팬들은 플랫폼 안에서 소비자인 동시에 콘텐츠를 생산하고 반응을 남기는 주체로 움직이는 셈이다.</w:t>
            </w:r>
            <w:r>
              <w:br/>
            </w:r>
            <w:r>
              <w:rPr>
                <w:rFonts w:ascii="맑은 고딕" w:cs="맑은 고딕" w:eastAsia="맑은 고딕" w:hAnsi="맑은 고딕"/>
                <w:b w:val="false"/>
                <w:bCs w:val="false"/>
                <w:color w:val="000000"/>
                <w:sz w:val="20"/>
                <w:szCs w:val="20"/>
              </w:rPr>
              <w:t xml:space="preserve"/>
            </w:r>
            <w:r>
              <w:br/>
            </w:r>
            <w:r>
              <w:rPr>
                <w:rFonts w:ascii="맑은 고딕" w:cs="맑은 고딕" w:eastAsia="맑은 고딕" w:hAnsi="맑은 고딕"/>
                <w:b w:val="false"/>
                <w:bCs w:val="false"/>
                <w:color w:val="000000"/>
                <w:sz w:val="20"/>
                <w:szCs w:val="20"/>
              </w:rPr>
              <w:t xml:space="preserve">게시판 홍보물과 비교해서 가장 두드러진 차이는 '내가 할 수 있는 것'이 있느냐 없느냐였다. 홍보물은 정보를 나열하는 구조라 읽어도 내가 무엇을 해야 하는지가 불명확하다. 반면 위버스에서 팬들은 작은 행동(댓글, 좋아요, 챌린지 참여)부터 시작해 점점 더 깊이 관여하게 되는 흐름 안에 놓인다. 설문 결과에서 학생들이 홍보물을 잘 읽지 않는 이유도 이것과 맞닿아 있었다.</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jc w:val="left"/>
            </w:pPr>
            <w:r>
              <w:rPr>
                <w:rFonts w:ascii="맑은 고딕" w:cs="맑은 고딕" w:eastAsia="맑은 고딕" w:hAnsi="맑은 고딕"/>
                <w:b w:val="false"/>
                <w:bCs w:val="false"/>
                <w:color w:val="000000"/>
                <w:sz w:val="18"/>
                <w:szCs w:val="18"/>
              </w:rPr>
              <w:t xml:space="preserve">탐구 내용 + 탐구 방법 / 조사한 구체적 방법 기록</w:t>
            </w:r>
          </w:p>
        </w:tc>
      </w:tr>
      <w:tr>
        <w:tc>
          <w:tcPr>
            <w:tcW w:type="dxa" w:w="1500"/>
            <w:tcBorders>
              <w:top w:val="single" w:color="000000" w:sz="4"/>
              <w:left w:val="single" w:color="000000" w:sz="4"/>
              <w:bottom w:val="single" w:color="000000" w:sz="4"/>
              <w:right w:val="single" w:color="000000" w:sz="4"/>
            </w:tcBorders>
            <w:shd w:fill="D9D9D9" w:val="clear"/>
            <w:tcMar>
              <w:top w:type="dxa" w:w="100"/>
              <w:left w:type="dxa" w:w="120"/>
              <w:bottom w:type="dxa" w:w="100"/>
              <w:right w:type="dxa" w:w="120"/>
            </w:tcMar>
            <w:vAlign w:val="top"/>
          </w:tcPr>
          <w:p>
            <w:pPr>
              <w:jc w:val="center"/>
            </w:pPr>
            <w:r>
              <w:rPr>
                <w:rFonts w:ascii="맑은 고딕" w:cs="맑은 고딕" w:eastAsia="맑은 고딕" w:hAnsi="맑은 고딕"/>
                <w:b/>
                <w:bCs/>
                <w:color w:val="000000"/>
                <w:sz w:val="20"/>
                <w:szCs w:val="20"/>
              </w:rPr>
              <w:t xml:space="preserve">탐구 결론</w:t>
            </w:r>
          </w:p>
        </w:tc>
        <w:tc>
          <w:tcPr>
            <w:tcW w:type="dxa" w:w="5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jc w:val="left"/>
            </w:pPr>
            <w:r>
              <w:rPr>
                <w:rFonts w:ascii="맑은 고딕" w:cs="맑은 고딕" w:eastAsia="맑은 고딕" w:hAnsi="맑은 고딕"/>
                <w:b w:val="false"/>
                <w:bCs w:val="false"/>
                <w:color w:val="000000"/>
                <w:sz w:val="20"/>
                <w:szCs w:val="20"/>
              </w:rPr>
              <w:t xml:space="preserve">수용자 참여를 이끄는 홍보의 핵심은 정보를 전달하는 것이 아니라 행동을 유도하는 설계에 있었다. 엔터테인먼트 기획사의 사례에서 공통적으로 나타난 방식은 수용자가 무언가를 '하게' 만드는 구조였다. 댓글, 챌린지, 퀴즈처럼 작은 행동부터 시작해 점점 깊이 관여하게 만드는 흐름이다. 교내 홍보에 이 방식을 적용하면, 부스 안내문만 게시하는 것보다 '사전 신청', '체험 예약', '미션 공개' 같은 참여 요소가 포함되어야 학생들이 실제로 반응한다는 결론을 얻었다.</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jc w:val="left"/>
            </w:pPr>
            <w:r>
              <w:rPr>
                <w:rFonts w:ascii="맑은 고딕" w:cs="맑은 고딕" w:eastAsia="맑은 고딕" w:hAnsi="맑은 고딕"/>
                <w:b w:val="false"/>
                <w:bCs w:val="false"/>
                <w:color w:val="000000"/>
                <w:sz w:val="18"/>
                <w:szCs w:val="18"/>
              </w:rPr>
              <w:t xml:space="preserve"/>
            </w:r>
          </w:p>
        </w:tc>
      </w:tr>
      <w:tr>
        <w:tc>
          <w:tcPr>
            <w:tcW w:type="dxa" w:w="1500"/>
            <w:tcBorders>
              <w:top w:val="single" w:color="000000" w:sz="4"/>
              <w:left w:val="single" w:color="000000" w:sz="4"/>
              <w:bottom w:val="single" w:color="000000" w:sz="4"/>
              <w:right w:val="single" w:color="000000" w:sz="4"/>
            </w:tcBorders>
            <w:shd w:fill="D9D9D9" w:val="clear"/>
            <w:tcMar>
              <w:top w:type="dxa" w:w="100"/>
              <w:left w:type="dxa" w:w="120"/>
              <w:bottom w:type="dxa" w:w="100"/>
              <w:right w:type="dxa" w:w="120"/>
            </w:tcMar>
            <w:vAlign w:val="top"/>
          </w:tcPr>
          <w:p>
            <w:pPr>
              <w:jc w:val="center"/>
            </w:pPr>
            <w:r>
              <w:rPr>
                <w:rFonts w:ascii="맑은 고딕" w:cs="맑은 고딕" w:eastAsia="맑은 고딕" w:hAnsi="맑은 고딕"/>
                <w:b/>
                <w:bCs/>
                <w:color w:val="000000"/>
                <w:sz w:val="20"/>
                <w:szCs w:val="20"/>
              </w:rPr>
              <w:t xml:space="preserve">탐구자료</w:t>
            </w:r>
            <w:r>
              <w:br/>
            </w:r>
            <w:r>
              <w:rPr>
                <w:rFonts w:ascii="맑은 고딕" w:cs="맑은 고딕" w:eastAsia="맑은 고딕" w:hAnsi="맑은 고딕"/>
                <w:b/>
                <w:bCs/>
                <w:color w:val="000000"/>
                <w:sz w:val="20"/>
                <w:szCs w:val="20"/>
              </w:rPr>
              <w:t xml:space="preserve">출처</w:t>
            </w:r>
          </w:p>
        </w:tc>
        <w:tc>
          <w:tcPr>
            <w:tcW w:type="dxa" w:w="5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jc w:val="left"/>
            </w:pPr>
            <w:r>
              <w:rPr>
                <w:rFonts w:ascii="맑은 고딕" w:cs="맑은 고딕" w:eastAsia="맑은 고딕" w:hAnsi="맑은 고딕"/>
                <w:b w:val="false"/>
                <w:bCs w:val="false"/>
                <w:color w:val="000000"/>
                <w:sz w:val="20"/>
                <w:szCs w:val="20"/>
              </w:rPr>
              <w:t xml:space="preserve">KB금융그룹, "하이브의 엔터테인먼트 혁신, 위버스로 만들어가는 글로벌 팬 커뮤니티", KB의 생각, 2025.11.07.</w:t>
            </w:r>
            <w:r>
              <w:br/>
            </w:r>
            <w:r>
              <w:rPr>
                <w:rFonts w:ascii="맑은 고딕" w:cs="맑은 고딕" w:eastAsia="맑은 고딕" w:hAnsi="맑은 고딕"/>
                <w:b w:val="false"/>
                <w:bCs w:val="false"/>
                <w:color w:val="000000"/>
                <w:sz w:val="20"/>
                <w:szCs w:val="20"/>
              </w:rPr>
              <w:t xml:space="preserve">https://kbthink.com/life/daily/hybe.html</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jc w:val="left"/>
            </w:pPr>
            <w:r>
              <w:rPr>
                <w:rFonts w:ascii="맑은 고딕" w:cs="맑은 고딕" w:eastAsia="맑은 고딕" w:hAnsi="맑은 고딕"/>
                <w:b w:val="false"/>
                <w:bCs w:val="false"/>
                <w:color w:val="000000"/>
                <w:sz w:val="18"/>
                <w:szCs w:val="18"/>
              </w:rPr>
              <w:t xml:space="preserve">검색 사이트, 기사 등</w:t>
            </w:r>
          </w:p>
        </w:tc>
      </w:tr>
      <w:tr>
        <w:tc>
          <w:tcPr>
            <w:tcW w:type="dxa" w:w="1500"/>
            <w:tcBorders>
              <w:top w:val="single" w:color="000000" w:sz="4"/>
              <w:left w:val="single" w:color="000000" w:sz="4"/>
              <w:bottom w:val="single" w:color="000000" w:sz="4"/>
              <w:right w:val="single" w:color="000000" w:sz="4"/>
            </w:tcBorders>
            <w:shd w:fill="D9D9D9" w:val="clear"/>
            <w:tcMar>
              <w:top w:type="dxa" w:w="100"/>
              <w:left w:type="dxa" w:w="120"/>
              <w:bottom w:type="dxa" w:w="100"/>
              <w:right w:type="dxa" w:w="120"/>
            </w:tcMar>
            <w:vAlign w:val="top"/>
          </w:tcPr>
          <w:p>
            <w:pPr>
              <w:jc w:val="center"/>
            </w:pPr>
            <w:r>
              <w:rPr>
                <w:rFonts w:ascii="맑은 고딕" w:cs="맑은 고딕" w:eastAsia="맑은 고딕" w:hAnsi="맑은 고딕"/>
                <w:b/>
                <w:bCs/>
                <w:color w:val="000000"/>
                <w:sz w:val="20"/>
                <w:szCs w:val="20"/>
              </w:rPr>
              <w:t xml:space="preserve">배우고</w:t>
            </w:r>
            <w:r>
              <w:br/>
            </w:r>
            <w:r>
              <w:rPr>
                <w:rFonts w:ascii="맑은 고딕" w:cs="맑은 고딕" w:eastAsia="맑은 고딕" w:hAnsi="맑은 고딕"/>
                <w:b/>
                <w:bCs/>
                <w:color w:val="000000"/>
                <w:sz w:val="20"/>
                <w:szCs w:val="20"/>
              </w:rPr>
              <w:t xml:space="preserve">느끼고</w:t>
            </w:r>
            <w:r>
              <w:br/>
            </w:r>
            <w:r>
              <w:rPr>
                <w:rFonts w:ascii="맑은 고딕" w:cs="맑은 고딕" w:eastAsia="맑은 고딕" w:hAnsi="맑은 고딕"/>
                <w:b/>
                <w:bCs/>
                <w:color w:val="000000"/>
                <w:sz w:val="20"/>
                <w:szCs w:val="20"/>
              </w:rPr>
              <w:t xml:space="preserve">성장한 점</w:t>
            </w:r>
          </w:p>
        </w:tc>
        <w:tc>
          <w:tcPr>
            <w:tcW w:type="dxa" w:w="5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jc w:val="left"/>
            </w:pPr>
            <w:r>
              <w:rPr>
                <w:rFonts w:ascii="맑은 고딕" w:cs="맑은 고딕" w:eastAsia="맑은 고딕" w:hAnsi="맑은 고딕"/>
                <w:b w:val="false"/>
                <w:bCs w:val="false"/>
                <w:color w:val="000000"/>
                <w:sz w:val="20"/>
                <w:szCs w:val="20"/>
              </w:rPr>
              <w:t xml:space="preserve">설문 당시에는 홍보물의 내용이 부족하다는 정도로만 봤는데, 엔터테인먼트 기획 사례를 살펴보고 나니 문제의 핵심이 '참여 설계'에 있다는 걸 알게 됐다. 콘텐츠 기획에서 가장 중요한 건 어떻게 전달하느냐보다 수용자가 무엇을 하게 되느냐라는 것을, 두 가지 방식을 직접 비교하면서 느꼈다. 앞으로 문화콘텐츠 기획으로 진로를 이어갈 때, 기획 단계에서 수용자의 행동 동선을 먼저 그려보는 습관을 들이고 싶다.</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jc w:val="left"/>
            </w:pPr>
            <w:r>
              <w:rPr>
                <w:rFonts w:ascii="맑은 고딕" w:cs="맑은 고딕" w:eastAsia="맑은 고딕" w:hAnsi="맑은 고딕"/>
                <w:b w:val="false"/>
                <w:bCs w:val="false"/>
                <w:color w:val="000000"/>
                <w:sz w:val="18"/>
                <w:szCs w:val="18"/>
              </w:rPr>
              <w:t xml:space="preserve">새롭게 알게 된 점, 느낀 점, 앞으로의 계획 포함</w:t>
            </w:r>
          </w:p>
        </w:tc>
      </w:tr>
      <w:tr>
        <w:tc>
          <w:tcPr>
            <w:tcW w:type="dxa" w:w="1500"/>
            <w:tcBorders>
              <w:top w:val="single" w:color="000000" w:sz="4"/>
              <w:left w:val="single" w:color="000000" w:sz="4"/>
              <w:bottom w:val="single" w:color="000000" w:sz="4"/>
              <w:right w:val="single" w:color="000000" w:sz="4"/>
            </w:tcBorders>
            <w:shd w:fill="D9D9D9" w:val="clear"/>
            <w:tcMar>
              <w:top w:type="dxa" w:w="100"/>
              <w:left w:type="dxa" w:w="120"/>
              <w:bottom w:type="dxa" w:w="100"/>
              <w:right w:type="dxa" w:w="120"/>
            </w:tcMar>
            <w:vAlign w:val="top"/>
          </w:tcPr>
          <w:p>
            <w:pPr>
              <w:jc w:val="center"/>
            </w:pPr>
            <w:r>
              <w:rPr>
                <w:rFonts w:ascii="맑은 고딕" w:cs="맑은 고딕" w:eastAsia="맑은 고딕" w:hAnsi="맑은 고딕"/>
                <w:b/>
                <w:bCs/>
                <w:color w:val="000000"/>
                <w:sz w:val="20"/>
                <w:szCs w:val="20"/>
              </w:rPr>
              <w:t xml:space="preserve">생기부</w:t>
            </w:r>
            <w:r>
              <w:br/>
            </w:r>
            <w:r>
              <w:rPr>
                <w:rFonts w:ascii="맑은 고딕" w:cs="맑은 고딕" w:eastAsia="맑은 고딕" w:hAnsi="맑은 고딕"/>
                <w:b/>
                <w:bCs/>
                <w:color w:val="000000"/>
                <w:sz w:val="20"/>
                <w:szCs w:val="20"/>
              </w:rPr>
              <w:t xml:space="preserve">기재 내용</w:t>
            </w:r>
          </w:p>
        </w:tc>
        <w:tc>
          <w:tcPr>
            <w:tcW w:type="dxa" w:w="5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jc w:val="left"/>
            </w:pPr>
            <w:r>
              <w:rPr>
                <w:rFonts w:ascii="맑은 고딕" w:cs="맑은 고딕" w:eastAsia="맑은 고딕" w:hAnsi="맑은 고딕"/>
                <w:b w:val="false"/>
                <w:bCs w:val="false"/>
                <w:color w:val="000000"/>
                <w:sz w:val="20"/>
                <w:szCs w:val="20"/>
              </w:rPr>
              <w:t xml:space="preserve">독서리더 활동에서 직접 진행한 교내 축제 홍보물 인지도 설문(자주 읽는다 응답 3%) 결과를 바탕으로, 기존 홍보 방식의 한계를 문제 인식의 출발점으로 삼아 엔터테인먼트 기획사의 수용자 참여 유도 방식을 조사함. HYBE 위버스 플랫폼 사례를 조사하여 콘텐츠형 홍보의 핵심이 정보 전달이 아닌 행동 유도 설계에 있음을 파악하고, 향후 콘텐츠 기획에서 수용자 행동 설계를 먼저 고려하겠다는 방향을 제시함.</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jc w:val="left"/>
            </w:pPr>
            <w:r>
              <w:rPr>
                <w:rFonts w:ascii="맑은 고딕" w:cs="맑은 고딕" w:eastAsia="맑은 고딕" w:hAnsi="맑은 고딕"/>
                <w:b w:val="false"/>
                <w:bCs w:val="false"/>
                <w:color w:val="000000"/>
                <w:sz w:val="18"/>
                <w:szCs w:val="18"/>
              </w:rPr>
              <w:t xml:space="preserve"/>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2026-04-25T11:22:47.545Z</dcterms:created>
  <dcterms:modified xsi:type="dcterms:W3CDTF">2026-04-25T11:22:47.546Z</dcterms:modified>
</cp:coreProperties>
</file>

<file path=docProps/custom.xml><?xml version="1.0" encoding="utf-8"?>
<Properties xmlns="http://schemas.openxmlformats.org/officeDocument/2006/custom-properties" xmlns:vt="http://schemas.openxmlformats.org/officeDocument/2006/docPropsVTypes"/>
</file>