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16 de setembro de 2026</w:t>
      </w:r>
    </w:p>
    <w:bookmarkStart w:id="9" w:name="títul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TÍTULO</w:t>
      </w:r>
    </w:p>
    <w:p>
      <w:pPr>
        <w:pStyle w:val="FirstParagraph"/>
      </w:pPr>
      <w:r>
        <w:t xml:space="preserve">Otimização operacional do modelo de ondas WAVEWATCH III® no ciclo de previsão do ReNOMO (LabECO/UFSC): opções de compilação, configuração, Fortran moderno e reescrita de</w:t>
      </w:r>
      <w:r>
        <w:t xml:space="preserve"> </w:t>
      </w:r>
      <w:r>
        <w:rPr>
          <w:i/>
          <w:iCs/>
        </w:rPr>
        <w:t xml:space="preserve">kernels</w:t>
      </w:r>
      <w:r>
        <w:t xml:space="preserve"> </w:t>
      </w:r>
      <w:r>
        <w:t xml:space="preserve">em C++/Kokkos para GPU.</w:t>
      </w:r>
    </w:p>
    <w:bookmarkEnd w:id="9"/>
    <w:bookmarkStart w:id="10" w:name="ênfas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ÊNFASE</w:t>
      </w:r>
    </w:p>
    <w:p>
      <w:pPr>
        <w:pStyle w:val="FirstParagraph"/>
      </w:pPr>
      <w:r>
        <w:t xml:space="preserve">Computação / Computação científica de alto desempenho.</w:t>
      </w:r>
    </w:p>
    <w:bookmarkEnd w:id="10"/>
    <w:bookmarkStart w:id="11" w:name="tem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TEMA</w:t>
      </w:r>
    </w:p>
    <w:p>
      <w:pPr>
        <w:pStyle w:val="FirstParagraph"/>
      </w:pPr>
      <w:r>
        <w:t xml:space="preserve">Modelos de ondas de terceira geração resolvem a equação de balanço da ação das ondas sobre uma grade espacial e uma grade espectral, integrando em cada ponto e a cada passo de tempo a entrada de vento, as interações não lineares entre componentes e a dissipação, sem hipóteses</w:t>
      </w:r>
      <w:r>
        <w:t xml:space="preserve"> </w:t>
      </w:r>
      <w:r>
        <w:rPr>
          <w:i/>
          <w:iCs/>
        </w:rPr>
        <w:t xml:space="preserve">ad hoc</w:t>
      </w:r>
      <w:r>
        <w:t xml:space="preserve"> </w:t>
      </w:r>
      <w:r>
        <w:t xml:space="preserve">sobre a forma do espectro</w:t>
      </w:r>
      <w:r>
        <w:t xml:space="preserve"> </w:t>
      </w:r>
      <w:r>
        <w:t xml:space="preserve">(</w:t>
      </w:r>
      <w:hyperlink w:anchor="ref-wamdi1988">
        <w:r>
          <w:rPr>
            <w:rStyle w:val="Hyperlink"/>
          </w:rPr>
          <w:t xml:space="preserve">The WAMDI Group, 1988</w:t>
        </w:r>
      </w:hyperlink>
      <w:r>
        <w:t xml:space="preserve">;</w:t>
      </w:r>
      <w:r>
        <w:t xml:space="preserve"> </w:t>
      </w:r>
      <w:hyperlink w:anchor="ref-tolman1991">
        <w:r>
          <w:rPr>
            <w:rStyle w:val="Hyperlink"/>
          </w:rPr>
          <w:t xml:space="preserve">Tolman, 1991</w:t>
        </w:r>
      </w:hyperlink>
      <w:r>
        <w:t xml:space="preserve">)</w:t>
      </w:r>
      <w:r>
        <w:t xml:space="preserve">. O WAVEWATCH III® (WW3) é o modelo de referência dessa classe, mantido pelo NOAA/NCEP e distribuído em código aberto para uso operacional e de pesquisa</w:t>
      </w:r>
      <w:r>
        <w:t xml:space="preserve"> </w:t>
      </w:r>
      <w:r>
        <w:t xml:space="preserve">(</w:t>
      </w:r>
      <w:hyperlink w:anchor="ref-ww3repo">
        <w:r>
          <w:rPr>
            <w:rStyle w:val="Hyperlink"/>
          </w:rPr>
          <w:t xml:space="preserve">NOAA-EMC, 2026</w:t>
        </w:r>
      </w:hyperlink>
      <w:r>
        <w:t xml:space="preserve">;</w:t>
      </w:r>
      <w:r>
        <w:t xml:space="preserve"> </w:t>
      </w:r>
      <w:hyperlink w:anchor="ref-ww3manual">
        <w:r>
          <w:rPr>
            <w:rStyle w:val="Hyperlink"/>
          </w:rPr>
          <w:t xml:space="preserve">The WAVEWATCH III Development Group, 2019</w:t>
        </w:r>
      </w:hyperlink>
      <w:r>
        <w:t xml:space="preserve">)</w:t>
      </w:r>
      <w:r>
        <w:t xml:space="preserve">. É escrito em Fortran com MPI e OpenMP, e um arquivo de</w:t>
      </w:r>
      <w:r>
        <w:t xml:space="preserve"> </w:t>
      </w:r>
      <w:r>
        <w:rPr>
          <w:i/>
          <w:iCs/>
        </w:rPr>
        <w:t xml:space="preserve">switches</w:t>
      </w:r>
      <w:r>
        <w:t xml:space="preserve"> </w:t>
      </w:r>
      <w:r>
        <w:t xml:space="preserve">fixa, em tempo de compilação, quais trechos do código entram no executável: a física, o esquema de propagação e as opções de entrada e saída</w:t>
      </w:r>
      <w:r>
        <w:t xml:space="preserve"> </w:t>
      </w:r>
      <w:r>
        <w:t xml:space="preserve">(</w:t>
      </w:r>
      <w:hyperlink w:anchor="ref-ww3manual">
        <w:r>
          <w:rPr>
            <w:rStyle w:val="Hyperlink"/>
          </w:rPr>
          <w:t xml:space="preserve">The WAVEWATCH III Development Group, 2019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A previsão de ondas herda a não linearidade da previsão atmosférica que a força, e sua habilidade se degrada com o prazo: a avaliação do sistema de conjunto do NCEP contra quatro missões altimétricas mostra o erro crescendo ao longo dos dias de previsão e a média do conjunto reduzindo o erro de espalhamento da altura significativa de 1,8 m, na rodada de controle, para 1,3 m</w:t>
      </w:r>
      <w:r>
        <w:t xml:space="preserve"> </w:t>
      </w:r>
      <w:r>
        <w:t xml:space="preserve">(</w:t>
      </w:r>
      <w:hyperlink w:anchor="ref-campos2020">
        <w:r>
          <w:rPr>
            <w:rStyle w:val="Hyperlink"/>
          </w:rPr>
          <w:t xml:space="preserve">Campos et al., 2020</w:t>
        </w:r>
      </w:hyperlink>
      <w:r>
        <w:t xml:space="preserve">)</w:t>
      </w:r>
      <w:r>
        <w:t xml:space="preserve">. A resposta operacional é rodar mais vezes por dia e em conjunto (</w:t>
      </w:r>
      <w:r>
        <w:rPr>
          <w:i/>
          <w:iCs/>
        </w:rPr>
        <w:t xml:space="preserve">ensemble</w:t>
      </w:r>
      <w:r>
        <w:t xml:space="preserve">), perturbando condições iniciais e forçantes</w:t>
      </w:r>
      <w:r>
        <w:t xml:space="preserve"> </w:t>
      </w:r>
      <w:r>
        <w:t xml:space="preserve">(</w:t>
      </w:r>
      <w:hyperlink w:anchor="ref-farina2002">
        <w:r>
          <w:rPr>
            <w:rStyle w:val="Hyperlink"/>
          </w:rPr>
          <w:t xml:space="preserve">Farina, 2002</w:t>
        </w:r>
      </w:hyperlink>
      <w:r>
        <w:t xml:space="preserve">)</w:t>
      </w:r>
      <w:r>
        <w:t xml:space="preserve">. O NCEP, por exemplo, executa o GFS-Wave quatro vezes por dia (00, 06, 12 e 18 UTC), com horizonte de 384 h, em grades globais de 0,16° e 0,25° com aninhamentos regionais, e o GEFS-Wave com 30 membros a 0,25° até 16 dias</w:t>
      </w:r>
      <w:r>
        <w:t xml:space="preserve"> </w:t>
      </w:r>
      <w:r>
        <w:t xml:space="preserve">(</w:t>
      </w:r>
      <w:hyperlink w:anchor="ref-emcwaves">
        <w:r>
          <w:rPr>
            <w:rStyle w:val="Hyperlink"/>
          </w:rPr>
          <w:t xml:space="preserve">NOAA/NWS/NCEP/EMC, 2026</w:t>
        </w:r>
      </w:hyperlink>
      <w:r>
        <w:t xml:space="preserve">)</w:t>
      </w:r>
      <w:r>
        <w:t xml:space="preserve">. Cada uma dessas escolhas — frequência dos ciclos, resolução, número de domínios aninhados e de membros — é limitada pelo tempo de execução (</w:t>
      </w:r>
      <w:r>
        <w:rPr>
          <w:i/>
          <w:iCs/>
        </w:rPr>
        <w:t xml:space="preserve">wall-clock</w:t>
      </w:r>
      <w:r>
        <w:t xml:space="preserve">) de uma previsão e pelos recursos computacionais disponíveis: é o tempo de execução que decide quanto de física e de resolução cabe dentro do prazo de entrega.</w:t>
      </w:r>
    </w:p>
    <w:p>
      <w:pPr>
        <w:pStyle w:val="BodyText"/>
      </w:pPr>
      <w:r>
        <w:t xml:space="preserve">O Laboratório de Engenharia e Ciências Oceânicas da Universidade Federal de Santa Catarina (LabECO/UFSC) executa o WW3 como parte de sua contribuição à Rede Nacional de Observação e Monitoramento Oceânico (ReNOMO), financiada pela chamada CNPq/MCTI/Finep 062/2022, que integra observação, controle de qualidade e produtos operacionais para o Atlântico Sul e a costa brasileira</w:t>
      </w:r>
      <w:r>
        <w:t xml:space="preserve"> </w:t>
      </w:r>
      <w:r>
        <w:t xml:space="preserve">(</w:t>
      </w:r>
      <w:hyperlink w:anchor="ref-renomo">
        <w:r>
          <w:rPr>
            <w:rStyle w:val="Hyperlink"/>
          </w:rPr>
          <w:t xml:space="preserve">LabECO/UFSC, 2026</w:t>
        </w:r>
      </w:hyperlink>
      <w:r>
        <w:t xml:space="preserve">;</w:t>
      </w:r>
      <w:r>
        <w:t xml:space="preserve"> </w:t>
      </w:r>
      <w:hyperlink w:anchor="ref-labeco">
        <w:r>
          <w:rPr>
            <w:rStyle w:val="Hyperlink"/>
          </w:rPr>
          <w:t xml:space="preserve">UFSC, 2026</w:t>
        </w:r>
      </w:hyperlink>
      <w:r>
        <w:t xml:space="preserve">)</w:t>
      </w:r>
      <w:r>
        <w:t xml:space="preserve">. Essa cadeia, e não uma instalação de laboratório, constitui o caso de referência deste trabalho.</w:t>
      </w:r>
    </w:p>
    <w:p>
      <w:pPr>
        <w:pStyle w:val="BodyText"/>
      </w:pPr>
      <w:r>
        <w:t xml:space="preserve">O tema deste projeto é a</w:t>
      </w:r>
      <w:r>
        <w:t xml:space="preserve"> </w:t>
      </w:r>
      <w:r>
        <w:rPr>
          <w:b/>
          <w:bCs/>
        </w:rPr>
        <w:t xml:space="preserve">simulação paralela e a aceleração em GPU de um modelo espectral de ondas de terceira geração</w:t>
      </w:r>
      <w:r>
        <w:t xml:space="preserve">, tomando como caso o WW3 na configuração operada pelo LabECO. Trata-se de um problema de engenharia de desempenho com resultado mensurável — o tempo de execução de um ciclo de previsão — sob a restrição de que a correção dos campos previstos não pode ser trocada por velocidade.</w:t>
      </w:r>
    </w:p>
    <w:bookmarkEnd w:id="11"/>
    <w:bookmarkStart w:id="12" w:name="delimitação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DELIMITAÇÃO</w:t>
      </w:r>
    </w:p>
    <w:p>
      <w:pPr>
        <w:pStyle w:val="FirstParagraph"/>
      </w:pPr>
      <w:r>
        <w:t xml:space="preserve">O trabalho restringe-se ao</w:t>
      </w:r>
      <w:r>
        <w:t xml:space="preserve"> </w:t>
      </w:r>
      <w:r>
        <w:rPr>
          <w:i/>
          <w:iCs/>
        </w:rPr>
        <w:t xml:space="preserve">driver</w:t>
      </w:r>
      <w:r>
        <w:t xml:space="preserve"> </w:t>
      </w:r>
      <w:r>
        <w:t xml:space="preserve">de grade única do WW3 (</w:t>
      </w:r>
      <w:r>
        <w:rPr>
          <w:rStyle w:val="VerbatimChar"/>
        </w:rPr>
        <w:t xml:space="preserve">ww3_shel</w:t>
      </w:r>
      <w:r>
        <w:t xml:space="preserve">), com os casos de teste vindos do sistema de previsão operacional do LabECO (UFSC), que será disponibilizado ao projeto no início do cronograma: sua grade, seu arquivo de</w:t>
      </w:r>
      <w:r>
        <w:t xml:space="preserve"> </w:t>
      </w:r>
      <w:r>
        <w:rPr>
          <w:i/>
          <w:iCs/>
        </w:rPr>
        <w:t xml:space="preserve">switches</w:t>
      </w:r>
      <w:r>
        <w:t xml:space="preserve">, sua forçante e sua lista de saídas. Essa configuração e a revisão exata do código-fonte são congeladas e documentadas no início do projeto, de modo que todas as medidas se refiram ao mesmo caso. A grade regular é o caso de referência; grades não estruturadas (PDLIB) entram no escopo apenas se a configuração operacional do laboratório as exigir, e nesse caso o mesmo procedimento de medida se aplica a elas.</w:t>
      </w:r>
    </w:p>
    <w:p>
      <w:pPr>
        <w:pStyle w:val="BodyText"/>
      </w:pPr>
      <w:r>
        <w:t xml:space="preserve">Quatro etapas estão no escopo, executadas nesta ordem e cada uma validada por comparação com a execução de referência: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Opções de compilação.</w:t>
      </w:r>
      <w:r>
        <w:t xml:space="preserve"> </w:t>
      </w:r>
      <w:r>
        <w:t xml:space="preserve">Compilador,</w:t>
      </w:r>
      <w:r>
        <w:t xml:space="preserve"> </w:t>
      </w:r>
      <w:r>
        <w:rPr>
          <w:i/>
          <w:iCs/>
        </w:rPr>
        <w:t xml:space="preserve">flags</w:t>
      </w:r>
      <w:r>
        <w:t xml:space="preserve"> </w:t>
      </w:r>
      <w:r>
        <w:t xml:space="preserve">de otimização, arquivo de</w:t>
      </w:r>
      <w:r>
        <w:t xml:space="preserve"> </w:t>
      </w:r>
      <w:r>
        <w:rPr>
          <w:i/>
          <w:iCs/>
        </w:rPr>
        <w:t xml:space="preserve">switches</w:t>
      </w:r>
      <w:r>
        <w:t xml:space="preserve"> </w:t>
      </w:r>
      <w:r>
        <w:t xml:space="preserve">(em particular memória compartilhada, MPI ou híbrido, e a saída NetCDF-4) e a distribuição de processos MPI e</w:t>
      </w:r>
      <w:r>
        <w:t xml:space="preserve"> </w:t>
      </w:r>
      <w:r>
        <w:rPr>
          <w:i/>
          <w:iCs/>
        </w:rPr>
        <w:t xml:space="preserve">threads</w:t>
      </w:r>
      <w:r>
        <w:t xml:space="preserve"> </w:t>
      </w:r>
      <w:r>
        <w:t xml:space="preserve">OpenMP. Não altera o código-fonte; espera-se reprodução bit a bit da referência ou, com reordenação de operações em ponto flutuante, diferenças da ordem do arredondamento.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Configuração da execução.</w:t>
      </w:r>
      <w:r>
        <w:t xml:space="preserve"> </w:t>
      </w:r>
      <w:r>
        <w:t xml:space="preserve">Decomposição do domínio, passos de tempo permitidos pela condição CFL, frequência e campos de saída, estratégia de</w:t>
      </w:r>
      <w:r>
        <w:t xml:space="preserve"> </w:t>
      </w:r>
      <w:r>
        <w:rPr>
          <w:i/>
          <w:iCs/>
        </w:rPr>
        <w:t xml:space="preserve">restart</w:t>
      </w:r>
      <w:r>
        <w:t xml:space="preserve"> </w:t>
      </w:r>
      <w:r>
        <w:t xml:space="preserve">e interpolação da forçante. Altera apenas</w:t>
      </w:r>
      <w:r>
        <w:t xml:space="preserve"> </w:t>
      </w:r>
      <w:r>
        <w:rPr>
          <w:i/>
          <w:iCs/>
        </w:rPr>
        <w:t xml:space="preserve">namelists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Refatoração dirigida em Fortran moderno, assistida por LLM.</w:t>
      </w:r>
      <w:r>
        <w:t xml:space="preserve"> </w:t>
      </w:r>
      <w:r>
        <w:t xml:space="preserve">Reescrita das rotinas que o perfil identificar como dominantes, tipicamente a integração dos termos de fonte (</w:t>
      </w:r>
      <w:r>
        <w:rPr>
          <w:rStyle w:val="VerbatimChar"/>
        </w:rPr>
        <w:t xml:space="preserve">W3SRCE</w:t>
      </w:r>
      <w:r>
        <w:t xml:space="preserve">) e a propagação espacial, com construções padrão Fortran 2008/2018 (</w:t>
      </w:r>
      <w:r>
        <w:rPr>
          <w:rStyle w:val="VerbatimChar"/>
        </w:rPr>
        <w:t xml:space="preserve">do concurrent</w:t>
      </w:r>
      <w:r>
        <w:t xml:space="preserve">, interfaces explícitas, vetores contíguos), sem alterar o algoritmo numérico e dentro de uma tolerância definida por campo de saída. A migração é feita com um assistente de código baseado em LLM dirigido pelo aluno, no papel que Koldunov et al.</w:t>
      </w:r>
      <w:r>
        <w:t xml:space="preserve"> </w:t>
      </w:r>
      <w:r>
        <w:t xml:space="preserve">(</w:t>
      </w:r>
      <w:hyperlink w:anchor="ref-koldunov2026">
        <w:r>
          <w:rPr>
            <w:rStyle w:val="Hyperlink"/>
          </w:rPr>
          <w:t xml:space="preserve">2026</w:t>
        </w:r>
      </w:hyperlink>
      <w:r>
        <w:t xml:space="preserve">)</w:t>
      </w:r>
      <w:r>
        <w:t xml:space="preserve"> </w:t>
      </w:r>
      <w:r>
        <w:t xml:space="preserve">descrevem para o FESOM2: o modelo propõe a tradução, rotina a rotina, e o aluno e o coorientador respondem pela revisão e pela validação. O que entra no repositório é a evidência, não a sugestão:</w:t>
      </w:r>
      <w:r>
        <w:t xml:space="preserve"> </w:t>
      </w:r>
      <w:r>
        <w:rPr>
          <w:i/>
          <w:iCs/>
        </w:rPr>
        <w:t xml:space="preserve">prompts</w:t>
      </w:r>
      <w:r>
        <w:t xml:space="preserve">, o</w:t>
      </w:r>
      <w:r>
        <w:t xml:space="preserve"> </w:t>
      </w:r>
      <w:r>
        <w:rPr>
          <w:i/>
          <w:iCs/>
        </w:rPr>
        <w:t xml:space="preserve">diff</w:t>
      </w:r>
      <w:r>
        <w:t xml:space="preserve"> </w:t>
      </w:r>
      <w:r>
        <w:t xml:space="preserve">revisado e o resultado dos testes de paridade são versionados junto com o código, e nenhuma rotina é aceita sem passar pelo comparador por campo descrito na metodologia.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Reescrita de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kernels</w:t>
      </w:r>
      <w:r>
        <w:rPr>
          <w:b/>
          <w:bCs/>
        </w:rPr>
        <w:t xml:space="preserve"> </w:t>
      </w:r>
      <w:r>
        <w:rPr>
          <w:b/>
          <w:bCs/>
        </w:rPr>
        <w:t xml:space="preserve">em C++/Kokkos e execução em GPU (NVIDIA H100).</w:t>
      </w:r>
      <w:r>
        <w:t xml:space="preserve"> </w:t>
      </w:r>
      <w:r>
        <w:t xml:space="preserve">O Kokkos é uma biblioteca C++ de portabilidade de desempenho: o mesmo código-fonte, escrito uma vez com suas abstrações de paralelismo (</w:t>
      </w:r>
      <w:r>
        <w:rPr>
          <w:rStyle w:val="VerbatimChar"/>
        </w:rPr>
        <w:t xml:space="preserve">parallel_for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) e de dados (</w:t>
      </w:r>
      <w:r>
        <w:rPr>
          <w:rStyle w:val="VerbatimChar"/>
        </w:rPr>
        <w:t xml:space="preserve">View</w:t>
      </w:r>
      <w:r>
        <w:t xml:space="preserve">, que fixa o leiaute de memória por arquitetura), é compilado para o</w:t>
      </w:r>
      <w:r>
        <w:t xml:space="preserve"> </w:t>
      </w:r>
      <w:r>
        <w:rPr>
          <w:i/>
          <w:iCs/>
        </w:rPr>
        <w:t xml:space="preserve">backend</w:t>
      </w:r>
      <w:r>
        <w:t xml:space="preserve"> </w:t>
      </w:r>
      <w:r>
        <w:t xml:space="preserve">nativo de cada máquina — Serial e OpenMP em CPU, CUDA em GPUs NVIDIA, HIP em AMD e SYCL em Intel</w:t>
      </w:r>
      <w:r>
        <w:t xml:space="preserve"> </w:t>
      </w:r>
      <w:r>
        <w:t xml:space="preserve">(</w:t>
      </w:r>
      <w:hyperlink w:anchor="ref-trott2022">
        <w:r>
          <w:rPr>
            <w:rStyle w:val="Hyperlink"/>
          </w:rPr>
          <w:t xml:space="preserve">Trott et al., 2022</w:t>
        </w:r>
      </w:hyperlink>
      <w:r>
        <w:t xml:space="preserve">)</w:t>
      </w:r>
      <w:r>
        <w:t xml:space="preserve">. É a mesma camada indicada para o WAVEWATCH IV</w:t>
      </w:r>
      <w:r>
        <w:t xml:space="preserve"> </w:t>
      </w:r>
      <w:r>
        <w:t xml:space="preserve">(</w:t>
      </w:r>
      <w:hyperlink w:anchor="ref-on528">
        <w:r>
          <w:rPr>
            <w:rStyle w:val="Hyperlink"/>
          </w:rPr>
          <w:t xml:space="preserve">Tolman, 2026</w:t>
        </w:r>
      </w:hyperlink>
      <w:r>
        <w:t xml:space="preserve">)</w:t>
      </w:r>
      <w:r>
        <w:t xml:space="preserve">, o que torna os artefatos reaproveitáveis. A substituição é incremental e de baixo para cima: as rotinas que permanecerem dominantes após a etapa 3 viram</w:t>
      </w:r>
      <w:r>
        <w:t xml:space="preserve"> </w:t>
      </w:r>
      <w:r>
        <w:rPr>
          <w:i/>
          <w:iCs/>
        </w:rPr>
        <w:t xml:space="preserve">kernels</w:t>
      </w:r>
      <w:r>
        <w:t xml:space="preserve"> </w:t>
      </w:r>
      <w:r>
        <w:t xml:space="preserve">Kokkos, chamados do Fortran por interfaces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e mantidos no mesmo binário que a rotina original, atrás de uma chave de execução. Começa pelo termo de interação não linear e segue na ordem do perfil. Não é um</w:t>
      </w:r>
      <w:r>
        <w:t xml:space="preserve"> </w:t>
      </w:r>
      <w:r>
        <w:rPr>
          <w:i/>
          <w:iCs/>
        </w:rPr>
        <w:t xml:space="preserve">port</w:t>
      </w:r>
      <w:r>
        <w:t xml:space="preserve"> </w:t>
      </w:r>
      <w:r>
        <w:t xml:space="preserve">completo do modelo: o estado permanece no Fortran e o custo de transferência CPU–GPU por passo de tempo é medido e reportado. Um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em GPU passa à configuração operacional do laboratório se, e somente se, reduzir o tempo de execução do caso operacional e cumprir os mesmos critérios de paridade das etapas anteriores.</w:t>
      </w:r>
    </w:p>
    <w:p>
      <w:pPr>
        <w:pStyle w:val="FirstParagraph"/>
      </w:pPr>
      <w:r>
        <w:t xml:space="preserve">A ordem das etapas é parte da delimitação: as etapas 1 e 2 são esgotadas antes de qualquer alteração de código, e a etapa 3 antes da 4, de modo que a reescrita em C++/Kokkos só é empreendida sobre rotinas cujo custo residual já foi demonstrado.</w:t>
      </w:r>
    </w:p>
    <w:p>
      <w:pPr>
        <w:pStyle w:val="BodyText"/>
      </w:pPr>
      <w:r>
        <w:t xml:space="preserve">Existe hoje uma iniciativa de converter o código para C no âmbito do WAVEWATCH IV</w:t>
      </w:r>
      <w:r>
        <w:t xml:space="preserve"> </w:t>
      </w:r>
      <w:r>
        <w:t xml:space="preserve">(</w:t>
      </w:r>
      <w:hyperlink w:anchor="ref-ww4repo">
        <w:r>
          <w:rPr>
            <w:rStyle w:val="Hyperlink"/>
          </w:rPr>
          <w:t xml:space="preserve">NOAA-EMC, 2026</w:t>
        </w:r>
      </w:hyperlink>
      <w:r>
        <w:t xml:space="preserve">)</w:t>
      </w:r>
      <w:r>
        <w:t xml:space="preserve">. Esta proposta é conduzida de forma independente desse repositório e não pretende contribuir para ele: adota-se apenas a estrutura de testes do WW4 (níveis unitário e de integração em GoogleTest) para os</w:t>
      </w:r>
      <w:r>
        <w:t xml:space="preserve"> </w:t>
      </w:r>
      <w:r>
        <w:rPr>
          <w:i/>
          <w:iCs/>
        </w:rPr>
        <w:t xml:space="preserve">kernels</w:t>
      </w:r>
      <w:r>
        <w:t xml:space="preserve"> </w:t>
      </w:r>
      <w:r>
        <w:t xml:space="preserve">reescritos, de modo que os artefatos sejam aproveitáveis em uma migração futura.</w:t>
      </w:r>
    </w:p>
    <w:p>
      <w:pPr>
        <w:pStyle w:val="BodyText"/>
      </w:pPr>
      <w:r>
        <w:t xml:space="preserve">Ficam fora do escopo o</w:t>
      </w:r>
      <w:r>
        <w:t xml:space="preserve"> </w:t>
      </w:r>
      <w:r>
        <w:rPr>
          <w:i/>
          <w:iCs/>
        </w:rPr>
        <w:t xml:space="preserve">driver</w:t>
      </w:r>
      <w:r>
        <w:t xml:space="preserve"> </w:t>
      </w:r>
      <w:r>
        <w:t xml:space="preserve">multigrade (</w:t>
      </w:r>
      <w:r>
        <w:rPr>
          <w:rStyle w:val="VerbatimChar"/>
        </w:rPr>
        <w:t xml:space="preserve">ww3_multi</w:t>
      </w:r>
      <w:r>
        <w:t xml:space="preserve">), o acoplamento com outros modelos, a assimilação de dados e qualquer alteração nas parametrizações físicas.</w:t>
      </w:r>
    </w:p>
    <w:bookmarkEnd w:id="12"/>
    <w:bookmarkStart w:id="13" w:name="justificativa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JUSTIFICATIVA</w:t>
      </w:r>
    </w:p>
    <w:p>
      <w:pPr>
        <w:pStyle w:val="FirstParagraph"/>
      </w:pPr>
      <w:r>
        <w:t xml:space="preserve">A utilidade de uma cadeia operacional de previsão depende de sua pontualidade. Para o campo de ondas que alimenta os produtos do ReNOMO, um ciclo mais curto significa entrega mais cedo, espaço para maior resolução no mesmo prazo e a possibilidade de rodar vários membros para quantificar incerteza — os três eixos que o NCEP ajusta em seu sistema operacional e que, ali como aqui, são limitados pelo tempo de execução</w:t>
      </w:r>
      <w:r>
        <w:t xml:space="preserve"> </w:t>
      </w:r>
      <w:r>
        <w:t xml:space="preserve">(</w:t>
      </w:r>
      <w:hyperlink w:anchor="ref-campos2020">
        <w:r>
          <w:rPr>
            <w:rStyle w:val="Hyperlink"/>
          </w:rPr>
          <w:t xml:space="preserve">Campos et al., 2020</w:t>
        </w:r>
      </w:hyperlink>
      <w:r>
        <w:t xml:space="preserve">;</w:t>
      </w:r>
      <w:r>
        <w:t xml:space="preserve"> </w:t>
      </w:r>
      <w:hyperlink w:anchor="ref-emcwaves">
        <w:r>
          <w:rPr>
            <w:rStyle w:val="Hyperlink"/>
          </w:rPr>
          <w:t xml:space="preserve">NOAA/NWS/NCEP/EMC, 2026</w:t>
        </w:r>
      </w:hyperlink>
      <w:r>
        <w:t xml:space="preserve">)</w:t>
      </w:r>
      <w:r>
        <w:t xml:space="preserve">. O WW3, cuja arquitetura de paralelização e de compilação está documentada no manual</w:t>
      </w:r>
      <w:r>
        <w:t xml:space="preserve"> </w:t>
      </w:r>
      <w:r>
        <w:t xml:space="preserve">(</w:t>
      </w:r>
      <w:hyperlink w:anchor="ref-ww3manual">
        <w:r>
          <w:rPr>
            <w:rStyle w:val="Hyperlink"/>
          </w:rPr>
          <w:t xml:space="preserve">The WAVEWATCH III Development Group, 2019</w:t>
        </w:r>
      </w:hyperlink>
      <w:r>
        <w:t xml:space="preserve">)</w:t>
      </w:r>
      <w:r>
        <w:t xml:space="preserve">, foi concebido para os supercomputadores das duas últimas décadas e carrega, no sistema de compilação, na organização dos dados e na decomposição paralela, escolhas que não são automaticamente as melhores para as máquinas de hoje: nós com muitos núcleos e muita memória, armazenamento NVMe e, cada vez mais, GPUs.</w:t>
      </w:r>
    </w:p>
    <w:p>
      <w:pPr>
        <w:pStyle w:val="BodyText"/>
      </w:pPr>
      <w:r>
        <w:t xml:space="preserve">As duas primeiras etapas justificam-se pela documentação do próprio modelo: o arquivo de</w:t>
      </w:r>
      <w:r>
        <w:t xml:space="preserve"> </w:t>
      </w:r>
      <w:r>
        <w:rPr>
          <w:i/>
          <w:iCs/>
        </w:rPr>
        <w:t xml:space="preserve">switches</w:t>
      </w:r>
      <w:r>
        <w:t xml:space="preserve"> </w:t>
      </w:r>
      <w:r>
        <w:t xml:space="preserve">e as opções do compilador decidem qual código é compilado e como, e a distribuição paralela decide quanto tempo se gasta movendo espectros entre processos em vez de calculá-los</w:t>
      </w:r>
      <w:r>
        <w:t xml:space="preserve"> </w:t>
      </w:r>
      <w:r>
        <w:t xml:space="preserve">(</w:t>
      </w:r>
      <w:hyperlink w:anchor="ref-ww3manual">
        <w:r>
          <w:rPr>
            <w:rStyle w:val="Hyperlink"/>
          </w:rPr>
          <w:t xml:space="preserve">The WAVEWATCH III Development Group, 2019</w:t>
        </w:r>
      </w:hyperlink>
      <w:r>
        <w:t xml:space="preserve">)</w:t>
      </w:r>
      <w:r>
        <w:t xml:space="preserve">. São etapas baratas, frequentemente negligenciadas em instalações configuradas uma vez e nunca revisitadas, e produzem o instrumento de que as etapas seguintes dependem: um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reprodutível e um perfil. Por isso vêm primeiro: nenhuma reescrita é justificável antes de saber quanto do tempo sobrevive a elas.</w:t>
      </w:r>
    </w:p>
    <w:p>
      <w:pPr>
        <w:pStyle w:val="BodyText"/>
      </w:pPr>
      <w:r>
        <w:t xml:space="preserve">A terceira etapa justifica-se pela estrutura do código. Perfis publicados do WW3 mostram que a integração dos termos de fonte domina o tempo de execução, seguida da propagação, e que as rotinas envolvidas usam grandes vetores locais e estado global em nível de módulo, o que dificulta tanto a vetorização quanto qualquer forma de</w:t>
      </w:r>
      <w:r>
        <w:t xml:space="preserve"> </w:t>
      </w:r>
      <w:r>
        <w:rPr>
          <w:i/>
          <w:iCs/>
        </w:rPr>
        <w:t xml:space="preserve">offload</w:t>
      </w:r>
      <w:r>
        <w:t xml:space="preserve"> </w:t>
      </w:r>
      <w:r>
        <w:t xml:space="preserve">(</w:t>
      </w:r>
      <w:hyperlink w:anchor="ref-ikuyajolu2023">
        <w:r>
          <w:rPr>
            <w:rStyle w:val="Hyperlink"/>
          </w:rPr>
          <w:t xml:space="preserve">Ikuyajolu et al., 2023</w:t>
        </w:r>
      </w:hyperlink>
      <w:r>
        <w:t xml:space="preserve">)</w:t>
      </w:r>
      <w:r>
        <w:t xml:space="preserve">. Reescrevê-las em Fortran moderno, preservando algoritmo e aritmética, é uma tarefa de engenharia bem compreendida, de valor diretamente mensurável no modelo que o laboratório opera, e prepara a etapa seguinte, pois uma rotina com interface explícita e dados contíguos pode ser substituída por um</w:t>
      </w:r>
      <w:r>
        <w:t xml:space="preserve"> </w:t>
      </w:r>
      <w:r>
        <w:rPr>
          <w:i/>
          <w:iCs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A quarta etapa responde à pergunta colocada pelo laboratório: se um H100 pode acelerar o modelo em operação. O WW3 não tem caminho de execução em GPU na distribuição oficial</w:t>
      </w:r>
      <w:r>
        <w:t xml:space="preserve"> </w:t>
      </w:r>
      <w:r>
        <w:t xml:space="preserve">(</w:t>
      </w:r>
      <w:hyperlink w:anchor="ref-ww3repo">
        <w:r>
          <w:rPr>
            <w:rStyle w:val="Hyperlink"/>
          </w:rPr>
          <w:t xml:space="preserve">NOAA-EMC, 2026</w:t>
        </w:r>
      </w:hyperlink>
      <w:r>
        <w:t xml:space="preserve">)</w:t>
      </w:r>
      <w:r>
        <w:t xml:space="preserve">. O</w:t>
      </w:r>
      <w:r>
        <w:t xml:space="preserve"> </w:t>
      </w:r>
      <w:r>
        <w:rPr>
          <w:i/>
          <w:iCs/>
        </w:rPr>
        <w:t xml:space="preserve">port</w:t>
      </w:r>
      <w:r>
        <w:t xml:space="preserve"> </w:t>
      </w:r>
      <w:r>
        <w:t xml:space="preserve">publicado de que se tem notícia levou os termos de fonte à GPU com diretivas OpenACC e obteve cerca de 1,3 vez de ganho por nó, limitado pelo tráfego CPU–GPU a cada passo de tempo</w:t>
      </w:r>
      <w:r>
        <w:t xml:space="preserve"> </w:t>
      </w:r>
      <w:r>
        <w:t xml:space="preserve">(</w:t>
      </w:r>
      <w:hyperlink w:anchor="ref-ikuyajolu2023">
        <w:r>
          <w:rPr>
            <w:rStyle w:val="Hyperlink"/>
          </w:rPr>
          <w:t xml:space="preserve">Ikuyajolu et al., 2023</w:t>
        </w:r>
      </w:hyperlink>
      <w:r>
        <w:t xml:space="preserve">)</w:t>
      </w:r>
      <w:r>
        <w:t xml:space="preserve">. Já o WAM6-GPU, que refatorou o modelo inteiro para manter os campos residentes no dispositivo, reportou ganho de uma ordem de grandeza em um nó com várias GPUs</w:t>
      </w:r>
      <w:r>
        <w:t xml:space="preserve"> </w:t>
      </w:r>
      <w:r>
        <w:t xml:space="preserve">(</w:t>
      </w:r>
      <w:hyperlink w:anchor="ref-yuan2024">
        <w:r>
          <w:rPr>
            <w:rStyle w:val="Hyperlink"/>
          </w:rPr>
          <w:t xml:space="preserve">Yuan et al., 2024</w:t>
        </w:r>
      </w:hyperlink>
      <w:r>
        <w:t xml:space="preserve">)</w:t>
      </w:r>
      <w:r>
        <w:t xml:space="preserve">. Conclui-se que o</w:t>
      </w:r>
      <w:r>
        <w:t xml:space="preserve"> </w:t>
      </w:r>
      <w:r>
        <w:rPr>
          <w:i/>
          <w:iCs/>
        </w:rPr>
        <w:t xml:space="preserve">offload</w:t>
      </w:r>
      <w:r>
        <w:t xml:space="preserve"> </w:t>
      </w:r>
      <w:r>
        <w:t xml:space="preserve">parcial por diretivas, com o estado no</w:t>
      </w:r>
      <w:r>
        <w:t xml:space="preserve"> </w:t>
      </w:r>
      <w:r>
        <w:rPr>
          <w:i/>
          <w:iCs/>
        </w:rPr>
        <w:t xml:space="preserve">host</w:t>
      </w:r>
      <w:r>
        <w:t xml:space="preserve">, não compensa, e que o ganho vem de</w:t>
      </w:r>
      <w:r>
        <w:t xml:space="preserve"> </w:t>
      </w:r>
      <w:r>
        <w:rPr>
          <w:i/>
          <w:iCs/>
        </w:rPr>
        <w:t xml:space="preserve">kernels</w:t>
      </w:r>
      <w:r>
        <w:t xml:space="preserve"> </w:t>
      </w:r>
      <w:r>
        <w:t xml:space="preserve">desenhados para o dispositivo. Este projeto adota o caminho intermediário demonstrado para o FESOM2 por Koldunov et al.</w:t>
      </w:r>
      <w:r>
        <w:t xml:space="preserve"> </w:t>
      </w:r>
      <w:r>
        <w:t xml:space="preserve">(</w:t>
      </w:r>
      <w:hyperlink w:anchor="ref-koldunov2026">
        <w:r>
          <w:rPr>
            <w:rStyle w:val="Hyperlink"/>
          </w:rPr>
          <w:t xml:space="preserve">2026</w:t>
        </w:r>
      </w:hyperlink>
      <w:r>
        <w:t xml:space="preserve">)</w:t>
      </w:r>
      <w:r>
        <w:t xml:space="preserve">, em pré-publicação, que levaram cerca de 74 mil linhas de Fortran a C e depois a C++/Kokkos em semanas, com um assistente de código baseado em LLM dirigido por especialistas, tradução literal em dois estágios e validação em escada. Um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reescrito assim roda em CPU e em GPU a partir do mesmo código, porque o Kokkos compila a mesma fonte para o</w:t>
      </w:r>
      <w:r>
        <w:t xml:space="preserve"> </w:t>
      </w:r>
      <w:r>
        <w:rPr>
          <w:i/>
          <w:iCs/>
        </w:rPr>
        <w:t xml:space="preserve">backend</w:t>
      </w:r>
      <w:r>
        <w:t xml:space="preserve"> </w:t>
      </w:r>
      <w:r>
        <w:t xml:space="preserve">de cada máquina</w:t>
      </w:r>
      <w:r>
        <w:t xml:space="preserve"> </w:t>
      </w:r>
      <w:r>
        <w:t xml:space="preserve">(</w:t>
      </w:r>
      <w:hyperlink w:anchor="ref-trott2022">
        <w:r>
          <w:rPr>
            <w:rStyle w:val="Hyperlink"/>
          </w:rPr>
          <w:t xml:space="preserve">Trott et al., 2022</w:t>
        </w:r>
      </w:hyperlink>
      <w:r>
        <w:t xml:space="preserve">)</w:t>
      </w:r>
      <w:r>
        <w:t xml:space="preserve">, e pode ser validado isoladamente contra o Fortran original. O critério para entrar em operação é o mesmo das demais etapas, ganho medido e ausência de regressão, e não uma decisão tomada de antemão.</w:t>
      </w:r>
    </w:p>
    <w:p>
      <w:pPr>
        <w:pStyle w:val="BodyText"/>
      </w:pPr>
      <w:r>
        <w:rPr>
          <w:b/>
          <w:bCs/>
        </w:rPr>
        <w:t xml:space="preserve">Estado dos testes do WW3.</w:t>
      </w:r>
      <w:r>
        <w:t xml:space="preserve"> </w:t>
      </w:r>
      <w:r>
        <w:t xml:space="preserve">A validação proposta apoia-se na infraestrutura de testes do próprio modelo, levantada na revisão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7.14 em setembro de 2026</w:t>
      </w:r>
      <w:r>
        <w:t xml:space="preserve"> </w:t>
      </w:r>
      <w:r>
        <w:t xml:space="preserve">(</w:t>
      </w:r>
      <w:hyperlink w:anchor="ref-ww3repo">
        <w:r>
          <w:rPr>
            <w:rStyle w:val="Hyperlink"/>
          </w:rPr>
          <w:t xml:space="preserve">NOAA-EMC, 2026</w:t>
        </w:r>
      </w:hyperlink>
      <w:r>
        <w:t xml:space="preserve">)</w:t>
      </w:r>
      <w:r>
        <w:t xml:space="preserve">. O WW3 tem 62 casos de regressão em</w:t>
      </w:r>
      <w:r>
        <w:t xml:space="preserve"> </w:t>
      </w:r>
      <w:r>
        <w:rPr>
          <w:rStyle w:val="VerbatimChar"/>
        </w:rPr>
        <w:t xml:space="preserve">regtests/</w:t>
      </w:r>
      <w:r>
        <w:t xml:space="preserve">, executados por uma matriz de</w:t>
      </w:r>
      <w:r>
        <w:t xml:space="preserve"> </w:t>
      </w:r>
      <w:r>
        <w:rPr>
          <w:i/>
          <w:iCs/>
        </w:rPr>
        <w:t xml:space="preserve">scripts</w:t>
      </w:r>
      <w:r>
        <w:t xml:space="preserve"> </w:t>
      </w:r>
      <w:r>
        <w:t xml:space="preserve">que compila combinações de</w:t>
      </w:r>
      <w:r>
        <w:t xml:space="preserve"> </w:t>
      </w:r>
      <w:r>
        <w:rPr>
          <w:i/>
          <w:iCs/>
        </w:rPr>
        <w:t xml:space="preserve">switches</w:t>
      </w:r>
      <w:r>
        <w:t xml:space="preserve"> </w:t>
      </w:r>
      <w:r>
        <w:t xml:space="preserve">e compara as saídas de duas execuções arquivo a arquivo com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 classificando cada caso como idêntico ou não idêntico; a matriz inclui variantes específicas de reprodutibilidade bit a bit entre reinícios, número de</w:t>
      </w:r>
      <w:r>
        <w:t xml:space="preserve"> </w:t>
      </w:r>
      <w:r>
        <w:rPr>
          <w:i/>
          <w:iCs/>
        </w:rPr>
        <w:t xml:space="preserve">threads</w:t>
      </w:r>
      <w:r>
        <w:t xml:space="preserve"> </w:t>
      </w:r>
      <w:r>
        <w:t xml:space="preserve">e número de processos. Não há comparação com tolerância: qualquer diferença numérica é reportada como falha e cabe ao revisor julgá-la. Testes unitários existem desde 2023, mas cobrem apenas entrada e saída (cinco programas via CTest). A integração contínua pública compila com GNU e Intel e executa um único caso de regressão; a matriz completa roda nas máquinas do NCEP. A atividade recente concentra-se em limpeza de avisos de compilação e em correções da CI, com falhas intermitentes da matriz em aberto. Para este projeto, isso define o método: as etapas 1 e 2 são validadas com a matriz do próprio modelo, cujo critério bit a bit é o adequado; as etapas 3 e 4 exigem um comparador por campo com tolerância e testes unitários por rotina, que o WW3 não tem e que o projeto constrói e entrega.</w:t>
      </w:r>
    </w:p>
    <w:p>
      <w:pPr>
        <w:pStyle w:val="BodyText"/>
      </w:pPr>
      <w:r>
        <w:rPr>
          <w:b/>
          <w:bCs/>
        </w:rPr>
        <w:t xml:space="preserve">Estado do WW4.</w:t>
      </w:r>
      <w:r>
        <w:t xml:space="preserve"> </w:t>
      </w:r>
      <w:r>
        <w:t xml:space="preserve">O repositório do WAVEWATCH IV foi criado em novembro de 2025 e, em 15 de setembro de 2026, tem 36</w:t>
      </w:r>
      <w:r>
        <w:t xml:space="preserve"> </w:t>
      </w:r>
      <w:r>
        <w:rPr>
          <w:i/>
          <w:iCs/>
        </w:rPr>
        <w:t xml:space="preserve">commits</w:t>
      </w:r>
      <w:r>
        <w:t xml:space="preserve"> </w:t>
      </w:r>
      <w:r>
        <w:t xml:space="preserve">no ramo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nenhuma versão publicada e último envio em agosto de 2026</w:t>
      </w:r>
      <w:r>
        <w:t xml:space="preserve"> </w:t>
      </w:r>
      <w:r>
        <w:t xml:space="preserve">(</w:t>
      </w:r>
      <w:hyperlink w:anchor="ref-ww4repo">
        <w:r>
          <w:rPr>
            <w:rStyle w:val="Hyperlink"/>
          </w:rPr>
          <w:t xml:space="preserve">NOAA-EMC, 2026</w:t>
        </w:r>
      </w:hyperlink>
      <w:r>
        <w:t xml:space="preserve">)</w:t>
      </w:r>
      <w:r>
        <w:t xml:space="preserve">. A Fase II do projeto (linguagens, governança e arquitetura) foi concluída em março de 2026</w:t>
      </w:r>
      <w:r>
        <w:t xml:space="preserve"> </w:t>
      </w:r>
      <w:r>
        <w:t xml:space="preserve">(</w:t>
      </w:r>
      <w:hyperlink w:anchor="ref-on528">
        <w:r>
          <w:rPr>
            <w:rStyle w:val="Hyperlink"/>
          </w:rPr>
          <w:t xml:space="preserve">Tolman, 2026</w:t>
        </w:r>
      </w:hyperlink>
      <w:r>
        <w:t xml:space="preserve">)</w:t>
      </w:r>
      <w:r>
        <w:t xml:space="preserve">; o código atual é um núcleo em C++ com utilitários e um executável autônomo, ainda sem física. A estratégia de testes está definida em quatro níveis, unitário (L1), integração (L2), funcional (L3) e regressão (L4), em GoogleTest com CTest e execução na CI a cada envio; L1 e L2 foram reescritos em julho de 2026 para cobrir todo o código existente, enquanto L3 e L4, que substituiriam a matriz de regressão do WW3, ainda não existem. O sistema de compilação está sendo simplificado para CMake puro, e a arquitetura CPU–GPU é uma questão em aberto, com Kokkos indicado como camada de abstração de dados e a escolha entre uma ou duas bases de código por decidir. O primeiro lançamento público é esperado para janeiro de 2027, e o plano do NOAA só descontinua o suporte ao WW3 quando o WW4 amadurecer</w:t>
      </w:r>
      <w:r>
        <w:t xml:space="preserve"> </w:t>
      </w:r>
      <w:r>
        <w:t xml:space="preserve">(</w:t>
      </w:r>
      <w:hyperlink w:anchor="ref-on525">
        <w:r>
          <w:rPr>
            <w:rStyle w:val="Hyperlink"/>
          </w:rPr>
          <w:t xml:space="preserve">NOAA/NWS/NCEP, 2025</w:t>
        </w:r>
      </w:hyperlink>
      <w:r>
        <w:t xml:space="preserve">)</w:t>
      </w:r>
      <w:r>
        <w:t xml:space="preserve">. Duas consequências: o WW3 seguirá como modelo operacional do laboratório por anos, o que justifica otimizá-lo; e os</w:t>
      </w:r>
      <w:r>
        <w:t xml:space="preserve"> </w:t>
      </w:r>
      <w:r>
        <w:rPr>
          <w:i/>
          <w:iCs/>
        </w:rPr>
        <w:t xml:space="preserve">kernels</w:t>
      </w:r>
      <w:r>
        <w:t xml:space="preserve"> </w:t>
      </w:r>
      <w:r>
        <w:t xml:space="preserve">reescritos aqui, com Kokkos e testes L1/L2 no padrão do WW4, podem informar a discussão de arquitetura do WW4 em vez de duplicá-la.</w:t>
      </w:r>
    </w:p>
    <w:bookmarkEnd w:id="13"/>
    <w:bookmarkStart w:id="14" w:name="objetiv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OBJETIVO</w:t>
      </w:r>
    </w:p>
    <w:p>
      <w:pPr>
        <w:pStyle w:val="FirstParagraph"/>
      </w:pPr>
      <w:r>
        <w:t xml:space="preserve">O objetivo geral é reduzir, de forma medida e reprodutível, o tempo de execução do ciclo operacional do WAVEWATCH III mantido pelo LabECO/UFSC no âmbito do ReNOMO, sem alterar seus resultados científicos além das tolerâncias acordadas com o laboratório, esgotando as otimizações de configuração e compilação antes de reescrever código, e decidir com o mesmo critério, ganho medido e ausência de regressão, se</w:t>
      </w:r>
      <w:r>
        <w:t xml:space="preserve"> </w:t>
      </w:r>
      <w:r>
        <w:rPr>
          <w:i/>
          <w:iCs/>
        </w:rPr>
        <w:t xml:space="preserve">kernels</w:t>
      </w:r>
      <w:r>
        <w:t xml:space="preserve"> </w:t>
      </w:r>
      <w:r>
        <w:t xml:space="preserve">em C++/Kokkos executados em uma GPU NVIDIA H100 entram na configuração operacional.</w:t>
      </w:r>
    </w:p>
    <w:p>
      <w:pPr>
        <w:pStyle w:val="BodyText"/>
      </w:pPr>
      <w:r>
        <w:t xml:space="preserve">Os objetivos específicos são:</w:t>
      </w:r>
    </w:p>
    <w:p>
      <w:pPr>
        <w:pStyle w:val="Compact"/>
        <w:numPr>
          <w:ilvl w:val="0"/>
          <w:numId w:val="1002"/>
        </w:numPr>
      </w:pPr>
      <w:r>
        <w:t xml:space="preserve">Congelar e documentar a configuração operacional (revisão do código,</w:t>
      </w:r>
      <w:r>
        <w:t xml:space="preserve"> </w:t>
      </w:r>
      <w:r>
        <w:rPr>
          <w:i/>
          <w:iCs/>
        </w:rPr>
        <w:t xml:space="preserve">switches</w:t>
      </w:r>
      <w:r>
        <w:t xml:space="preserve">,</w:t>
      </w:r>
      <w:r>
        <w:t xml:space="preserve"> </w:t>
      </w:r>
      <w:r>
        <w:rPr>
          <w:i/>
          <w:iCs/>
        </w:rPr>
        <w:t xml:space="preserve">namelists</w:t>
      </w:r>
      <w:r>
        <w:t xml:space="preserve">, grade, forçante, saídas, hardware) e construir um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reprodutível da execução de referência, com métrica definida (tempo de execução por hora de previsão).</w:t>
      </w:r>
    </w:p>
    <w:p>
      <w:pPr>
        <w:pStyle w:val="Compact"/>
        <w:numPr>
          <w:ilvl w:val="0"/>
          <w:numId w:val="1002"/>
        </w:numPr>
      </w:pPr>
      <w:r>
        <w:t xml:space="preserve">Produzir um perfil da execução de referência por rotina e por fase (termos de fonte, propagação, comunicação, entrada e saída), com um e com vários processos MPI.</w:t>
      </w:r>
    </w:p>
    <w:p>
      <w:pPr>
        <w:pStyle w:val="Compact"/>
        <w:numPr>
          <w:ilvl w:val="0"/>
          <w:numId w:val="1002"/>
        </w:numPr>
      </w:pPr>
      <w:r>
        <w:t xml:space="preserve">Quantificar o ganho das etapas de compilação, configuração e refatoração em Fortran, cada uma com sua evidência de paridade em relação à referência, e entregar ao laboratório a melhor configuração como um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documentado.</w:t>
      </w:r>
    </w:p>
    <w:p>
      <w:pPr>
        <w:pStyle w:val="Compact"/>
        <w:numPr>
          <w:ilvl w:val="0"/>
          <w:numId w:val="1002"/>
        </w:numPr>
      </w:pPr>
      <w:r>
        <w:t xml:space="preserve">Construir a infraestrutura de validação que o WW3 não tem: um comparador por campo com tolerâncias versionadas e testes unitários por rotina com entradas capturadas, integrados à matriz de regressão do modelo.</w:t>
      </w:r>
    </w:p>
    <w:p>
      <w:pPr>
        <w:pStyle w:val="Compact"/>
        <w:numPr>
          <w:ilvl w:val="0"/>
          <w:numId w:val="1002"/>
        </w:numPr>
      </w:pPr>
      <w:r>
        <w:t xml:space="preserve">Reescrever em C++/Kokkos, na ordem do perfil, os</w:t>
      </w:r>
      <w:r>
        <w:t xml:space="preserve"> </w:t>
      </w:r>
      <w:r>
        <w:rPr>
          <w:i/>
          <w:iCs/>
        </w:rPr>
        <w:t xml:space="preserve">kernels</w:t>
      </w:r>
      <w:r>
        <w:t xml:space="preserve"> </w:t>
      </w:r>
      <w:r>
        <w:t xml:space="preserve">que permanecerem dominantes, validá-los contra o Fortran original em CPU, medir seu ganho em GPU (H100) e decidir, com base em ganho e paridade, se entram na configuração operacional.</w:t>
      </w:r>
    </w:p>
    <w:p>
      <w:pPr>
        <w:pStyle w:val="Compact"/>
        <w:numPr>
          <w:ilvl w:val="0"/>
          <w:numId w:val="1002"/>
        </w:numPr>
      </w:pPr>
      <w:r>
        <w:t xml:space="preserve">Publicar ferramentas, resultados e recomendação no repositório aberto, em forma que o laboratório possa reexecutar.</w:t>
      </w:r>
    </w:p>
    <w:bookmarkEnd w:id="14"/>
    <w:bookmarkStart w:id="15" w:name="metodologia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METODOLOGIA</w:t>
      </w:r>
    </w:p>
    <w:p>
      <w:pPr>
        <w:pStyle w:val="FirstParagraph"/>
      </w:pPr>
      <w:r>
        <w:t xml:space="preserve">O projeto segue o princípio de medir antes de otimizar: nenhuma otimização é tentada antes que a execução de referência seja reprodutível e perfilada, nem aceita sem verificação de paridade contra ela.</w:t>
      </w:r>
    </w:p>
    <w:p>
      <w:pPr>
        <w:pStyle w:val="BodyText"/>
      </w:pPr>
      <w:r>
        <w:rPr>
          <w:b/>
          <w:bCs/>
        </w:rPr>
        <w:t xml:space="preserve">Referência 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benchmark</w:t>
      </w:r>
      <w:r>
        <w:rPr>
          <w:b/>
          <w:bCs/>
        </w:rPr>
        <w:t xml:space="preserve">.</w:t>
      </w:r>
      <w:r>
        <w:t xml:space="preserve"> </w:t>
      </w:r>
      <w:r>
        <w:t xml:space="preserve">O caso operacional do laboratório é capturado como um teste autocontido: arquivos de entrada, forçante para um período fixo, arquivo de</w:t>
      </w:r>
      <w:r>
        <w:t xml:space="preserve"> </w:t>
      </w:r>
      <w:r>
        <w:rPr>
          <w:i/>
          <w:iCs/>
        </w:rPr>
        <w:t xml:space="preserve">switches</w:t>
      </w:r>
      <w:r>
        <w:t xml:space="preserve">,</w:t>
      </w:r>
      <w:r>
        <w:t xml:space="preserve"> </w:t>
      </w:r>
      <w:r>
        <w:rPr>
          <w:i/>
          <w:iCs/>
        </w:rPr>
        <w:t xml:space="preserve">namelists</w:t>
      </w:r>
      <w:r>
        <w:t xml:space="preserve"> </w:t>
      </w:r>
      <w:r>
        <w:t xml:space="preserve">e resultados de referência. O mesmo é feito com o teste de regressão oficial mais próximo da configuração operacional. O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de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registra tempo por fase, processos e</w:t>
      </w:r>
      <w:r>
        <w:t xml:space="preserve"> </w:t>
      </w:r>
      <w:r>
        <w:rPr>
          <w:i/>
          <w:iCs/>
        </w:rPr>
        <w:t xml:space="preserve">threads</w:t>
      </w:r>
      <w:r>
        <w:t xml:space="preserve">, compilador e opções e a revisão do código, e produz uma tabela anexável aos relatórios.</w:t>
      </w:r>
    </w:p>
    <w:p>
      <w:pPr>
        <w:pStyle w:val="BodyText"/>
      </w:pPr>
      <w:r>
        <w:rPr>
          <w:b/>
          <w:bCs/>
        </w:rPr>
        <w:t xml:space="preserve">Perfilamento.</w:t>
      </w:r>
      <w:r>
        <w:t xml:space="preserve"> </w:t>
      </w:r>
      <w:r>
        <w:t xml:space="preserve">A execução de referência é perfilada com</w:t>
      </w:r>
      <w:r>
        <w:t xml:space="preserve"> </w:t>
      </w:r>
      <w:r>
        <w:rPr>
          <w:rStyle w:val="VerbatimChar"/>
        </w:rPr>
        <w:t xml:space="preserve">gprof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com um, quatro e dezesseis processos MPI, com o tempo de comunicação registrado separadamente. O resultado é uma tabela de tempo por rotina, agrupada nas fases do laço temporal, que define a ordem da refatoração e a base de todas as medidas posteriores.</w:t>
      </w:r>
    </w:p>
    <w:p>
      <w:pPr>
        <w:pStyle w:val="BodyText"/>
      </w:pPr>
      <w:r>
        <w:rPr>
          <w:b/>
          <w:bCs/>
        </w:rPr>
        <w:t xml:space="preserve">Critérios de paridade.</w:t>
      </w:r>
      <w:r>
        <w:t xml:space="preserve"> </w:t>
      </w:r>
      <w:r>
        <w:t xml:space="preserve">Nas etapas 1 e 2, os resultados são comparados bit a bit com a matriz de regressão do próprio WW3, usada tal como está; quando uma opção do compilador reordena operações em ponto flutuante, a comparação usa tolerâncias por campo (por exemplo, altura significativa, período de pico e direção média), propostas pelo aluno e aprovadas pelo coorientador. Para as etapas 3 e 4, o projeto adiciona o que a matriz não oferece: um comparador por campo que lê as saídas NetCDF de duas execuções e aplica tolerâncias registradas em um arquivo versionado, e testes unitários por rotina, que executam a rotina original e a reescrita sobre entradas capturadas do caso operacional. Uma alteração que falha no critério não é incorporada.</w:t>
      </w:r>
    </w:p>
    <w:p>
      <w:pPr>
        <w:pStyle w:val="BodyText"/>
      </w:pPr>
      <w:r>
        <w:rPr>
          <w:b/>
          <w:bCs/>
        </w:rPr>
        <w:t xml:space="preserve">Etapas.</w:t>
      </w:r>
      <w:r>
        <w:t xml:space="preserve"> </w:t>
      </w:r>
      <w:r>
        <w:t xml:space="preserve">As opções de compilação são exploradas primeiro, como uma matriz de compilador, opções e distribuição paralela. Segue a configuração da execução, variando um parâmetro de</w:t>
      </w:r>
      <w:r>
        <w:t xml:space="preserve"> </w:t>
      </w:r>
      <w:r>
        <w:rPr>
          <w:i/>
          <w:iCs/>
        </w:rPr>
        <w:t xml:space="preserve">namelist</w:t>
      </w:r>
      <w:r>
        <w:t xml:space="preserve"> </w:t>
      </w:r>
      <w:r>
        <w:t xml:space="preserve">por vez. A refatoração em Fortran ataca as rotinas do topo do perfil, uma de cada vez, em um</w:t>
      </w:r>
      <w:r>
        <w:t xml:space="preserve"> </w:t>
      </w:r>
      <w:r>
        <w:rPr>
          <w:i/>
          <w:iCs/>
        </w:rPr>
        <w:t xml:space="preserve">fork</w:t>
      </w:r>
      <w:r>
        <w:t xml:space="preserve"> </w:t>
      </w:r>
      <w:r>
        <w:t xml:space="preserve">que mantém a rotina original acessível por uma chave de execução no mesmo binário. Só então começa a etapa 4, restrita às rotinas cujo custo residual o perfil atualizado ainda mostrar como dominante.</w:t>
      </w:r>
    </w:p>
    <w:p>
      <w:pPr>
        <w:pStyle w:val="BodyText"/>
      </w:pPr>
      <w:r>
        <w:rPr>
          <w:b/>
          <w:bCs/>
        </w:rPr>
        <w:t xml:space="preserve">Interoperabilidade e testes dos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kernels</w:t>
      </w:r>
      <w:r>
        <w:rPr>
          <w:b/>
          <w:bCs/>
        </w:rPr>
        <w:t xml:space="preserve">.</w:t>
      </w:r>
      <w:r>
        <w:t xml:space="preserve"> </w:t>
      </w:r>
      <w:r>
        <w:t xml:space="preserve">Cada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em C++/Kokkos é exposto ao Fortran por uma interface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/</w:t>
      </w:r>
      <w:r>
        <w:rPr>
          <w:rStyle w:val="VerbatimChar"/>
        </w:rPr>
        <w:t xml:space="preserve">bind(C)</w:t>
      </w:r>
      <w:r>
        <w:t xml:space="preserve">, e a rotina original permanece no binário atrás da mesma chave de execução, de modo que a matriz de regressão e o comparador rodam os dois caminhos sem recompilar. O leiaute dos</w:t>
      </w:r>
      <w:r>
        <w:t xml:space="preserve"> </w:t>
      </w:r>
      <w:r>
        <w:rPr>
          <w:i/>
          <w:iCs/>
        </w:rPr>
        <w:t xml:space="preserve">Views</w:t>
      </w:r>
      <w:r>
        <w:t xml:space="preserve"> </w:t>
      </w:r>
      <w:r>
        <w:t xml:space="preserve">Kokkos reproduz o dos vetores espectrais do WW3, para que a chamada em CPU não copie dados. A tradução segue a receita do FESOM2</w:t>
      </w:r>
      <w:r>
        <w:t xml:space="preserve"> </w:t>
      </w:r>
      <w:r>
        <w:t xml:space="preserve">(</w:t>
      </w:r>
      <w:hyperlink w:anchor="ref-koldunov2026">
        <w:r>
          <w:rPr>
            <w:rStyle w:val="Hyperlink"/>
          </w:rPr>
          <w:t xml:space="preserve">Koldunov et al., 2026</w:t>
        </w:r>
      </w:hyperlink>
      <w:r>
        <w:t xml:space="preserve">)</w:t>
      </w:r>
      <w:r>
        <w:t xml:space="preserve">: tradução literal para C, verificada contra o Fortran em entradas capturadas; versão Kokkos cujo</w:t>
      </w:r>
      <w:r>
        <w:t xml:space="preserve"> </w:t>
      </w:r>
      <w:r>
        <w:rPr>
          <w:i/>
          <w:iCs/>
        </w:rPr>
        <w:t xml:space="preserve">backend</w:t>
      </w:r>
      <w:r>
        <w:t xml:space="preserve"> </w:t>
      </w:r>
      <w:r>
        <w:t xml:space="preserve">serial deve ser idêntico bit a bit ao C; e só então o</w:t>
      </w:r>
      <w:r>
        <w:t xml:space="preserve"> </w:t>
      </w:r>
      <w:r>
        <w:rPr>
          <w:i/>
          <w:iCs/>
        </w:rPr>
        <w:t xml:space="preserve">backend</w:t>
      </w:r>
      <w:r>
        <w:t xml:space="preserve"> </w:t>
      </w:r>
      <w:r>
        <w:t xml:space="preserve">CUDA no H100, comparado estatisticamente, com o tráfego CPU–GPU por passo de tempo registrado. Os testes seguem a estrutura do WW4: nível L1, teste unitário do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sobre um espectro sintético (JONSWAP) com tolerâncias declaradas e justificadas, em GoogleTest; nível L2, reexecução do caso de regressão mais próximo e do caso operacional, comparando WW3 e WW3+Kokkos com o comparador por campo. Um assistente de código baseado em LLM é usado na tradução sob as mesmas regras, com o aluno e o coorientador responsáveis pela validação;</w:t>
      </w:r>
      <w:r>
        <w:t xml:space="preserve"> </w:t>
      </w:r>
      <w:r>
        <w:rPr>
          <w:i/>
          <w:iCs/>
        </w:rPr>
        <w:t xml:space="preserve">prompts</w:t>
      </w:r>
      <w:r>
        <w:t xml:space="preserve"> </w:t>
      </w:r>
      <w:r>
        <w:t xml:space="preserve">e evidência de paridade são versionados com o código. A decisão de levar um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à operação é tomada com o LabECO a partir de duas evidências: a tabela de tempo do caso operacional, com e sem o</w:t>
      </w:r>
      <w:r>
        <w:t xml:space="preserve"> </w:t>
      </w:r>
      <w:r>
        <w:rPr>
          <w:i/>
          <w:iCs/>
        </w:rPr>
        <w:t xml:space="preserve">kernel</w:t>
      </w:r>
      <w:r>
        <w:t xml:space="preserve">, e o relatório de paridade.</w:t>
      </w:r>
    </w:p>
    <w:p>
      <w:pPr>
        <w:pStyle w:val="BodyText"/>
      </w:pPr>
      <w:r>
        <w:rPr>
          <w:b/>
          <w:bCs/>
        </w:rPr>
        <w:t xml:space="preserve">Ferramentas e reprodutibilidade.</w:t>
      </w:r>
      <w:r>
        <w:t xml:space="preserve"> </w:t>
      </w:r>
      <w:r>
        <w:t xml:space="preserve">Todo o trabalho é feito no repositório aberto</w:t>
      </w:r>
      <w:r>
        <w:t xml:space="preserve"> </w:t>
      </w:r>
      <w:r>
        <w:rPr>
          <w:rStyle w:val="VerbatimChar"/>
        </w:rPr>
        <w:t xml:space="preserve">ww3-gpu</w:t>
      </w:r>
      <w:r>
        <w:t xml:space="preserve"> </w:t>
      </w:r>
      <w:r>
        <w:t xml:space="preserve">(</w:t>
      </w:r>
      <w:hyperlink w:anchor="ref-wwlab">
        <w:r>
          <w:rPr>
            <w:rStyle w:val="Hyperlink"/>
          </w:rPr>
          <w:t xml:space="preserve">Hoffmann, 2026</w:t>
        </w:r>
      </w:hyperlink>
      <w:r>
        <w:t xml:space="preserve">)</w:t>
      </w:r>
      <w:r>
        <w:t xml:space="preserve">, que fornece a cadeia de ferramentas fixada, os</w:t>
      </w:r>
      <w:r>
        <w:t xml:space="preserve"> </w:t>
      </w:r>
      <w:r>
        <w:rPr>
          <w:i/>
          <w:iCs/>
        </w:rPr>
        <w:t xml:space="preserve">scripts</w:t>
      </w:r>
      <w:r>
        <w:t xml:space="preserve"> </w:t>
      </w:r>
      <w:r>
        <w:t xml:space="preserve">de compilação e de teste de regressão, o modelo como submódulo em revisão fixa e integração contínua, de modo que qualquer medida pode ser repetida pelo laboratório em suas próprias máquinas. Os resultados são registrados como tabelas e gráficos gerados por</w:t>
      </w:r>
      <w:r>
        <w:t xml:space="preserve"> </w:t>
      </w:r>
      <w:r>
        <w:rPr>
          <w:i/>
          <w:iCs/>
        </w:rPr>
        <w:t xml:space="preserve">scripts</w:t>
      </w:r>
      <w:r>
        <w:t xml:space="preserve">, nunca à mão.</w:t>
      </w:r>
    </w:p>
    <w:p>
      <w:pPr>
        <w:pStyle w:val="BodyText"/>
      </w:pPr>
      <w:r>
        <w:rPr>
          <w:b/>
          <w:bCs/>
        </w:rPr>
        <w:t xml:space="preserve">Entregas e validação.</w:t>
      </w:r>
      <w:r>
        <w:t xml:space="preserve"> </w:t>
      </w:r>
      <w:r>
        <w:t xml:space="preserve">As entregas são o registro de configuração, as tabelas de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e de perfil, o melhor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documentado, o comparador por campo e os testes unitários, os</w:t>
      </w:r>
      <w:r>
        <w:t xml:space="preserve"> </w:t>
      </w:r>
      <w:r>
        <w:rPr>
          <w:i/>
          <w:iCs/>
        </w:rPr>
        <w:t xml:space="preserve">kernels</w:t>
      </w:r>
      <w:r>
        <w:t xml:space="preserve"> </w:t>
      </w:r>
      <w:r>
        <w:t xml:space="preserve">Kokkos com sua evidência de paridade e tempo, e o relatório final com a recomendação de operação. A validação científica cabe ao coorientador no LabECO, que define as tolerâncias e revisa a evidência de paridade; a de engenharia, pelos testes automatizados do repositório e por reexecuções independentes no laboratório.</w:t>
      </w:r>
    </w:p>
    <w:p>
      <w:pPr>
        <w:pStyle w:val="BodyText"/>
      </w:pPr>
      <w:r>
        <w:rPr>
          <w:b/>
          <w:bCs/>
        </w:rPr>
        <w:t xml:space="preserve">Riscos.</w:t>
      </w:r>
      <w:r>
        <w:t xml:space="preserve"> </w:t>
      </w:r>
      <w:r>
        <w:t xml:space="preserve">O principal é a divergência silenciosa de resultados após uma reescrita, mitigada pelos critérios de paridade e pelos testes por rotina. O segundo é a etapa 4 consumir o tempo das anteriores, mitigado pela ordem fixa das etapas e pela regra de só reescrever rotina cujo custo residual foi medido. O terceiro é o ganho em GPU ficar limitado pelo tráfego de dados enquanto o estado permanece no Fortran; nesse caso o resultado é a medida desse limite e a recomendação de não operar em GPU. O quarto é a grade operacional ser não estruturada; nesse caso as etapas 3 e 4 restringem-se aos termos de fonte.</w:t>
      </w:r>
    </w:p>
    <w:bookmarkEnd w:id="15"/>
    <w:bookmarkStart w:id="16" w:name="cronograma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CRONOGRAMA</w:t>
      </w:r>
    </w:p>
    <w:p>
      <w:pPr>
        <w:pStyle w:val="FirstParagraph"/>
      </w:pPr>
      <w:r>
        <w:t xml:space="preserve">O projeto ocupa dois períodos letivos; as datas serão ajustadas com os orientadores.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69"/>
        <w:gridCol w:w="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bibliográfica; registro da configuração operacional</w:t>
            </w:r>
          </w:p>
        </w:tc>
        <w:tc>
          <w:tcPr/>
          <w:p>
            <w:pPr>
              <w:pStyle w:val="Compact"/>
            </w:pPr>
            <w:r>
              <w:t xml:space="preserve">10/2026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reprodutível e perfil da execução de referência</w:t>
            </w:r>
          </w:p>
        </w:tc>
        <w:tc>
          <w:tcPr/>
          <w:p>
            <w:pPr>
              <w:pStyle w:val="Compact"/>
            </w:pPr>
            <w:r>
              <w:t xml:space="preserve">11/2026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Etapa 1: opções de compilação (compilador,</w:t>
            </w:r>
            <w:r>
              <w:t xml:space="preserve"> </w:t>
            </w:r>
            <w:r>
              <w:rPr>
                <w:i/>
                <w:iCs/>
              </w:rPr>
              <w:t xml:space="preserve">flags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switches</w:t>
            </w:r>
            <w:r>
              <w:t xml:space="preserve">, paralelismo)</w:t>
            </w:r>
          </w:p>
        </w:tc>
        <w:tc>
          <w:tcPr/>
          <w:p>
            <w:pPr>
              <w:pStyle w:val="Compact"/>
            </w:pPr>
            <w:r>
              <w:t xml:space="preserve">12/2026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Etapa 2: configuração da execução; comparador por campo e testes por rotina</w:t>
            </w:r>
          </w:p>
        </w:tc>
        <w:tc>
          <w:tcPr/>
          <w:p>
            <w:pPr>
              <w:pStyle w:val="Compact"/>
            </w:pPr>
            <w:r>
              <w:t xml:space="preserve">01/2027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Etapa 3: refatoração dirigida em Fortran moderno das rotinas dominantes</w:t>
            </w:r>
          </w:p>
        </w:tc>
        <w:tc>
          <w:tcPr/>
          <w:p>
            <w:pPr>
              <w:pStyle w:val="Compact"/>
            </w:pPr>
            <w:r>
              <w:t xml:space="preserve">02/2027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Etapa 4:</w:t>
            </w:r>
            <w:r>
              <w:t xml:space="preserve"> </w:t>
            </w:r>
            <w:r>
              <w:rPr>
                <w:i/>
                <w:iCs/>
              </w:rPr>
              <w:t xml:space="preserve">kernels</w:t>
            </w:r>
            <w:r>
              <w:t xml:space="preserve"> </w:t>
            </w:r>
            <w:r>
              <w:t xml:space="preserve">em C++/Kokkos; paridade em CPU e medição no H100</w:t>
            </w:r>
          </w:p>
        </w:tc>
        <w:tc>
          <w:tcPr/>
          <w:p>
            <w:pPr>
              <w:pStyle w:val="Compact"/>
            </w:pPr>
            <w:r>
              <w:t xml:space="preserve">03/2027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Decisão de operação com o LabECO; relatório final e revisão</w:t>
            </w:r>
          </w:p>
        </w:tc>
        <w:tc>
          <w:tcPr/>
          <w:p>
            <w:pPr>
              <w:pStyle w:val="Compact"/>
            </w:pPr>
            <w:r>
              <w:t xml:space="preserve">04/2027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Defesa (a partir de)</w:t>
            </w:r>
          </w:p>
        </w:tc>
        <w:tc>
          <w:tcPr/>
          <w:p>
            <w:pPr>
              <w:pStyle w:val="Compact"/>
            </w:pPr>
            <w:r>
              <w:t xml:space="preserve">05/2027</w:t>
            </w:r>
          </w:p>
        </w:tc>
      </w:tr>
    </w:tbl>
    <w:bookmarkEnd w:id="16"/>
    <w:bookmarkStart w:id="51" w:name="referências-bibliográficas"/>
    <w:p>
      <w:pPr>
        <w:pStyle w:val="Heading1"/>
      </w:pPr>
      <w:r>
        <w:t xml:space="preserve">Referências Bibliográficas</w:t>
      </w:r>
    </w:p>
    <w:bookmarkStart w:id="50" w:name="refs"/>
    <w:bookmarkStart w:id="18" w:name="ref-campos2020"/>
    <w:p>
      <w:pPr>
        <w:pStyle w:val="Bibliography"/>
      </w:pPr>
      <w:r>
        <w:t xml:space="preserve">CAMPOS, Ricardo Martins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17">
        <w:r>
          <w:rPr>
            <w:rStyle w:val="Hyperlink"/>
          </w:rPr>
          <w:t xml:space="preserve">Global assessments of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NCEP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Ensemble Forecast System using altimeter data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Ocean Dynamics</w:t>
      </w:r>
      <w:r>
        <w:t xml:space="preserve">, v. 70, n. 3, p. 405–419, 2020.</w:t>
      </w:r>
    </w:p>
    <w:bookmarkEnd w:id="18"/>
    <w:bookmarkStart w:id="20" w:name="ref-farina2002"/>
    <w:p>
      <w:pPr>
        <w:pStyle w:val="Bibliography"/>
      </w:pPr>
      <w:r>
        <w:t xml:space="preserve">FARINA, Leandro.</w:t>
      </w:r>
      <w:r>
        <w:t xml:space="preserve"> </w:t>
      </w:r>
      <w:hyperlink r:id="rId19">
        <w:r>
          <w:rPr>
            <w:rStyle w:val="Hyperlink"/>
          </w:rPr>
          <w:t xml:space="preserve">On ensemble prediction of ocean waves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Tellus A: Dynamic Meteorology and Oceanography</w:t>
      </w:r>
      <w:r>
        <w:t xml:space="preserve">, v. 54, n. 2, p. 148–158, 2002.</w:t>
      </w:r>
    </w:p>
    <w:bookmarkEnd w:id="20"/>
    <w:bookmarkStart w:id="22" w:name="ref-wwlab"/>
    <w:p>
      <w:pPr>
        <w:pStyle w:val="Bibliography"/>
      </w:pPr>
      <w:r>
        <w:t xml:space="preserve">HOFFMANN, Matheus.</w:t>
      </w:r>
      <w:r>
        <w:t xml:space="preserve"> </w:t>
      </w:r>
      <w:r>
        <w:rPr>
          <w:b/>
          <w:bCs/>
        </w:rPr>
        <w:t xml:space="preserve">ww3-gpu: an open lab for</w:t>
      </w:r>
      <w:r>
        <w:rPr>
          <w:b/>
          <w:bCs/>
        </w:rPr>
        <w:t xml:space="preserve"> </w:t>
      </w:r>
      <w:r>
        <w:rPr>
          <w:b/>
          <w:bCs/>
        </w:rPr>
        <w:t xml:space="preserve">WAVEWATCH III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optimisation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GPU</w:t>
      </w:r>
      <w:r>
        <w:rPr>
          <w:b/>
          <w:bCs/>
        </w:rPr>
        <w:t xml:space="preserve"> </w:t>
      </w:r>
      <w:r>
        <w:rPr>
          <w:b/>
          <w:bCs/>
        </w:rPr>
        <w:t xml:space="preserve">kernels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https://github.com/h0ffmann/ww3-gpu</w:t>
        </w:r>
      </w:hyperlink>
      <w:r>
        <w:t xml:space="preserve">, 2026.</w:t>
      </w:r>
    </w:p>
    <w:bookmarkEnd w:id="22"/>
    <w:bookmarkStart w:id="24" w:name="ref-ikuyajolu2023"/>
    <w:p>
      <w:pPr>
        <w:pStyle w:val="Bibliography"/>
      </w:pPr>
      <w:r>
        <w:t xml:space="preserve">IKUYAJOLU, Olawale James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3">
        <w:r>
          <w:rPr>
            <w:rStyle w:val="Hyperlink"/>
          </w:rPr>
          <w:t xml:space="preserve">Porting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WAVEWATCH III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(v6.07) wave action source terms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GPU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Geoscientific Model Development</w:t>
      </w:r>
      <w:r>
        <w:t xml:space="preserve">, v. 16, p. 1445–1458, 2023.</w:t>
      </w:r>
    </w:p>
    <w:bookmarkEnd w:id="24"/>
    <w:bookmarkStart w:id="26" w:name="ref-koldunov2026"/>
    <w:p>
      <w:pPr>
        <w:pStyle w:val="Bibliography"/>
      </w:pPr>
      <w:r>
        <w:t xml:space="preserve">KOLDUNOV, Nikolay V.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An Ocean Model Ported by a Large Language Model: Experience and Lessons from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FESOM2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(</w:t>
        </w:r>
        <w:r>
          <w:rPr>
            <w:rStyle w:val="Hyperlink"/>
            <w:b/>
            <w:bCs/>
          </w:rPr>
          <w:t xml:space="preserve">Fortran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to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C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to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C++/Kokkos</w:t>
        </w:r>
        <w:r>
          <w:rPr>
            <w:rStyle w:val="Hyperlink"/>
            <w:b/>
            <w:bCs/>
          </w:rPr>
          <w:t xml:space="preserve">)</w:t>
        </w:r>
      </w:hyperlink>
      <w:r>
        <w:t xml:space="preserve">. arXiv:2606.11356, 2026.</w:t>
      </w:r>
    </w:p>
    <w:bookmarkEnd w:id="26"/>
    <w:bookmarkStart w:id="28" w:name="ref-renomo"/>
    <w:p>
      <w:pPr>
        <w:pStyle w:val="Bibliography"/>
      </w:pPr>
      <w:r>
        <w:t xml:space="preserve">LABECO/UFSC.</w:t>
      </w:r>
      <w:r>
        <w:t xml:space="preserve"> </w:t>
      </w:r>
      <w:r>
        <w:rPr>
          <w:b/>
          <w:bCs/>
        </w:rPr>
        <w:t xml:space="preserve">ReNOMO</w:t>
      </w:r>
      <w:r>
        <w:rPr>
          <w:b/>
          <w:bCs/>
        </w:rPr>
        <w:t xml:space="preserve"> </w:t>
      </w:r>
      <w:r>
        <w:rPr>
          <w:b/>
          <w:bCs/>
        </w:rPr>
        <w:t xml:space="preserve">– Rede Nacional de Observação e Monitoramento Oceânico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https://labeco.ufsc.br/renomo/</w:t>
        </w:r>
      </w:hyperlink>
      <w:r>
        <w:t xml:space="preserve">, 2026.</w:t>
      </w:r>
    </w:p>
    <w:bookmarkEnd w:id="28"/>
    <w:bookmarkStart w:id="30" w:name="ref-ww3repo"/>
    <w:p>
      <w:pPr>
        <w:pStyle w:val="Bibliography"/>
      </w:pPr>
      <w:r>
        <w:t xml:space="preserve">NOAA-EMC.</w:t>
      </w:r>
      <w:r>
        <w:t xml:space="preserve"> </w:t>
      </w:r>
      <w:r>
        <w:rPr>
          <w:b/>
          <w:bCs/>
        </w:rPr>
        <w:t xml:space="preserve">WAVEWATCH III</w:t>
      </w:r>
      <w:r>
        <w:rPr>
          <w:b/>
          <w:bCs/>
        </w:rPr>
        <w:t xml:space="preserve"> </w:t>
      </w:r>
      <w:r>
        <w:rPr>
          <w:b/>
          <w:bCs/>
        </w:rPr>
        <w:t xml:space="preserve">source code repository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https://github.com/NOAA-EMC/WW3</w:t>
        </w:r>
      </w:hyperlink>
      <w:r>
        <w:t xml:space="preserve">, 2026a.</w:t>
      </w:r>
    </w:p>
    <w:bookmarkEnd w:id="30"/>
    <w:bookmarkStart w:id="32" w:name="ref-ww4repo"/>
    <w:p>
      <w:pPr>
        <w:pStyle w:val="Bibliography"/>
      </w:pPr>
      <w:r>
        <w:t xml:space="preserve">NOAA-EMC.</w:t>
      </w:r>
      <w:r>
        <w:t xml:space="preserve"> </w:t>
      </w:r>
      <w:r>
        <w:rPr>
          <w:b/>
          <w:bCs/>
        </w:rPr>
        <w:t xml:space="preserve">WAVEWATCH IV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WW4</w:t>
      </w:r>
      <w:r>
        <w:rPr>
          <w:b/>
          <w:bCs/>
        </w:rPr>
        <w:t xml:space="preserve">) repository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https://github.com/NOAA-EMC/WW4</w:t>
        </w:r>
      </w:hyperlink>
      <w:r>
        <w:t xml:space="preserve">, 2026b.</w:t>
      </w:r>
    </w:p>
    <w:bookmarkEnd w:id="32"/>
    <w:bookmarkStart w:id="34" w:name="ref-on525"/>
    <w:p>
      <w:pPr>
        <w:pStyle w:val="Bibliography"/>
      </w:pPr>
      <w:r>
        <w:t xml:space="preserve">NOAA/NWS/NCEP.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WAVEWATCH IV</w:t>
        </w:r>
        <w:r>
          <w:rPr>
            <w:rStyle w:val="Hyperlink"/>
            <w:b/>
            <w:bCs/>
          </w:rPr>
          <w:t xml:space="preserve">: plan for the next-generation wave model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NCEP, 2025.</w:t>
      </w:r>
    </w:p>
    <w:bookmarkEnd w:id="34"/>
    <w:bookmarkStart w:id="36" w:name="ref-emcwaves"/>
    <w:p>
      <w:pPr>
        <w:pStyle w:val="Bibliography"/>
      </w:pPr>
      <w:r>
        <w:t xml:space="preserve">NOAA/NWS/NCEP/EMC.</w:t>
      </w:r>
      <w:r>
        <w:t xml:space="preserve"> </w:t>
      </w:r>
      <w:r>
        <w:rPr>
          <w:b/>
          <w:bCs/>
        </w:rPr>
        <w:t xml:space="preserve">Operational wave models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https://www.emc.ncep.noaa.gov/emc/pages/numerical_forecast_systems/wavemodels.php</w:t>
        </w:r>
      </w:hyperlink>
      <w:r>
        <w:t xml:space="preserve">, 2026.</w:t>
      </w:r>
    </w:p>
    <w:bookmarkEnd w:id="36"/>
    <w:bookmarkStart w:id="38" w:name="ref-wamdi1988"/>
    <w:p>
      <w:pPr>
        <w:pStyle w:val="Bibliography"/>
      </w:pPr>
      <w:r>
        <w:t xml:space="preserve">THE WAMDI GROUP.</w:t>
      </w:r>
      <w:r>
        <w:t xml:space="preserve"> </w:t>
      </w:r>
      <w:hyperlink r:id="rId3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Model—A Third Generation Ocean Wave Prediction Model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Journal of Physical Oceanography</w:t>
      </w:r>
      <w:r>
        <w:t xml:space="preserve">, v. 18, n. 12, p. 1775–1810, 1988.</w:t>
      </w:r>
    </w:p>
    <w:bookmarkEnd w:id="38"/>
    <w:bookmarkStart w:id="39" w:name="ref-ww3manual"/>
    <w:p>
      <w:pPr>
        <w:pStyle w:val="Bibliography"/>
      </w:pPr>
      <w:r>
        <w:t xml:space="preserve">THE WAVEWATCH III DEVELOPMENT GROUP.</w:t>
      </w:r>
      <w:r>
        <w:t xml:space="preserve"> </w:t>
      </w:r>
      <w:r>
        <w:rPr>
          <w:b/>
          <w:bCs/>
        </w:rPr>
        <w:t xml:space="preserve">User manual and system documentation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WAVEWATCH III</w:t>
      </w:r>
      <w:r>
        <w:rPr>
          <w:b/>
          <w:bCs/>
        </w:rPr>
        <w:t xml:space="preserve"> </w:t>
      </w:r>
      <w:r>
        <w:rPr>
          <w:b/>
          <w:bCs/>
        </w:rPr>
        <w:t xml:space="preserve">version 6.07</w:t>
      </w:r>
      <w:r>
        <w:t xml:space="preserve">. College Park, MD, USA: NOAA/NWS/NCEP/MMAB, 2019.</w:t>
      </w:r>
    </w:p>
    <w:bookmarkEnd w:id="39"/>
    <w:bookmarkStart w:id="41" w:name="ref-tolman1991"/>
    <w:p>
      <w:pPr>
        <w:pStyle w:val="Bibliography"/>
      </w:pPr>
      <w:r>
        <w:t xml:space="preserve">TOLMAN, Hendrik L.</w:t>
      </w:r>
      <w:r>
        <w:t xml:space="preserve"> </w:t>
      </w:r>
      <w:hyperlink r:id="rId40">
        <w:r>
          <w:rPr>
            <w:rStyle w:val="Hyperlink"/>
          </w:rPr>
          <w:t xml:space="preserve">A Third-Generation Model for Wind Waves on Slowly Varying, Unsteady, and Inhomogeneous Depths and Currents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Journal of Physical Oceanography</w:t>
      </w:r>
      <w:r>
        <w:t xml:space="preserve">, v. 21, n. 6, p. 782–797, 1991.</w:t>
      </w:r>
    </w:p>
    <w:bookmarkEnd w:id="41"/>
    <w:bookmarkStart w:id="43" w:name="ref-on528"/>
    <w:p>
      <w:pPr>
        <w:pStyle w:val="Bibliography"/>
      </w:pPr>
      <w:r>
        <w:t xml:space="preserve">TOLMAN, Hendrik L.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The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WAVEWATCH IV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Project: Phase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II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report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NOAA/NWS/NCEP/EMC, 2026.</w:t>
      </w:r>
    </w:p>
    <w:bookmarkEnd w:id="43"/>
    <w:bookmarkStart w:id="45" w:name="ref-trott2022"/>
    <w:p>
      <w:pPr>
        <w:pStyle w:val="Bibliography"/>
      </w:pPr>
      <w:r>
        <w:t xml:space="preserve">TROTT, Christian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4">
        <w:r>
          <w:rPr>
            <w:rStyle w:val="Hyperlink"/>
          </w:rPr>
          <w:t xml:space="preserve">Kokkos 3: Programming model extensions for the exascale era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IEEE Transactions on Parallel and Distributed Systems</w:t>
      </w:r>
      <w:r>
        <w:t xml:space="preserve">, v. 33, n. 4, p. 805–817, 2022.</w:t>
      </w:r>
    </w:p>
    <w:bookmarkEnd w:id="45"/>
    <w:bookmarkStart w:id="47" w:name="ref-labeco"/>
    <w:p>
      <w:pPr>
        <w:pStyle w:val="Bibliography"/>
      </w:pPr>
      <w:r>
        <w:t xml:space="preserve">UFSC.</w:t>
      </w:r>
      <w:r>
        <w:t xml:space="preserve"> </w:t>
      </w:r>
      <w:r>
        <w:rPr>
          <w:b/>
          <w:bCs/>
        </w:rPr>
        <w:t xml:space="preserve">Laboratório de Engenharia e Ciências Oceânicas (</w:t>
      </w:r>
      <w:r>
        <w:rPr>
          <w:b/>
          <w:bCs/>
        </w:rPr>
        <w:t xml:space="preserve">LabECO</w:t>
      </w:r>
      <w:r>
        <w:rPr>
          <w:b/>
          <w:bCs/>
        </w:rPr>
        <w:t xml:space="preserve">)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https://emc.ufsc.br/portal/laboratorios-2/labeco/</w:t>
        </w:r>
      </w:hyperlink>
      <w:r>
        <w:t xml:space="preserve">, 2026.</w:t>
      </w:r>
    </w:p>
    <w:bookmarkEnd w:id="47"/>
    <w:bookmarkStart w:id="49" w:name="ref-yuan2024"/>
    <w:p>
      <w:pPr>
        <w:pStyle w:val="Bibliography"/>
      </w:pPr>
      <w:r>
        <w:t xml:space="preserve">YUAN, Ye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8">
        <w:r>
          <w:rPr>
            <w:rStyle w:val="Hyperlink"/>
          </w:rPr>
          <w:t xml:space="preserve">WAM6-GPU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v1.0: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GPU</w:t>
        </w:r>
        <w:r>
          <w:rPr>
            <w:rStyle w:val="Hyperlink"/>
          </w:rPr>
          <w:t xml:space="preserve">-accelerated third-generation wave model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Geoscientific Model Development</w:t>
      </w:r>
      <w:r>
        <w:t xml:space="preserve">, v. 17, p. 6123–6136, 2024.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07/s10236-019-01329-4" TargetMode="External" /><Relationship Type="http://schemas.openxmlformats.org/officeDocument/2006/relationships/hyperlink" Id="rId44" Target="https://doi.org/10.1109/TPDS.2021.3097283" TargetMode="External" /><Relationship Type="http://schemas.openxmlformats.org/officeDocument/2006/relationships/hyperlink" Id="rId37" Target="https://doi.org/10.1175/1520-0485(1988)018&lt;1775:TWMTGO&gt;2.0.CO;2" TargetMode="External" /><Relationship Type="http://schemas.openxmlformats.org/officeDocument/2006/relationships/hyperlink" Id="rId40" Target="https://doi.org/10.1175/1520-0485(1991)021&lt;0782:ATGMFW&gt;2.0.CO;2" TargetMode="External" /><Relationship Type="http://schemas.openxmlformats.org/officeDocument/2006/relationships/hyperlink" Id="rId42" Target="https://doi.org/10.25923/0wyp-9f39" TargetMode="External" /><Relationship Type="http://schemas.openxmlformats.org/officeDocument/2006/relationships/hyperlink" Id="rId33" Target="https://doi.org/10.25923/h7j3-1h25" TargetMode="External" /><Relationship Type="http://schemas.openxmlformats.org/officeDocument/2006/relationships/hyperlink" Id="rId19" Target="https://doi.org/10.3402/tellusa.v54i2.12133" TargetMode="External" /><Relationship Type="http://schemas.openxmlformats.org/officeDocument/2006/relationships/hyperlink" Id="rId25" Target="https://doi.org/10.48550/arXiv.2606.11356" TargetMode="External" /><Relationship Type="http://schemas.openxmlformats.org/officeDocument/2006/relationships/hyperlink" Id="rId23" Target="https://doi.org/10.5194/gmd-16-1445-2023" TargetMode="External" /><Relationship Type="http://schemas.openxmlformats.org/officeDocument/2006/relationships/hyperlink" Id="rId48" Target="https://doi.org/10.5194/gmd-17-6123-2024" TargetMode="External" /><Relationship Type="http://schemas.openxmlformats.org/officeDocument/2006/relationships/hyperlink" Id="rId46" Target="https://emc.ufsc.br/portal/laboratorios-2/labeco/" TargetMode="External" /><Relationship Type="http://schemas.openxmlformats.org/officeDocument/2006/relationships/hyperlink" Id="rId29" Target="https://github.com/NOAA-EMC/WW3" TargetMode="External" /><Relationship Type="http://schemas.openxmlformats.org/officeDocument/2006/relationships/hyperlink" Id="rId31" Target="https://github.com/NOAA-EMC/WW4" TargetMode="External" /><Relationship Type="http://schemas.openxmlformats.org/officeDocument/2006/relationships/hyperlink" Id="rId21" Target="https://github.com/h0ffmann/ww3-gpu" TargetMode="External" /><Relationship Type="http://schemas.openxmlformats.org/officeDocument/2006/relationships/hyperlink" Id="rId27" Target="https://labeco.ufsc.br/renomo/" TargetMode="External" /><Relationship Type="http://schemas.openxmlformats.org/officeDocument/2006/relationships/hyperlink" Id="rId35" Target="https://www.emc.ncep.noaa.gov/emc/pages/numerical_forecast_systems/wavemodels.ph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07/s10236-019-01329-4" TargetMode="External" /><Relationship Type="http://schemas.openxmlformats.org/officeDocument/2006/relationships/hyperlink" Id="rId44" Target="https://doi.org/10.1109/TPDS.2021.3097283" TargetMode="External" /><Relationship Type="http://schemas.openxmlformats.org/officeDocument/2006/relationships/hyperlink" Id="rId37" Target="https://doi.org/10.1175/1520-0485(1988)018&lt;1775:TWMTGO&gt;2.0.CO;2" TargetMode="External" /><Relationship Type="http://schemas.openxmlformats.org/officeDocument/2006/relationships/hyperlink" Id="rId40" Target="https://doi.org/10.1175/1520-0485(1991)021&lt;0782:ATGMFW&gt;2.0.CO;2" TargetMode="External" /><Relationship Type="http://schemas.openxmlformats.org/officeDocument/2006/relationships/hyperlink" Id="rId42" Target="https://doi.org/10.25923/0wyp-9f39" TargetMode="External" /><Relationship Type="http://schemas.openxmlformats.org/officeDocument/2006/relationships/hyperlink" Id="rId33" Target="https://doi.org/10.25923/h7j3-1h25" TargetMode="External" /><Relationship Type="http://schemas.openxmlformats.org/officeDocument/2006/relationships/hyperlink" Id="rId19" Target="https://doi.org/10.3402/tellusa.v54i2.12133" TargetMode="External" /><Relationship Type="http://schemas.openxmlformats.org/officeDocument/2006/relationships/hyperlink" Id="rId25" Target="https://doi.org/10.48550/arXiv.2606.11356" TargetMode="External" /><Relationship Type="http://schemas.openxmlformats.org/officeDocument/2006/relationships/hyperlink" Id="rId23" Target="https://doi.org/10.5194/gmd-16-1445-2023" TargetMode="External" /><Relationship Type="http://schemas.openxmlformats.org/officeDocument/2006/relationships/hyperlink" Id="rId48" Target="https://doi.org/10.5194/gmd-17-6123-2024" TargetMode="External" /><Relationship Type="http://schemas.openxmlformats.org/officeDocument/2006/relationships/hyperlink" Id="rId46" Target="https://emc.ufsc.br/portal/laboratorios-2/labeco/" TargetMode="External" /><Relationship Type="http://schemas.openxmlformats.org/officeDocument/2006/relationships/hyperlink" Id="rId29" Target="https://github.com/NOAA-EMC/WW3" TargetMode="External" /><Relationship Type="http://schemas.openxmlformats.org/officeDocument/2006/relationships/hyperlink" Id="rId31" Target="https://github.com/NOAA-EMC/WW4" TargetMode="External" /><Relationship Type="http://schemas.openxmlformats.org/officeDocument/2006/relationships/hyperlink" Id="rId21" Target="https://github.com/h0ffmann/ww3-gpu" TargetMode="External" /><Relationship Type="http://schemas.openxmlformats.org/officeDocument/2006/relationships/hyperlink" Id="rId27" Target="https://labeco.ufsc.br/renomo/" TargetMode="External" /><Relationship Type="http://schemas.openxmlformats.org/officeDocument/2006/relationships/hyperlink" Id="rId35" Target="https://www.emc.ncep.noaa.gov/emc/pages/numerical_forecast_systems/wavemodels.ph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visor">
    <vt:lpwstr>A definir, Dr.</vt:lpwstr>
  </property>
  <property fmtid="{D5CDD505-2E9C-101B-9397-08002B2CF9AE}" pid="3" name="bibliography">
    <vt:lpwstr>/build/source/pubs/proposal/refs.bib</vt:lpwstr>
  </property>
  <property fmtid="{D5CDD505-2E9C-101B-9397-08002B2CF9AE}" pid="4" name="city">
    <vt:lpwstr>Rio de Janeiro</vt:lpwstr>
  </property>
  <property fmtid="{D5CDD505-2E9C-101B-9397-08002B2CF9AE}" pid="5" name="coadvisor">
    <vt:lpwstr>Pedro Veras Guimarães, Dr.</vt:lpwstr>
  </property>
  <property fmtid="{D5CDD505-2E9C-101B-9397-08002B2CF9AE}" pid="6" name="coadvisor_affiliation">
    <vt:lpwstr>LabECO, Departamento de Engenharia Mecânica, UFSC</vt:lpwstr>
  </property>
  <property fmtid="{D5CDD505-2E9C-101B-9397-08002B2CF9AE}" pid="7" name="csl">
    <vt:lpwstr>/build/source/pubs/csl/abnt.csl</vt:lpwstr>
  </property>
  <property fmtid="{D5CDD505-2E9C-101B-9397-08002B2CF9AE}" pid="8" name="date">
    <vt:lpwstr>16 de setembro de 2026</vt:lpwstr>
  </property>
  <property fmtid="{D5CDD505-2E9C-101B-9397-08002B2CF9AE}" pid="9" name="department">
    <vt:lpwstr>DEPARTAMENTO DE ENGENHARIA ELETRÔNICA E DE COMPUTAÇÃO</vt:lpwstr>
  </property>
  <property fmtid="{D5CDD505-2E9C-101B-9397-08002B2CF9AE}" pid="10" name="doc_kind">
    <vt:lpwstr>PROPOSTA DE PROJETO DE GRADUAÇÃO</vt:lpwstr>
  </property>
  <property fmtid="{D5CDD505-2E9C-101B-9397-08002B2CF9AE}" pid="11" name="email">
    <vt:lpwstr>hoffmann@poli.ufrj.br</vt:lpwstr>
  </property>
  <property fmtid="{D5CDD505-2E9C-101B-9397-08002B2CF9AE}" pid="12" name="label_advisor">
    <vt:lpwstr>Orientador</vt:lpwstr>
  </property>
  <property fmtid="{D5CDD505-2E9C-101B-9397-08002B2CF9AE}" pid="13" name="label_coadvisor">
    <vt:lpwstr>Coorientador</vt:lpwstr>
  </property>
  <property fmtid="{D5CDD505-2E9C-101B-9397-08002B2CF9AE}" pid="14" name="label_student">
    <vt:lpwstr>Aluno</vt:lpwstr>
  </property>
  <property fmtid="{D5CDD505-2E9C-101B-9397-08002B2CF9AE}" pid="15" name="link-citations">
    <vt:lpwstr>True</vt:lpwstr>
  </property>
  <property fmtid="{D5CDD505-2E9C-101B-9397-08002B2CF9AE}" pid="16" name="school">
    <vt:lpwstr>ESCOLA POLITÉCNICA</vt:lpwstr>
  </property>
  <property fmtid="{D5CDD505-2E9C-101B-9397-08002B2CF9AE}" pid="17" name="student">
    <vt:lpwstr>Matheus Hoffmann Fernandes Santos</vt:lpwstr>
  </property>
  <property fmtid="{D5CDD505-2E9C-101B-9397-08002B2CF9AE}" pid="18" name="university">
    <vt:lpwstr>UNIVERSIDADE FEDERAL DO RIO DE JANEIRO</vt:lpwstr>
  </property>
</Properties>
</file>