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Bdr>
          <w:bottom w:val="single" w:color="1A237E" w:sz="12" w:space="0"/>
        </w:pBdr>
        <w:spacing w:after="384"/>
        <w:rPr/>
      </w:pPr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个人量化策略研究档案</w:t>
      </w:r>
    </w:p>
    <w:p>
      <w:pPr>
        <w:spacing w:after="168"/>
        <w:jc w:val="left"/>
        <w:rPr/>
      </w:pPr>
      <w:r>
        <w:rPr>
          <w:rFonts w:hint="eastAsia" w:ascii="微软雅黑" w:hAnsi="微软雅黑" w:eastAsia="微软雅黑" w:cs="微软雅黑"/>
          <w:color w:val="808080"/>
          <w:sz w:val="28"/>
          <w:lang w:eastAsia="zh-CN"/>
        </w:rPr>
        <w:t>策略归档</w:t>
      </w:r>
      <w:r>
        <w:rPr>
          <w:rFonts w:ascii="黑体" w:hAnsi="黑体"/>
          <w:color w:val="808080"/>
          <w:sz w:val="28"/>
        </w:rPr>
        <w:t xml:space="preserve"> | </w:t>
      </w:r>
      <w:r>
        <w:rPr>
          <w:rFonts w:hint="eastAsia" w:ascii="微软雅黑" w:hAnsi="微软雅黑" w:eastAsia="微软雅黑" w:cs="微软雅黑"/>
          <w:color w:val="808080"/>
          <w:sz w:val="28"/>
          <w:lang w:eastAsia="zh-CN"/>
        </w:rPr>
        <w:t>量化轮动</w:t>
      </w:r>
    </w:p>
    <w:p>
      <w:pPr>
        <w:spacing w:after="140"/>
        <w:rPr/>
      </w:pPr>
      <w:r>
        <w:rPr>
          <w:rFonts w:ascii="黑体" w:hAnsi="黑体"/>
          <w:b/>
          <w:color w:val="1A1A1A"/>
          <w:sz w:val="28"/>
        </w:rPr>
        <w:t xml:space="preserve">0AMV </w:t>
      </w: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信号择时</w:t>
      </w:r>
      <w:r>
        <w:rPr>
          <w:rFonts w:ascii="黑体" w:hAnsi="黑体"/>
          <w:b/>
          <w:color w:val="1A1A1A"/>
          <w:sz w:val="28"/>
        </w:rPr>
        <w:t xml:space="preserve"> + </w:t>
      </w: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全市场行业动量轮动</w:t>
      </w:r>
    </w:p>
    <w:p>
      <w:pPr>
        <w:spacing w:after="364"/>
        <w:rPr/>
      </w:pPr>
      <w:r>
        <w:rPr>
          <w:rFonts w:ascii="黑体" w:hAnsi="黑体"/>
          <w:b/>
          <w:color w:val="9C8B6A"/>
          <w:sz w:val="26"/>
        </w:rPr>
        <w:t xml:space="preserve">B </w:t>
      </w:r>
      <w:r>
        <w:rPr>
          <w:rFonts w:hint="eastAsia" w:ascii="微软雅黑" w:hAnsi="微软雅黑" w:eastAsia="微软雅黑" w:cs="微软雅黑"/>
          <w:b/>
          <w:color w:val="9C8B6A"/>
          <w:sz w:val="26"/>
          <w:lang w:eastAsia="zh-CN"/>
        </w:rPr>
        <w:t>腿</w:t>
      </w:r>
      <w:r>
        <w:rPr>
          <w:rFonts w:ascii="黑体" w:hAnsi="黑体"/>
          <w:b/>
          <w:color w:val="9C8B6A"/>
          <w:sz w:val="26"/>
        </w:rPr>
        <w:t xml:space="preserve"> V2-P1 </w:t>
      </w:r>
      <w:r>
        <w:rPr>
          <w:rFonts w:hint="eastAsia" w:ascii="微软雅黑" w:hAnsi="微软雅黑" w:eastAsia="微软雅黑" w:cs="微软雅黑"/>
          <w:b/>
          <w:color w:val="9C8B6A"/>
          <w:sz w:val="26"/>
          <w:lang w:eastAsia="zh-CN"/>
        </w:rPr>
        <w:t>定稿版（内部研究材料）</w:t>
      </w:r>
    </w:p>
    <w:p>
      <w:pPr>
        <w:pStyle w:val="000008"/>
        <w:spacing w:after="704" w:line="312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44"/>
          <w:lang w:eastAsia="zh-CN"/>
        </w:rPr>
        <w:t>0AMV 全市场动量轮动策略（B 腿 V2-P1 定稿）完整档案</w:t>
      </w:r>
    </w:p>
    <w:p>
      <w:pPr>
        <w:rPr/>
      </w:pPr>
    </w:p>
    <w:tbl>
      <w:tblPr>
        <w:tblW w:w="0" w:type="auto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  <w:tblLayout w:type="autofit"/>
        <w:tblLook w:firstRow="true" w:lastRow="false" w:firstColumn="true" w:lastColumn="false" w:noHBand="false" w:noVBand="true" w:val="04A0"/>
      </w:tblPr>
      <w:tblGrid>
        <w:gridCol w:w="1037"/>
        <w:gridCol w:w="1123"/>
        <w:gridCol w:w="1037"/>
        <w:gridCol w:w="1123"/>
        <w:gridCol w:w="1037"/>
        <w:gridCol w:w="1123"/>
        <w:gridCol w:w="1037"/>
        <w:gridCol w:w="1123"/>
      </w:tblGrid>
      <w:tr>
        <w:trPr/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回测区间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2019-2026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全周期收益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+3524.3%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年化收益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59.3%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最大回撤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29.3%</w:t>
            </w:r>
          </w:p>
        </w:tc>
      </w:tr>
      <w:tr>
        <w:trPr/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Calmar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2.02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进攻胜率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63%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执行口径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T+1 收盘</w:t>
            </w:r>
          </w:p>
        </w:tc>
        <w:tc>
          <w:tcPr>
            <w:tcW w:w="1037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color w:val="808080"/>
              </w:rPr>
              <w:t>单边成本</w:t>
            </w:r>
          </w:p>
        </w:tc>
        <w:tc>
          <w:tcPr>
            <w:tcW w:w="1123" w:type="dx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alibri" w:hAnsi="Calibri" w:eastAsia="Calibri"/>
                <w:b/>
                <w:color w:val="1A1A1A"/>
              </w:rPr>
              <w:t>0.1%</w:t>
            </w:r>
          </w:p>
        </w:tc>
      </w:tr>
    </w:tbl>
    <w:p>
      <w:pPr>
        <w:rPr/>
      </w:pPr>
    </w:p>
    <w:p>
      <w:pPr>
        <w:spacing w:after="72"/>
        <w:rPr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策略性质：个人研究归档（信号派四层扫描框架</w:t>
      </w:r>
      <w:r>
        <w:rPr>
          <w:b/>
          <w:color w:val="1A1A1A"/>
        </w:rPr>
        <w:t xml:space="preserve"> · 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量化回测验证）</w:t>
      </w:r>
    </w:p>
    <w:p>
      <w:pPr>
        <w:spacing w:after="48"/>
        <w:rPr/>
      </w:pPr>
      <w:r>
        <w:rPr>
          <w:rFonts w:hint="eastAsia" w:ascii="微软雅黑" w:hAnsi="微软雅黑" w:eastAsia="微软雅黑" w:cs="微软雅黑"/>
          <w:color w:val="808080"/>
          <w:lang w:eastAsia="zh-CN"/>
        </w:rPr>
        <w:t>信号源：指南针</w:t>
      </w:r>
      <w:r>
        <w:rPr>
          <w:color w:val="808080"/>
        </w:rPr>
        <w:t xml:space="preserve"> 0AMV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活跃市值（人工手抄真值，</w:t>
      </w:r>
      <w:r>
        <w:rPr>
          <w:color w:val="808080"/>
        </w:rPr>
        <w:t xml:space="preserve">96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条信号）</w:t>
      </w:r>
    </w:p>
    <w:p>
      <w:pPr>
        <w:spacing w:after="48"/>
        <w:rPr/>
      </w:pPr>
      <w:r>
        <w:rPr>
          <w:rFonts w:hint="eastAsia" w:ascii="微软雅黑" w:hAnsi="微软雅黑" w:eastAsia="微软雅黑" w:cs="微软雅黑"/>
          <w:color w:val="808080"/>
          <w:lang w:eastAsia="zh-CN"/>
        </w:rPr>
        <w:t>进攻腿：</w:t>
      </w:r>
      <w:r>
        <w:rPr>
          <w:color w:val="808080"/>
        </w:rPr>
        <w:t xml:space="preserve">44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只行业</w:t>
      </w:r>
      <w:r>
        <w:rPr>
          <w:color w:val="808080"/>
        </w:rPr>
        <w:t>/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主题</w:t>
      </w:r>
      <w:r>
        <w:rPr>
          <w:color w:val="808080"/>
        </w:rPr>
        <w:t xml:space="preserve"> ETF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动态池</w:t>
      </w:r>
      <w:r>
        <w:rPr>
          <w:color w:val="808080"/>
        </w:rPr>
        <w:t xml:space="preserve"> |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防守腿：</w:t>
      </w:r>
      <w:r>
        <w:rPr>
          <w:color w:val="808080"/>
        </w:rPr>
        <w:t xml:space="preserve">512890 </w:t>
      </w:r>
      <w:r>
        <w:rPr>
          <w:rFonts w:hint="eastAsia" w:ascii="微软雅黑" w:hAnsi="微软雅黑" w:eastAsia="微软雅黑" w:cs="微软雅黑"/>
          <w:color w:val="808080"/>
          <w:lang w:eastAsia="zh-CN"/>
        </w:rPr>
        <w:t>红利低波</w:t>
      </w:r>
      <w:r>
        <w:rPr>
          <w:color w:val="808080"/>
        </w:rPr>
        <w:t xml:space="preserve"> ETF</w:t>
      </w:r>
    </w:p>
    <w:p>
      <w:pPr>
        <w:spacing w:after="48"/>
        <w:rPr/>
      </w:pPr>
      <w:r>
        <w:rPr>
          <w:rFonts w:hint="eastAsia" w:ascii="微软雅黑" w:hAnsi="微软雅黑" w:eastAsia="微软雅黑" w:cs="微软雅黑"/>
          <w:color w:val="808080"/>
          <w:lang w:eastAsia="zh-CN"/>
        </w:rPr>
        <w:t>归档日期：</w:t>
      </w:r>
      <w:r>
        <w:rPr>
          <w:color w:val="808080"/>
        </w:rPr>
        <w:t>2026-10-11</w:t>
      </w:r>
    </w:p>
    <w:p>
      <w:pPr>
        <w:rPr/>
        <w:sectPr>
          <w:type w:val="nextPage"/>
          <w:pgSz w:w="11906" w:h="16838"/>
          <w:pgMar w:top="1440" w:right="1797" w:bottom="1440" w:left="1797"/>
        </w:sectPr>
      </w:pP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一、策略总览</w:t>
            </w:r>
          </w:p>
        </w:tc>
      </w:tr>
    </w:tbl>
    <w:p>
      <w:pPr>
        <w:spacing w:line="360" w:lineRule="auto"/>
        <w:rPr/>
      </w:pPr>
    </w:p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本策略是一套「信号择时</w:t>
      </w:r>
      <w:r>
        <w:rPr>
          <w:sz w:val="18"/>
        </w:rPr>
        <w:t xml:space="preserve"> +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全市场行业动量轮动」的组合策略，由两条腿构成：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进攻腿（B 腿 V2-P1）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：在</w:t>
      </w:r>
      <w:r>
        <w:rPr>
          <w:sz w:val="18"/>
        </w:rPr>
        <w:t xml:space="preserve"> 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买入信号触发时，从</w:t>
      </w:r>
      <w:r>
        <w:rPr>
          <w:sz w:val="18"/>
        </w:rPr>
        <w:t xml:space="preserve"> 44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只行业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主题</w:t>
      </w:r>
      <w:r>
        <w:rPr>
          <w:sz w:val="18"/>
        </w:rPr>
        <w:t xml:space="preserve"> ETF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动态池中，按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相对强度</w:t>
      </w:r>
      <w:r>
        <w:rPr>
          <w:sz w:val="18"/>
        </w:rPr>
        <w:t xml:space="preserve"> RS"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七层漏斗选出当前主线板块，全仓（或等权双仓）持有至卖出信号；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防守腿</w:t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：信号离场期间全仓持有 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512890 红利低波 ETF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，赚取类债券的稳健收益并等待下一次进攻窗口。</w:t>
      </w:r>
    </w:p>
    <w:p>
      <w:pPr>
        <w:pStyle w:val="00000c"/>
        <w:spacing w:after="120"/>
        <w:rPr/>
      </w:pPr>
      <w:r>
        <w:rPr>
          <w:rFonts w:hint="eastAsia" w:ascii="微软雅黑" w:hAnsi="微软雅黑" w:eastAsia="微软雅黑" w:cs="微软雅黑"/>
          <w:b/>
          <w:color w:val="1A237E"/>
          <w:sz w:val="20"/>
          <w:lang w:eastAsia="zh-CN"/>
        </w:rPr>
        <w:t>信号源：指南针 0AMV 活跃市值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买入信号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当日涨幅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近</w:t>
      </w:r>
      <w:r>
        <w:rPr>
          <w:sz w:val="18"/>
        </w:rPr>
        <w:t xml:space="preserve"> 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近</w:t>
      </w:r>
      <w:r>
        <w:rPr>
          <w:sz w:val="18"/>
        </w:rPr>
        <w:t xml:space="preserve"> 3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日和，三者取最大值</w:t>
      </w:r>
      <w:r>
        <w:rPr>
          <w:sz w:val="18"/>
        </w:rPr>
        <w:t xml:space="preserve"> &gt; </w:t>
      </w:r>
      <w:r>
        <w:rPr>
          <w:b/>
          <w:sz w:val="18"/>
        </w:rPr>
        <w:t>+4%</w:t>
      </w:r>
      <w:r>
        <w:rPr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尾盘记录信号；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卖出信号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当日跌幅</w:t>
      </w:r>
      <w:r>
        <w:rPr>
          <w:sz w:val="18"/>
        </w:rPr>
        <w:t xml:space="preserve"> &lt; </w:t>
      </w:r>
      <w:r>
        <w:rPr>
          <w:b/>
          <w:sz w:val="18"/>
        </w:rPr>
        <w:t>−2.3%</w:t>
      </w:r>
      <w:r>
        <w:rPr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尾盘记录信号；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同时触发时卖出优先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；</w:t>
      </w:r>
      <w:r>
        <w:rPr>
          <w:sz w:val="18"/>
        </w:rPr>
        <w:t xml:space="preserve">T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日收盘出信号，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T+1 收盘价成交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，单边成本</w:t>
      </w:r>
      <w:r>
        <w:rPr>
          <w:sz w:val="18"/>
        </w:rPr>
        <w:t xml:space="preserve"> 0.1%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1A237E" w:sz="18" w:space="0"/>
            </w:tcBorders>
            <w:shd w:val="clear" w:color="auto" w:fill="EEF2F9"/>
            <w:tcMar>
              <w:top w:w="192" w:type="dxa"/>
              <w:left w:w="240" w:type="dxa"/>
              <w:bottom w:w="192" w:type="dxa"/>
              <w:right w:w="240" w:type="dxa"/>
            </w:tcMar>
            <w:vAlign w:val="center"/>
          </w:tcPr>
          <w:p>
            <w:pPr>
              <w:spacing w:before="45" w:after="45" w:line="240" w:lineRule="auto"/>
              <w:rPr/>
            </w:pPr>
            <w:r>
              <w:rPr>
                <w:rFonts w:ascii="黑体" w:hAnsi="黑体"/>
                <w:b/>
                <w:color w:val="1A237E"/>
                <w:sz w:val="18"/>
              </w:rPr>
              <w:t>定稿回测成绩（V2-P1）</w:t>
            </w:r>
            <w:r>
              <w:rPr>
                <w:sz w:val="18"/>
              </w:rPr>
              <w:t xml:space="preserve"> </w:t>
            </w:r>
          </w:p>
          <w:p>
            <w:pPr>
              <w:spacing w:before="45" w:after="45" w:line="240" w:lineRule="auto"/>
              <w:rPr/>
            </w:pPr>
            <w:r>
              <w:rPr>
                <w:sz w:val="18"/>
              </w:rPr>
              <w:t xml:space="preserve">全周期累计 </w:t>
            </w:r>
            <w:r>
              <w:rPr>
                <w:b/>
                <w:sz w:val="18"/>
              </w:rPr>
              <w:t>+3524.3%</w:t>
            </w:r>
            <w:r>
              <w:rPr>
                <w:sz w:val="18"/>
              </w:rPr>
              <w:t xml:space="preserve">，年化 </w:t>
            </w:r>
            <w:r>
              <w:rPr>
                <w:b/>
                <w:sz w:val="18"/>
              </w:rPr>
              <w:t>59.3%</w:t>
            </w:r>
            <w:r>
              <w:rPr>
                <w:sz w:val="18"/>
              </w:rPr>
              <w:t xml:space="preserve">，最大回撤 </w:t>
            </w:r>
            <w:r>
              <w:rPr>
                <w:b/>
                <w:sz w:val="18"/>
              </w:rPr>
              <w:t>29.3%</w:t>
            </w:r>
            <w:r>
              <w:rPr>
                <w:sz w:val="18"/>
              </w:rPr>
              <w:t xml:space="preserve">，Calmar 比率 </w:t>
            </w:r>
            <w:r>
              <w:rPr>
                <w:b/>
                <w:sz w:val="18"/>
              </w:rPr>
              <w:t>2.02</w:t>
            </w:r>
            <w:r>
              <w:rPr>
                <w:sz w:val="18"/>
              </w:rPr>
              <w:t xml:space="preserve">，进攻段胜率 25/40 = 63%。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诚实声明</w:t>
            </w:r>
            <w:r>
              <w:rPr>
                <w:sz w:val="18"/>
              </w:rPr>
              <w:t>：该账面成绩处于参数网格上沿，且样本外恰逢趋势大年。参数敏感性网格全周期跨度 +761% ~ +5168%（6.8 倍），</w:t>
            </w:r>
            <w:r>
              <w:rPr>
                <w:b/>
                <w:sz w:val="18"/>
              </w:rPr>
              <w:t>前瞻规划按年化 15–25%、预期回撤 20–30%、Calmar 0.7–1.0 折现</w:t>
            </w:r>
            <w:r>
              <w:rPr>
                <w:sz w:val="18"/>
              </w:rPr>
              <w:t>，严禁按账面数字外推。</w:t>
            </w:r>
          </w:p>
        </w:tc>
      </w:tr>
    </w:tbl>
    <w:p>
      <w:pPr>
        <w:rPr/>
      </w:pP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二、双腿结构与信号体系</w:t>
            </w:r>
          </w:p>
        </w:tc>
      </w:tr>
    </w:tbl>
    <w:p>
      <w:pPr>
        <w:spacing w:line="360" w:lineRule="auto"/>
        <w:rPr/>
      </w:pP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2.1 状态机</w:t>
      </w:r>
    </w:p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策略在两种状态间切换：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买入信号（</w:t>
      </w:r>
      <w:r>
        <w:rPr>
          <w:sz w:val="18"/>
        </w:rPr>
        <w:t>+4%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</w:t>
      </w:r>
      <w:r>
        <w:rPr>
          <w:sz w:val="18"/>
        </w:rPr>
        <w:t xml:space="preserve">→ T+1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收盘进入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进攻状态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（持有</w:t>
      </w:r>
      <w:r>
        <w:rPr>
          <w:sz w:val="18"/>
        </w:rPr>
        <w:t xml:space="preserve"> V2-P1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选出的主线</w:t>
      </w:r>
      <w:r>
        <w:rPr>
          <w:sz w:val="18"/>
        </w:rPr>
        <w:t xml:space="preserve"> ETF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）；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卖出信号（</w:t>
      </w:r>
      <w:r>
        <w:rPr>
          <w:sz w:val="18"/>
        </w:rPr>
        <w:t>−2.3%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</w:t>
      </w:r>
      <w:r>
        <w:rPr>
          <w:sz w:val="18"/>
        </w:rPr>
        <w:t xml:space="preserve">→ T+1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收盘进入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防守状态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（全仓</w:t>
      </w:r>
      <w:r>
        <w:rPr>
          <w:sz w:val="18"/>
        </w:rPr>
        <w:t xml:space="preserve"> 512890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红利低波）。任意时刻只处于一种状态，全仓单押（进攻时若前二</w:t>
      </w:r>
      <w:r>
        <w:rPr>
          <w:sz w:val="18"/>
        </w:rPr>
        <w:t xml:space="preserve"> RS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差距</w:t>
      </w:r>
      <w:r>
        <w:rPr>
          <w:sz w:val="18"/>
        </w:rPr>
        <w:t xml:space="preserve"> &lt;2pct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则等权双仓）；无中间仓位、无杠杆、无止损线，离场完全由</w:t>
      </w:r>
      <w:r>
        <w:rPr>
          <w:sz w:val="18"/>
        </w:rPr>
        <w:t xml:space="preserve"> 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信号决定。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2.2 双腿分工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项目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进攻腿（ B  腿  V2-P1 ）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防守腿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标的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44  只行业 / 主题  ETF  动态池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512890  红利低波  ETF （固定）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持有条件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买入信号后至卖出信号前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卖出信号后至买入信号前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收益来源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主线板块的  β+α  主升段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红利股股息  +  低波稳健爬升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时间占比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约  41–45%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约  55–59%</w:t>
            </w:r>
          </w:p>
        </w:tc>
      </w:tr>
    </w:tbl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防守腿不是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空仓等待</w:t>
      </w:r>
      <w:r>
        <w:rPr>
          <w:sz w:val="18"/>
        </w:rPr>
        <w:t xml:space="preserve">"——512890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在</w:t>
      </w:r>
      <w:r>
        <w:rPr>
          <w:sz w:val="18"/>
        </w:rPr>
        <w:t xml:space="preserve"> 2019–2026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全程累计</w:t>
      </w:r>
      <w:r>
        <w:rPr>
          <w:sz w:val="18"/>
        </w:rPr>
        <w:t xml:space="preserve"> +140.6%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（年化</w:t>
      </w:r>
      <w:r>
        <w:rPr>
          <w:sz w:val="18"/>
        </w:rPr>
        <w:t xml:space="preserve"> 12.1%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），分年全正。策略约</w:t>
      </w:r>
      <w:r>
        <w:rPr>
          <w:sz w:val="18"/>
        </w:rPr>
        <w:t xml:space="preserve"> 55–59%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的时间在防守状态，防守段贡献</w:t>
      </w:r>
      <w:r>
        <w:rPr>
          <w:sz w:val="18"/>
        </w:rPr>
        <w:t xml:space="preserve"> V2-P1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全周期收益中的约</w:t>
      </w:r>
      <w:r>
        <w:rPr>
          <w:sz w:val="18"/>
        </w:rPr>
        <w:t xml:space="preserve"> </w:t>
      </w:r>
      <w:r>
        <w:rPr>
          <w:b/>
          <w:sz w:val="18"/>
        </w:rPr>
        <w:t>+94.9%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（累乘口径），是组合的重要收益来源而非拖累。</w:t>
      </w: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三、进攻腿选股规则：七层漏斗（V2-P1 定稿）</w:t>
            </w:r>
          </w:p>
        </w:tc>
      </w:tr>
    </w:tbl>
    <w:p>
      <w:pPr>
        <w:spacing w:line="360" w:lineRule="auto"/>
        <w:rPr/>
      </w:pPr>
    </w:p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每个</w:t>
      </w:r>
      <w:r>
        <w:rPr>
          <w:sz w:val="18"/>
        </w:rPr>
        <w:t xml:space="preserve"> 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买入信号日收盘后，对</w:t>
      </w:r>
      <w:r>
        <w:rPr>
          <w:sz w:val="18"/>
        </w:rPr>
        <w:t xml:space="preserve"> 44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只行业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主题</w:t>
      </w:r>
      <w:r>
        <w:rPr>
          <w:sz w:val="18"/>
        </w:rPr>
        <w:t xml:space="preserve"> ETF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依次执行以下筛选与排序：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层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规则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参数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逻辑（为什么）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资格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上市满  63  个交易日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新股数据太少，动量算出来是噪音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趋势入围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收盘价  &gt; MA20 &gt; MA60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只搭已经在涨的车，不猜底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3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打分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RS =  板块  20  日涨幅  −  大盘  20  日涨幅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不看绝对涨跌，只看跑赢大盘多少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4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去重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60  日相关性  &gt;0.9  只留  RS  高者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芯片 / 半导体这类孪生板块防重复下注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5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空主线保护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入围  RS  全负  →  续持红利低波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大盘普跌时 " 第一名 " 也只是亏得少，不出手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6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接力约束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与上段相同需  RS  递增，否则顺延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防同一板块震荡期反复挨打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7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分散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前二  RS  差距  &lt;2pct →  各买一半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状元榜眼分不清时就都押，分散单点风险</w:t>
            </w:r>
          </w:p>
        </w:tc>
      </w:tr>
    </w:tbl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已废除规则（有数据证据）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量比过滤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ETF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成交量是噪音代理，真主线常在放量前启动。五档阈值扫描收益单调递增（量比</w:t>
      </w:r>
      <w:r>
        <w:rPr>
          <w:sz w:val="18"/>
        </w:rPr>
        <w:t xml:space="preserve"> 1.0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时</w:t>
      </w:r>
      <w:r>
        <w:rPr>
          <w:sz w:val="18"/>
        </w:rPr>
        <w:t xml:space="preserve"> +904%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取消过滤后</w:t>
      </w:r>
      <w:r>
        <w:rPr>
          <w:sz w:val="18"/>
        </w:rPr>
        <w:t xml:space="preserve"> +2402%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），曾误杀</w:t>
      </w:r>
      <w:r>
        <w:rPr>
          <w:sz w:val="18"/>
        </w:rPr>
        <w:t xml:space="preserve"> 2025-06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通信</w:t>
      </w:r>
      <w:r>
        <w:rPr>
          <w:sz w:val="18"/>
        </w:rPr>
        <w:t xml:space="preserve"> +81.8%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八年最大段；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过热降权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：样本内明显拖累（</w:t>
      </w:r>
      <w:r>
        <w:rPr>
          <w:sz w:val="18"/>
        </w:rPr>
        <w:t xml:space="preserve">20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日窗口下</w:t>
      </w:r>
      <w:r>
        <w:rPr>
          <w:sz w:val="18"/>
        </w:rPr>
        <w:t xml:space="preserve"> +893% → +330%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），样本外无一致收益。追高问题已被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多头排列</w:t>
      </w:r>
      <w:r>
        <w:rPr>
          <w:sz w:val="18"/>
        </w:rPr>
        <w:t xml:space="preserve"> + RS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排名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间接消化。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3.1 从 V1 到 V2-P1 的演进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版本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池子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核心问题  /  结果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V1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固定  5  只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池外主线整段错失（ 42  信号中  9  次且成串）；负动量入场；同板块接力磨损；板块过度集中（通信 + 创新药占收益  81% ）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V2-P0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21  只核心行业池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全周期  +2401.6% ，验证  RS  框架成立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V2-P1（定稿）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44 只全量行业/主题池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全周期 +3524.3%，样本内外均衡</w:t>
            </w:r>
          </w:p>
        </w:tc>
      </w:tr>
    </w:tbl>
    <w:p>
      <w:pPr>
        <w:spacing w:after="144" w:line="360" w:lineRule="auto"/>
        <w:rPr/>
      </w:pPr>
      <w:r>
        <w:rPr>
          <w:sz w:val="18"/>
        </w:rPr>
        <w:t xml:space="preserve">44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只池覆盖：半导体设备、芯片、半导体、科创芯片、通信、</w:t>
      </w:r>
      <w:r>
        <w:rPr>
          <w:sz w:val="18"/>
        </w:rPr>
        <w:t>5G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电子、软件、云计算、人工智能、科技、机器人、创新药、生物医药、医疗、新能源、电池、光伏、稀土、有色、煤炭、银行、证券、军工、电力、基建、建材、环保、农业、养殖、食品饮料、消费、酒、家电、传媒、游戏、旅游、房地产、汽车、化工、钢铁、红利等（以数据文件实际清单为准）。</w:t>
      </w: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四、执行细节（实盘操作手册）</w:t>
            </w:r>
          </w:p>
        </w:tc>
      </w:tr>
    </w:tbl>
    <w:p>
      <w:pPr>
        <w:spacing w:line="360" w:lineRule="auto"/>
        <w:rPr/>
      </w:pP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信号采集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：每日收盘后查看指南针</w:t>
      </w:r>
      <w:r>
        <w:rPr>
          <w:sz w:val="18"/>
        </w:rPr>
        <w:t xml:space="preserve"> 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指标，计算当日涨幅、近</w:t>
      </w:r>
      <w:r>
        <w:rPr>
          <w:sz w:val="18"/>
        </w:rPr>
        <w:t xml:space="preserve"> 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日和、近</w:t>
      </w:r>
      <w:r>
        <w:rPr>
          <w:sz w:val="18"/>
        </w:rPr>
        <w:t xml:space="preserve"> 3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日和三个口径；跌幅口径只看当日。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信号判定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>max(</w:t>
      </w:r>
      <w:r>
        <w:rPr>
          <w:rFonts w:hint="eastAsia" w:ascii="微软雅黑" w:hAnsi="微软雅黑" w:eastAsia="微软雅黑" w:cs="微软雅黑"/>
          <w:sz w:val="18"/>
          <w:lang w:eastAsia="zh-CN"/>
        </w:rPr>
        <w:t>当日</w:t>
      </w:r>
      <w:r>
        <w:rPr>
          <w:sz w:val="18"/>
        </w:rPr>
        <w:t>, 2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</w:t>
      </w:r>
      <w:r>
        <w:rPr>
          <w:sz w:val="18"/>
        </w:rPr>
        <w:t>, 3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日和</w:t>
      </w:r>
      <w:r>
        <w:rPr>
          <w:sz w:val="18"/>
        </w:rPr>
        <w:t xml:space="preserve">) &gt; +4%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买入信号；当日</w:t>
      </w:r>
      <w:r>
        <w:rPr>
          <w:sz w:val="18"/>
        </w:rPr>
        <w:t xml:space="preserve"> &lt; −2.3%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卖出信号；同日出双信号</w:t>
      </w:r>
      <w:r>
        <w:rPr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卖出优先。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选股执行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（仅买入信号日）：收盘后跑一遍七层漏斗，得出目标</w:t>
      </w:r>
      <w:r>
        <w:rPr>
          <w:sz w:val="18"/>
        </w:rPr>
        <w:t xml:space="preserve"> ETF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</w:t>
      </w:r>
      <w:r>
        <w:rPr>
          <w:sz w:val="18"/>
        </w:rPr>
        <w:t xml:space="preserve">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只或等权</w:t>
      </w:r>
      <w:r>
        <w:rPr>
          <w:sz w:val="18"/>
        </w:rPr>
        <w:t xml:space="preserve"> 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只）。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下单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T+1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日尾盘以收盘价成交（</w:t>
      </w:r>
      <w:r>
        <w:rPr>
          <w:sz w:val="18"/>
        </w:rPr>
        <w:t xml:space="preserve">14:55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后挂单，按收盘价结算口径回测）。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持有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：期间不做任何操作，不加仓、不止损、不日内交易。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切换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：卖出信号次日收盘，清进攻仓</w:t>
      </w:r>
      <w:r>
        <w:rPr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全仓买入</w:t>
      </w:r>
      <w:r>
        <w:rPr>
          <w:sz w:val="18"/>
        </w:rPr>
        <w:t xml:space="preserve"> 512890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；买入信号次日收盘，清</w:t>
      </w:r>
      <w:r>
        <w:rPr>
          <w:sz w:val="18"/>
        </w:rPr>
        <w:t xml:space="preserve"> 512890 →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买入进攻标的。</w:t>
      </w:r>
    </w:p>
    <w:p>
      <w:pPr>
        <w:pStyle w:val="000032"/>
        <w:numPr>
          <w:ilvl w:val="0"/>
          <w:numId w:val="1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成本假设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：单边</w:t>
      </w:r>
      <w:r>
        <w:rPr>
          <w:sz w:val="18"/>
        </w:rPr>
        <w:t xml:space="preserve"> 0.1%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；小规模主题</w:t>
      </w:r>
      <w:r>
        <w:rPr>
          <w:sz w:val="18"/>
        </w:rPr>
        <w:t xml:space="preserve"> ETF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（稀土、旅游等）实际冲击可能更高，</w:t>
      </w:r>
      <w:r>
        <w:rPr>
          <w:sz w:val="18"/>
        </w:rPr>
        <w:t xml:space="preserve">0.15%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敏感性测试待补。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1A237E" w:sz="18" w:space="0"/>
            </w:tcBorders>
            <w:shd w:val="clear" w:color="auto" w:fill="EEF2F9"/>
            <w:tcMar>
              <w:top w:w="192" w:type="dxa"/>
              <w:left w:w="240" w:type="dxa"/>
              <w:bottom w:w="192" w:type="dxa"/>
              <w:right w:w="240" w:type="dxa"/>
            </w:tcMar>
            <w:vAlign w:val="center"/>
          </w:tcPr>
          <w:p>
            <w:pPr>
              <w:spacing w:before="45" w:after="45" w:line="240" w:lineRule="auto"/>
              <w:rPr/>
            </w:pPr>
            <w:r>
              <w:rPr>
                <w:rFonts w:ascii="黑体" w:hAnsi="黑体"/>
                <w:b/>
                <w:color w:val="1A237E"/>
                <w:sz w:val="18"/>
              </w:rPr>
              <w:t>数据工程质量红线（血泪教训）</w:t>
            </w:r>
            <w:r>
              <w:rPr>
                <w:sz w:val="18"/>
              </w:rPr>
              <w:t xml:space="preserve"> </w:t>
            </w:r>
          </w:p>
          <w:p>
            <w:pPr>
              <w:spacing w:before="45" w:after="45" w:line="240" w:lineRule="auto"/>
              <w:rPr/>
            </w:pPr>
            <w:r>
              <w:rPr>
                <w:sz w:val="18"/>
              </w:rPr>
              <w:t>行情数据入库必须做 &gt;10 日大洞校验（已知节假日洞豁免）。sh515880 曾缺 2021-08 ~ 2024-09 共 1130 天，取价回退冻结价导致整段回测失真（"B 腿 2022 熊市大赚"一度是坏数据假象），修复后全周期由 +1061% 下修为 +806%。</w:t>
            </w:r>
          </w:p>
        </w:tc>
      </w:tr>
    </w:tbl>
    <w:p>
      <w:pPr>
        <w:rPr/>
      </w:pP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五、回测收益全景（T+1 收盘口径，单边成本 0.1%）</w:t>
            </w:r>
          </w:p>
        </w:tc>
      </w:tr>
    </w:tbl>
    <w:p>
      <w:pPr>
        <w:spacing w:line="360" w:lineRule="auto"/>
        <w:rPr/>
      </w:pP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5.1 三版进攻腿分年对比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年份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V2-P1  定稿 (44 只 )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V2-P0(21 只 )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V1( 固定 5 只 )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2019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+17.3%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+16.0%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+15.0%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2020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+142.8%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+80.0%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+31.8%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2021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+28.5%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+28.3%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+3.0%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2022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+12.5%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color w:val="2E7D32"/>
              </w:rPr>
              <w:t>−1.6%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+4.4%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2023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+18.4%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+12.0%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color w:val="2E7D32"/>
              </w:rPr>
              <w:t>−11.4%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2024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+35.6%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+41.5%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+26.5%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2025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+76.4%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+92.0%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+106.4%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2026 YTD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+128.5%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—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+141.1%*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全周期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+3524.3%（年化59.3%）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+2401.6%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+806.5%</w:t>
            </w:r>
          </w:p>
        </w:tc>
      </w:tr>
    </w:tbl>
    <w:p>
      <w:pPr>
        <w:spacing w:after="144" w:line="360" w:lineRule="auto"/>
        <w:rPr/>
      </w:pPr>
      <w:r>
        <w:rPr>
          <w:sz w:val="18"/>
        </w:rPr>
        <w:t xml:space="preserve">*V1 2026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为旧口径参照。定稿胜率</w:t>
      </w:r>
      <w:r>
        <w:rPr>
          <w:sz w:val="18"/>
        </w:rPr>
        <w:t xml:space="preserve"> 25/40 = 63%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，最大回撤</w:t>
      </w:r>
      <w:r>
        <w:rPr>
          <w:sz w:val="18"/>
        </w:rPr>
        <w:t xml:space="preserve"> 29.3%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p>
      <w:pPr>
        <w:pStyle w:val="00000c"/>
        <w:spacing w:after="120"/>
        <w:rPr/>
      </w:pPr>
      <w:r>
        <w:rPr>
          <w:rFonts w:hint="eastAsia" w:ascii="微软雅黑" w:hAnsi="微软雅黑" w:eastAsia="微软雅黑" w:cs="微软雅黑"/>
          <w:b/>
          <w:color w:val="1A237E"/>
          <w:sz w:val="20"/>
          <w:lang w:eastAsia="zh-CN"/>
        </w:rPr>
        <w:t>关键观察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无亏损年份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：最差年份</w:t>
      </w:r>
      <w:r>
        <w:rPr>
          <w:sz w:val="18"/>
        </w:rPr>
        <w:t xml:space="preserve"> 2022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（熊市）仍</w:t>
      </w:r>
      <w:r>
        <w:rPr>
          <w:sz w:val="18"/>
        </w:rPr>
        <w:t xml:space="preserve"> +12.5%——0AMV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信号避开大部分阴跌，防守腿在结构性熊市中贡献正收益；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扩池的收益结构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：相比</w:t>
      </w:r>
      <w:r>
        <w:rPr>
          <w:sz w:val="18"/>
        </w:rPr>
        <w:t xml:space="preserve"> V1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牺牲大年单段爆发（</w:t>
      </w:r>
      <w:r>
        <w:rPr>
          <w:sz w:val="18"/>
        </w:rPr>
        <w:t xml:space="preserve">2025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年</w:t>
      </w:r>
      <w:r>
        <w:rPr>
          <w:sz w:val="18"/>
        </w:rPr>
        <w:t xml:space="preserve"> +76.4% vs V1 +106.4%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），换来</w:t>
      </w:r>
      <w:r>
        <w:rPr>
          <w:sz w:val="18"/>
        </w:rPr>
        <w:t xml:space="preserve"> 2020/2022/2023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的全面提升和全周期近</w:t>
      </w:r>
      <w:r>
        <w:rPr>
          <w:sz w:val="18"/>
        </w:rPr>
        <w:t xml:space="preserve"> 4.4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倍改善；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同期基准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：上证年化</w:t>
      </w:r>
      <w:r>
        <w:rPr>
          <w:sz w:val="18"/>
        </w:rPr>
        <w:t xml:space="preserve"> 5.8%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、沪深</w:t>
      </w:r>
      <w:r>
        <w:rPr>
          <w:sz w:val="18"/>
        </w:rPr>
        <w:t xml:space="preserve">300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年化</w:t>
      </w:r>
      <w:r>
        <w:rPr>
          <w:sz w:val="18"/>
        </w:rPr>
        <w:t xml:space="preserve"> 5.0%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</w:t>
      </w:r>
      <w:r>
        <w:rPr>
          <w:sz w:val="18"/>
        </w:rPr>
        <w:t xml:space="preserve">512890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红利低波年化</w:t>
      </w:r>
      <w:r>
        <w:rPr>
          <w:sz w:val="18"/>
        </w:rPr>
        <w:t xml:space="preserve"> 12.1%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5.2 稳健性验证（样本内/外 + 参数网格）</w:t>
      </w:r>
    </w:p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样本内</w:t>
      </w:r>
      <w:r>
        <w:rPr>
          <w:sz w:val="18"/>
        </w:rPr>
        <w:t xml:space="preserve"> = 2019-01 ~ 2023-12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（调参）；样本外</w:t>
      </w:r>
      <w:r>
        <w:rPr>
          <w:sz w:val="18"/>
        </w:rPr>
        <w:t xml:space="preserve"> = 2024-01 ~ 2026-10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（验证）。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RS 窗口</w:t>
            </w:r>
          </w:p>
        </w:tc>
        <w:tc>
          <w:tcPr>
            <w:tcW w:w="1728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过热</w:t>
            </w:r>
          </w:p>
        </w:tc>
        <w:tc>
          <w:tcPr>
            <w:tcW w:w="1728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样本内   累计 / 年化</w:t>
            </w:r>
          </w:p>
        </w:tc>
        <w:tc>
          <w:tcPr>
            <w:tcW w:w="1728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样本外   累计 / 年化</w:t>
            </w:r>
          </w:p>
        </w:tc>
        <w:tc>
          <w:tcPr>
            <w:tcW w:w="1728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全周期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10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开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+350% / +35.3%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+312% / +67.8%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+1722%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10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关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+366% / +36.2%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+281% / +63.0%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+1584%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20（定稿）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开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+330% / +34.1%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+464% / +88.1%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+2338%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20（定稿）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关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+893% / +58.6%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+434% / +84.4%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+5168%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40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开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+53% / +8.9%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+563% / +99.5%</w:t>
            </w:r>
          </w:p>
        </w:tc>
        <w:tc>
          <w:tcPr>
            <w:tcW w:w="1728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+928%</w:t>
            </w:r>
          </w:p>
        </w:tc>
      </w:tr>
      <w:tr>
        <w:trPr/>
        <w:tc>
          <w:tcPr>
            <w:tcW w:w="1728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40</w:t>
            </w:r>
          </w:p>
        </w:tc>
        <w:tc>
          <w:tcPr>
            <w:tcW w:w="1728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关</w:t>
            </w:r>
          </w:p>
        </w:tc>
        <w:tc>
          <w:tcPr>
            <w:tcW w:w="1728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+273% / +30.3%</w:t>
            </w:r>
          </w:p>
        </w:tc>
        <w:tc>
          <w:tcPr>
            <w:tcW w:w="1728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+556% / +98.8%</w:t>
            </w:r>
          </w:p>
        </w:tc>
        <w:tc>
          <w:tcPr>
            <w:tcW w:w="1728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+2376%</w:t>
            </w:r>
          </w:p>
        </w:tc>
      </w:tr>
    </w:tbl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20 日窗口最优且稳健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：样本内</w:t>
      </w:r>
      <w:r>
        <w:rPr>
          <w:sz w:val="18"/>
        </w:rPr>
        <w:t xml:space="preserve"> 10/20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接近，样本外</w:t>
      </w:r>
      <w:r>
        <w:rPr>
          <w:sz w:val="18"/>
        </w:rPr>
        <w:t xml:space="preserve"> 20/40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接近，综合</w:t>
      </w:r>
      <w:r>
        <w:rPr>
          <w:sz w:val="18"/>
        </w:rPr>
        <w:t xml:space="preserve"> 20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日最均衡；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样本外不衰减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：定稿配置样本外年化</w:t>
      </w:r>
      <w:r>
        <w:rPr>
          <w:sz w:val="18"/>
        </w:rPr>
        <w:t xml:space="preserve"> +84.4%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高于样本内</w:t>
      </w:r>
      <w:r>
        <w:rPr>
          <w:sz w:val="18"/>
        </w:rPr>
        <w:t xml:space="preserve"> +58.6%——</w:t>
      </w:r>
      <w:r>
        <w:rPr>
          <w:rFonts w:hint="eastAsia" w:ascii="微软雅黑" w:hAnsi="微软雅黑" w:eastAsia="微软雅黑" w:cs="微软雅黑"/>
          <w:sz w:val="18"/>
          <w:lang w:eastAsia="zh-CN"/>
        </w:rPr>
        <w:t>但样本外恰逢趋势大年，环境偏友好；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敏感性极大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：网格全周期</w:t>
      </w:r>
      <w:r>
        <w:rPr>
          <w:sz w:val="18"/>
        </w:rPr>
        <w:t xml:space="preserve"> +761% ~ +5168%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</w:t>
      </w:r>
      <w:r>
        <w:rPr>
          <w:sz w:val="18"/>
        </w:rPr>
        <w:t xml:space="preserve">6.8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倍跨度），账面成绩必须向网格中位数折现。</w:t>
      </w: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六、防守腿专题：收益贡献与危机情景</w:t>
            </w:r>
          </w:p>
        </w:tc>
      </w:tr>
    </w:tbl>
    <w:p>
      <w:pPr>
        <w:spacing w:line="360" w:lineRule="auto"/>
        <w:rPr/>
      </w:pP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6.1 防守腿贡献拆解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组合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防守时间占比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512890  防守段贡献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若换逆回购 (2.0%) 损失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A  腿组合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51%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+75.9%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−136pct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B-V1  组合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55%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+92.8%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−395pct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b/>
              </w:rPr>
              <w:t>V2-P1 组合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59%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+94.9%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  <w:b/>
              </w:rPr>
              <w:t>−1591pct</w:t>
            </w:r>
          </w:p>
        </w:tc>
      </w:tr>
    </w:tbl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防守腿用</w:t>
      </w:r>
      <w:r>
        <w:rPr>
          <w:sz w:val="18"/>
        </w:rPr>
        <w:t xml:space="preserve"> 512890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而非逆回购，是全周期收益的重要组成部分。对</w:t>
      </w:r>
      <w:r>
        <w:rPr>
          <w:sz w:val="18"/>
        </w:rPr>
        <w:t xml:space="preserve">"AI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金融危机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担忧的正确应对是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人工暂停进攻信号</w:t>
      </w:r>
      <w:r>
        <w:rPr>
          <w:rFonts w:hint="eastAsia" w:ascii="微软雅黑" w:hAnsi="微软雅黑" w:eastAsia="微软雅黑" w:cs="微软雅黑"/>
          <w:sz w:val="18"/>
          <w:lang w:eastAsia="zh-CN"/>
        </w:rPr>
        <w:t>或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防守腿半仓逆回购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，而非整体降级防守腿。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6.2 系统性危机下防守腿回撤预估</w:t>
      </w:r>
    </w:p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以上证红利指数（</w:t>
      </w:r>
      <w:r>
        <w:rPr>
          <w:sz w:val="18"/>
        </w:rPr>
        <w:t>000015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</w:t>
      </w:r>
      <w:r>
        <w:rPr>
          <w:sz w:val="18"/>
        </w:rPr>
        <w:t xml:space="preserve">2005–2026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长历史）做危机类比：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危机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红利指数  DD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jc w:val="right"/>
              <w:rPr/>
            </w:pPr>
            <w:r>
              <w:rPr>
                <w:rFonts w:ascii="Calibri" w:hAnsi="Calibri" w:eastAsia="Calibri"/>
                <w:b/>
                <w:sz w:val="14"/>
              </w:rPr>
              <w:t>上证  DD</w:t>
            </w:r>
          </w:p>
        </w:tc>
        <w:tc>
          <w:tcPr>
            <w:tcW w:w="216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抗跌比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2008  全球金融危机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−74.3%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−72.0%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1.03 （不抗跌）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2015  股灾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−47.7%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−48.6%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0.98 （不抗跌）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2018  去杠杆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−26.4%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−30.8%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0.86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2020  疫情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−17.1%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−14.4%</w:t>
            </w:r>
          </w:p>
        </w:tc>
        <w:tc>
          <w:tcPr>
            <w:tcW w:w="216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1.19 （更跌）</w:t>
            </w:r>
          </w:p>
        </w:tc>
      </w:tr>
      <w:tr>
        <w:trPr/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2022  熊市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−16.7%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jc w:val="right"/>
              <w:rPr/>
            </w:pPr>
            <w:r>
              <w:rPr>
                <w:rFonts w:ascii="Calibri" w:hAnsi="Calibri" w:eastAsia="Calibri"/>
              </w:rPr>
              <w:t>−21.6%</w:t>
            </w:r>
          </w:p>
        </w:tc>
        <w:tc>
          <w:tcPr>
            <w:tcW w:w="216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0.77</w:t>
            </w:r>
          </w:p>
        </w:tc>
      </w:tr>
    </w:tbl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系统性危机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</w:t>
      </w:r>
      <w:r>
        <w:rPr>
          <w:sz w:val="18"/>
        </w:rPr>
        <w:t xml:space="preserve">2008/2015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式无差别抛售）：</w:t>
      </w:r>
      <w:r>
        <w:rPr>
          <w:sz w:val="18"/>
        </w:rPr>
        <w:t xml:space="preserve">512890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预估</w:t>
      </w:r>
      <w:r>
        <w:rPr>
          <w:sz w:val="18"/>
        </w:rPr>
        <w:t xml:space="preserve"> DD </w:t>
      </w:r>
      <w:r>
        <w:rPr>
          <w:b/>
          <w:sz w:val="18"/>
        </w:rPr>
        <w:t>25–35%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</w:t>
      </w:r>
      <w:r>
        <w:rPr>
          <w:sz w:val="18"/>
        </w:rPr>
        <w:t xml:space="preserve">2008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级极端</w:t>
      </w:r>
      <w:r>
        <w:rPr>
          <w:sz w:val="18"/>
        </w:rPr>
        <w:t xml:space="preserve"> 35%+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结构性慢熊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</w:t>
      </w:r>
      <w:r>
        <w:rPr>
          <w:sz w:val="18"/>
        </w:rPr>
        <w:t xml:space="preserve">2022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式资金切防御）：预估</w:t>
      </w:r>
      <w:r>
        <w:rPr>
          <w:sz w:val="18"/>
        </w:rPr>
        <w:t xml:space="preserve"> DD </w:t>
      </w:r>
      <w:r>
        <w:rPr>
          <w:b/>
          <w:sz w:val="18"/>
        </w:rPr>
        <w:t>13–17%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（与样本内最差段</w:t>
      </w:r>
      <w:r>
        <w:rPr>
          <w:sz w:val="18"/>
        </w:rPr>
        <w:t xml:space="preserve"> −16.6%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一致）；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缓冲因素：策略防守段平均持有期有限，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卖出信号会缩短暴露；</w:t>
      </w:r>
    </w:p>
    <w:p>
      <w:pPr>
        <w:pStyle w:val="00002c"/>
        <w:spacing w:after="72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风险因素：红利股</w:t>
      </w:r>
      <w:r>
        <w:rPr>
          <w:sz w:val="18"/>
        </w:rPr>
        <w:t xml:space="preserve"> 2021–2025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已连涨多年，危机时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避风港溢价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弱于</w:t>
      </w:r>
      <w:r>
        <w:rPr>
          <w:sz w:val="18"/>
        </w:rPr>
        <w:t xml:space="preserve"> 2022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七、对标档位与短板清单</w:t>
            </w:r>
          </w:p>
        </w:tc>
      </w:tr>
    </w:tbl>
    <w:p>
      <w:pPr>
        <w:spacing w:line="360" w:lineRule="auto"/>
        <w:rPr/>
      </w:pP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7.1 档位定位（长期年化口径）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档位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标准</w:t>
            </w:r>
          </w:p>
        </w:tc>
        <w:tc>
          <w:tcPr>
            <w:tcW w:w="2880" w:type="dxa"/>
            <w:tcBorders>
              <w:top w:val="single" w:color="1A1A1A" w:sz="12" w:space="0"/>
              <w:left w:val="none" w:color="000000" w:sz="6" w:space="0"/>
              <w:bottom w:val="single" w:color="1A1A1A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35" w:after="35" w:line="240" w:lineRule="auto"/>
              <w:rPr/>
            </w:pPr>
            <w:r>
              <w:rPr>
                <w:b/>
                <w:sz w:val="14"/>
              </w:rPr>
              <w:t>代表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T0  传奇层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35%+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文艺复兴大奖章（费后  ~39% ，容量锁死）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T1  顶级职业层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20–30%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头部量化私募指增巅峰期、顶级主观巅峰期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T2  优秀职业层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15–20%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长期顶流公募、头部指增正常年份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T3  良好机构层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10–15%</w:t>
            </w:r>
          </w:p>
        </w:tc>
        <w:tc>
          <w:tcPr>
            <w:tcW w:w="2880" w:type="dxa"/>
            <w:tcBorders>
              <w:left w:val="none" w:color="000000" w:sz="6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偏股基金指数、耶鲁模式、红利低波</w:t>
            </w:r>
          </w:p>
        </w:tc>
      </w:tr>
      <w:tr>
        <w:trPr/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T4  基准层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5–10%</w:t>
            </w:r>
          </w:p>
        </w:tc>
        <w:tc>
          <w:tcPr>
            <w:tcW w:w="2880" w:type="dxa"/>
            <w:tcBorders>
              <w:left w:val="none" w:color="000000" w:sz="6" w:space="0"/>
              <w:bottom w:val="single" w:color="1A1A1A" w:sz="12" w:space="0"/>
              <w:right w:val="none" w:color="000000" w:sz="6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沪深 300 、 60/40 、全天候、永久组合</w:t>
            </w:r>
          </w:p>
        </w:tc>
      </w:tr>
    </w:tbl>
    <w:p>
      <w:pPr>
        <w:spacing w:after="144" w:line="360" w:lineRule="auto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回测账面（年化</w:t>
      </w:r>
      <w:r>
        <w:rPr>
          <w:sz w:val="18"/>
        </w:rPr>
        <w:t xml:space="preserve"> 59.3% / Calmar 2.02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）表面</w:t>
      </w:r>
      <w:r>
        <w:rPr>
          <w:sz w:val="18"/>
        </w:rPr>
        <w:t xml:space="preserve"> T0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，但这是网格上沿</w:t>
      </w:r>
      <w:r>
        <w:rPr>
          <w:sz w:val="18"/>
        </w:rPr>
        <w:t xml:space="preserve"> +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趋势大年后视镜，不可当真；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诚实折现（前瞻 15–25% / 回撤 20–30% / Calmar 0.7–1.0）→ T1–T2 之间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，即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优秀职业玩家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档。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7.2 六大短板（按严重度排序）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信号源不可自动化（最致命）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0AMV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是付费指标、靠人工手抄</w:t>
      </w:r>
      <w:r>
        <w:rPr>
          <w:sz w:val="18"/>
        </w:rPr>
        <w:t>——</w:t>
      </w:r>
      <w:r>
        <w:rPr>
          <w:rFonts w:hint="eastAsia" w:ascii="微软雅黑" w:hAnsi="微软雅黑" w:eastAsia="微软雅黑" w:cs="微软雅黑"/>
          <w:sz w:val="18"/>
          <w:lang w:eastAsia="zh-CN"/>
        </w:rPr>
        <w:t>漏看一天纪律即崩；</w:t>
      </w:r>
      <w:r>
        <w:rPr>
          <w:sz w:val="18"/>
        </w:rPr>
        <w:t xml:space="preserve">proxy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复刻噪音大未验证；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过拟合残余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：参数网格全周期跨度</w:t>
      </w:r>
      <w:r>
        <w:rPr>
          <w:sz w:val="18"/>
        </w:rPr>
        <w:t xml:space="preserve"> 6.8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倍；样本外只有趋势大年，缺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新阴跌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检验；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防守腿尾部风险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：系统性危机红利不避险，危机时防守腿可能单月</w:t>
      </w:r>
      <w:r>
        <w:rPr>
          <w:sz w:val="18"/>
        </w:rPr>
        <w:t xml:space="preserve"> −10%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以上；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容量与冲击成本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：全仓</w:t>
      </w:r>
      <w:r>
        <w:rPr>
          <w:sz w:val="18"/>
        </w:rPr>
        <w:t xml:space="preserve"> 1–2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</w:t>
      </w:r>
      <w:r>
        <w:rPr>
          <w:sz w:val="18"/>
        </w:rPr>
        <w:t xml:space="preserve"> ETF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，小规模主题冲击成本未计，资金上千万后收益被侵蚀；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单点纪律风险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T+1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收盘手动执行，连续缺席或情绪化干预即破坏统计期望；</w:t>
      </w:r>
    </w:p>
    <w:p>
      <w:pPr>
        <w:pStyle w:val="000032"/>
        <w:numPr>
          <w:ilvl w:val="0"/>
          <w:numId w:val="2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回撤心理关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 xml:space="preserve">29%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最大回撤对应实盘</w:t>
      </w:r>
      <w:r>
        <w:rPr>
          <w:sz w:val="18"/>
        </w:rPr>
        <w:t xml:space="preserve">"100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万变</w:t>
      </w:r>
      <w:r>
        <w:rPr>
          <w:sz w:val="18"/>
        </w:rPr>
        <w:t xml:space="preserve"> 71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万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，多数人会在谷底放弃策略。</w:t>
      </w:r>
    </w:p>
    <w:p>
      <w:pPr>
        <w:pStyle w:val="00000a"/>
        <w:pBdr>
          <w:left w:val="single" w:color="1A237E" w:sz="24" w:space="9"/>
        </w:pBdr>
        <w:spacing w:before="176" w:after="154" w:line="360" w:lineRule="auto"/>
        <w:rPr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7.3 补短板三刀（路线图）</w:t>
      </w:r>
    </w:p>
    <w:p>
      <w:pPr>
        <w:pStyle w:val="000032"/>
        <w:numPr>
          <w:ilvl w:val="0"/>
          <w:numId w:val="3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信号自动化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：开发</w:t>
      </w:r>
      <w:r>
        <w:rPr>
          <w:sz w:val="18"/>
        </w:rPr>
        <w:t xml:space="preserve"> 0AMV proxy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，与真值半年并行对照，误差可控后切换自动信号源；</w:t>
      </w:r>
    </w:p>
    <w:p>
      <w:pPr>
        <w:pStyle w:val="000032"/>
        <w:numPr>
          <w:ilvl w:val="0"/>
          <w:numId w:val="3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实盘验证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：小仓实盘</w:t>
      </w:r>
      <w:r>
        <w:rPr>
          <w:sz w:val="18"/>
        </w:rPr>
        <w:t xml:space="preserve"> 6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个月，验证执行摩擦与信号时效，达标后再放大；</w:t>
      </w:r>
    </w:p>
    <w:p>
      <w:pPr>
        <w:pStyle w:val="000032"/>
        <w:numPr>
          <w:ilvl w:val="0"/>
          <w:numId w:val="3"/>
        </w:numPr>
        <w:spacing w:after="72"/>
        <w:rPr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危机熔断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：建立宏观熔断清单，触发时防守腿临时切逆回购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货基，对冲系统性危机尾部风险。</w:t>
      </w:r>
    </w:p>
    <w:tbl>
      <w:tblPr>
        <w:tblStyle w:val="0000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shd w:val="clear" w:color="auto" w:fill="1A237E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rPr/>
            </w:pPr>
            <w:r>
              <w:rPr>
                <w:b/>
                <w:color w:val="FFFFFF"/>
                <w:sz w:val="26"/>
              </w:rPr>
              <w:t>八、风险提示（必读）</w:t>
            </w:r>
          </w:p>
        </w:tc>
      </w:tr>
    </w:tbl>
    <w:p>
      <w:pPr>
        <w:spacing w:line="360" w:lineRule="auto"/>
        <w:rPr/>
      </w:pP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1A237E" w:sz="18" w:space="0"/>
            </w:tcBorders>
            <w:shd w:val="clear" w:color="auto" w:fill="EEF2F9"/>
            <w:tcMar>
              <w:top w:w="192" w:type="dxa"/>
              <w:left w:w="240" w:type="dxa"/>
              <w:bottom w:w="192" w:type="dxa"/>
              <w:right w:w="240" w:type="dxa"/>
            </w:tcMar>
            <w:vAlign w:val="center"/>
          </w:tcPr>
          <w:p>
            <w:pPr>
              <w:spacing w:before="45" w:after="45" w:line="240" w:lineRule="auto"/>
              <w:rPr/>
            </w:pPr>
            <w:r>
              <w:rPr>
                <w:rFonts w:ascii="黑体" w:hAnsi="黑体"/>
                <w:b/>
                <w:color w:val="1A237E"/>
                <w:sz w:val="18"/>
              </w:rPr>
              <w:t>风险提示</w:t>
            </w:r>
            <w:r>
              <w:rPr>
                <w:sz w:val="18"/>
              </w:rPr>
              <w:t xml:space="preserve">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过拟合风险</w:t>
            </w:r>
            <w:r>
              <w:rPr>
                <w:sz w:val="18"/>
              </w:rPr>
              <w:t xml:space="preserve">：策略参数均在 2019–2026 历史数据上调优，参数网格全周期收益跨度达 6.8 倍，未来收益可能大幅低于回测值；前瞻按年化 15–25% 折现仍可能高估。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样本偏差风险</w:t>
            </w:r>
            <w:r>
              <w:rPr>
                <w:sz w:val="18"/>
              </w:rPr>
              <w:t xml:space="preserve">：44 只 ETF 池为手工名单，存在幸存者偏差残留；样本外验证期（2024–2026）恰逢趋势大年，未经历阴跌的样本外检验。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信号源依赖风险</w:t>
            </w:r>
            <w:r>
              <w:rPr>
                <w:sz w:val="18"/>
              </w:rPr>
              <w:t xml:space="preserve">：0AMV 为第三方付费指标，存在停售、口径变更、人工抄录错误的可能；信号不可自动化导致执行纪律存在单点故障。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防守腿风险</w:t>
            </w:r>
            <w:r>
              <w:rPr>
                <w:sz w:val="18"/>
              </w:rPr>
              <w:t xml:space="preserve">：历史数据显示系统性危机中红利类资产不避险（2008/2015 抗跌比约 1.0），防守腿在危机中可能出现 25–35% 回撤。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流动性与成本风险</w:t>
            </w:r>
            <w:r>
              <w:rPr>
                <w:sz w:val="18"/>
              </w:rPr>
              <w:t xml:space="preserve">：回测按单边 0.1% 成本计，小规模主题 ETF 实际冲击成本可能显著更高；策略全仓 1–2 只 ETF，容量有限。 </w:t>
            </w:r>
          </w:p>
          <w:p>
            <w:pPr>
              <w:spacing w:before="45" w:after="45" w:line="240" w:lineRule="auto"/>
              <w:rPr/>
            </w:pPr>
            <w:r>
              <w:rPr>
                <w:b/>
                <w:sz w:val="18"/>
              </w:rPr>
              <w:t>回撤风险</w:t>
            </w:r>
            <w:r>
              <w:rPr>
                <w:sz w:val="18"/>
              </w:rPr>
              <w:t>：回测最大回撤 29.3%，前瞻应按 20–30% 预期；极端情形下可能超出历史范围。</w:t>
            </w:r>
          </w:p>
        </w:tc>
      </w:tr>
    </w:tbl>
    <w:p>
      <w:pPr>
        <w:rPr/>
      </w:pPr>
    </w:p>
    <w:p>
      <w:pPr>
        <w:rPr/>
      </w:pPr>
    </w:p>
    <w:p>
      <w:pPr>
        <w:spacing w:after="72"/>
        <w:rPr/>
      </w:pPr>
      <w:r>
        <w:rPr>
          <w:rFonts w:hint="eastAsia" w:ascii="微软雅黑" w:hAnsi="微软雅黑" w:eastAsia="微软雅黑" w:cs="微软雅黑"/>
          <w:b/>
          <w:color w:val="1A1A1A"/>
          <w:sz w:val="18"/>
          <w:lang w:eastAsia="zh-CN"/>
        </w:rPr>
        <w:t>免责声明</w:t>
      </w:r>
    </w:p>
    <w:p>
      <w:pPr>
        <w:spacing w:after="72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本材料为个人量化策略研究归档，全部内容基于历史数据回测，回测结果不代表未来表现，过往业绩不预示未来收益。文中所有收益数字均已标注回测口径（</w:t>
      </w:r>
      <w:r>
        <w:rPr>
          <w:sz w:val="18"/>
        </w:rPr>
        <w:t xml:space="preserve">T+1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收盘成交、单边成本</w:t>
      </w:r>
      <w:r>
        <w:rPr>
          <w:sz w:val="18"/>
        </w:rPr>
        <w:t xml:space="preserve"> 0.1%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且存在参数过拟合、幸存者偏差、样本外环境偏友好等多重局限。本材料不构成任何证券投资建议、要约或招揽，也不构成对任何证券买卖的推荐。证券市场有风险，投资需谨慎。任何依据本材料内容进行的投资操作，风险与后果由操作者自行承担。</w:t>
      </w:r>
    </w:p>
    <w:p>
      <w:pPr>
        <w:spacing w:after="72"/>
        <w:rPr/>
      </w:pPr>
      <w:r>
        <w:rPr>
          <w:rFonts w:hint="eastAsia" w:ascii="微软雅黑" w:hAnsi="微软雅黑" w:eastAsia="微软雅黑" w:cs="微软雅黑"/>
          <w:sz w:val="18"/>
          <w:lang w:eastAsia="zh-CN"/>
        </w:rPr>
        <w:t>归档信息：策略代码与数据见</w:t>
      </w:r>
      <w:r>
        <w:rPr>
          <w:sz w:val="18"/>
        </w:rPr>
        <w:t xml:space="preserve"> 0amv/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项目目录（</w:t>
      </w:r>
      <w:r>
        <w:rPr>
          <w:sz w:val="18"/>
        </w:rPr>
        <w:t xml:space="preserve">bt_v2.py / bt_v2_grid.py / defense_analysis.py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等）；</w:t>
      </w:r>
      <w:r>
        <w:rPr>
          <w:sz w:val="18"/>
        </w:rPr>
        <w:t xml:space="preserve">B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腿分段台账见</w:t>
      </w:r>
      <w:r>
        <w:rPr>
          <w:sz w:val="18"/>
        </w:rPr>
        <w:t xml:space="preserve"> B</w:t>
      </w:r>
      <w:r>
        <w:rPr>
          <w:rFonts w:hint="eastAsia" w:ascii="微软雅黑" w:hAnsi="微软雅黑" w:eastAsia="微软雅黑" w:cs="微软雅黑"/>
          <w:sz w:val="18"/>
          <w:lang w:eastAsia="zh-CN"/>
        </w:rPr>
        <w:t>腿分段台账</w:t>
      </w:r>
      <w:r>
        <w:rPr>
          <w:sz w:val="18"/>
        </w:rPr>
        <w:t>_2019-2026.csv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；研究底稿见</w:t>
      </w:r>
      <w:r>
        <w:rPr>
          <w:sz w:val="18"/>
        </w:rPr>
        <w:t xml:space="preserve"> 0amv/README.md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第</w:t>
      </w:r>
      <w:r>
        <w:rPr>
          <w:sz w:val="18"/>
        </w:rPr>
        <w:t xml:space="preserve"> 7–14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节。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156"/>
        <w:tab w:val="right" w:pos="8312"/>
      </w:tabs>
      <w:rPr/>
    </w:pPr>
    <w:r>
      <w:rPr/>
      <w:tab/>
    </w:r>
    <w:r>
      <w:rPr/>
      <w:fldChar w:fldCharType="begin" w:fldLock="false" w:dirty="false"/>
    </w:r>
    <w:r>
      <w:rPr/>
      <w:instrText>PAGE</w:instrText>
    </w:r>
    <w:r>
      <w:rPr/>
      <w:fldChar w:fldCharType="separate" w:fldLock="false" w:dirty="false"/>
    </w:r>
    <w:r>
      <w:rPr/>
      <w:fldChar w:fldCharType="end" w:fldLock="false" w:dirty="false"/>
    </w:r>
    <w:r>
      <w:rPr/>
      <w:tab/>
    </w:r>
  </w:p>
</w:ftr>
</file>

<file path=word/numbering.xml><?xml version="1.0" encoding="utf-8"?>
<w:numbering xmlns:w="http://schemas.openxmlformats.org/wordprocessingml/2006/main"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updateFields/>
  <w:compat>
    <w:useFELayout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List 2 Accent 2" w:uiPriority="66" w:semiHidden="false" w:unhideWhenUsed="false"/>
    <w:lsdException w:name="Medium Shading 2 Accent 1" w:uiPriority="64" w:semiHidden="false" w:unhideWhenUsed="false"/>
    <w:lsdException w:name="Colorful Shading Accent 6" w:uiPriority="71" w:semiHidden="false" w:unhideWhenUsed="false"/>
    <w:lsdException w:name="Medium Grid 3 Accent 2" w:uiPriority="69" w:semiHidden="false" w:unhideWhenUsed="false"/>
    <w:lsdException w:name="Light Grid Accent 2" w:uiPriority="62" w:semiHidden="false" w:unhideWhenUsed="false"/>
    <w:lsdException w:name="Medium List 2 Accent 5" w:uiPriority="66" w:semiHidden="false" w:unhideWhenUsed="false"/>
    <w:lsdException w:name="toc 1" w:uiPriority="39"/>
    <w:lsdException w:name="Light Grid" w:uiPriority="62" w:semiHidden="false" w:unhideWhenUsed="false"/>
    <w:lsdException w:name="Medium Grid 3 Accent 3" w:uiPriority="69" w:semiHidden="false" w:unhideWhenUsed="false"/>
    <w:lsdException w:name="Light Shading Accent 1" w:uiPriority="60" w:semiHidden="false" w:unhideWhenUsed="false"/>
    <w:lsdException w:name="TOC Heading" w:uiPriority="39" w:qFormat="true"/>
    <w:lsdException w:name="toc 4" w:uiPriority="39"/>
    <w:lsdException w:name="Medium List 1 Accent 1" w:uiPriority="65" w:semiHidden="false" w:unhideWhenUsed="false"/>
    <w:lsdException w:name="Medium Grid 3 Accent 5" w:uiPriority="69" w:semiHidden="false" w:unhideWhenUsed="false"/>
    <w:lsdException w:name="Colorful Shading Accent 3" w:uiPriority="71" w:semiHidden="false" w:unhideWhenUsed="false"/>
    <w:lsdException w:name="Medium Grid 2 Accent 3" w:uiPriority="68" w:semiHidden="false" w:unhideWhenUsed="false"/>
    <w:lsdException w:name="toc 3" w:uiPriority="39"/>
    <w:lsdException w:name="Medium Shading 2 Accent 3" w:uiPriority="64" w:semiHidden="false" w:unhideWhenUsed="false"/>
    <w:lsdException w:name="Medium Shading 2 Accent 2" w:uiPriority="64" w:semiHidden="false" w:unhideWhenUsed="false"/>
    <w:lsdException w:name="Light Grid Accent 3" w:uiPriority="62" w:semiHidden="false" w:unhideWhenUsed="false"/>
    <w:lsdException w:name="Medium Grid 1" w:uiPriority="67" w:semiHidden="false" w:unhideWhenUsed="false"/>
    <w:lsdException w:name="Medium List 2 Accent 4" w:uiPriority="66" w:semiHidden="false" w:unhideWhenUsed="false"/>
    <w:lsdException w:name="toc 7" w:uiPriority="39"/>
    <w:lsdException w:name="Colorful List" w:uiPriority="72" w:semiHidden="false" w:unhideWhenUsed="false"/>
    <w:lsdException w:name="toc 9" w:uiPriority="39"/>
    <w:lsdException w:name="Medium List 2 Accent 1" w:uiPriority="66" w:semiHidden="false" w:unhideWhenUsed="false"/>
    <w:lsdException w:name="Placeholder Text" w:unhideWhenUsed="false"/>
    <w:lsdException w:name="Medium List 1 Accent 6" w:uiPriority="65" w:semiHidden="false" w:unhideWhenUsed="false"/>
    <w:lsdException w:name="Medium Grid 1 Accent 1" w:uiPriority="67" w:semiHidden="false" w:unhideWhenUsed="false"/>
    <w:lsdException w:name="Colorful Grid Accent 4" w:uiPriority="73" w:semiHidden="false" w:unhideWhenUsed="false"/>
    <w:lsdException w:name="Light Shading" w:uiPriority="60" w:semiHidden="false" w:unhideWhenUsed="false"/>
    <w:lsdException w:name="Medium Grid 2 Accent 1" w:uiPriority="68" w:semiHidden="false" w:unhideWhenUsed="false"/>
    <w:lsdException w:name="Medium Grid 1 Accent 3" w:uiPriority="67" w:semiHidden="false" w:unhideWhenUsed="false"/>
    <w:lsdException w:name="Colorful Shading Accent 2" w:uiPriority="71" w:semiHidden="false" w:unhideWhenUsed="false"/>
    <w:lsdException w:name="Light Shading Accent 6" w:uiPriority="60" w:semiHidden="false" w:unhideWhenUsed="false"/>
    <w:lsdException w:name="Light Shading Accent 5" w:uiPriority="60" w:semiHidden="false" w:unhideWhenUsed="false"/>
    <w:lsdException w:name="Light List Accent 2" w:uiPriority="61" w:semiHidden="false" w:unhideWhenUsed="false"/>
    <w:lsdException w:name="Medium Shading 2" w:uiPriority="64" w:semiHidden="false" w:unhideWhenUsed="false"/>
    <w:lsdException w:name="Colorful List Accent 1" w:uiPriority="72" w:semiHidden="false" w:unhideWhenUsed="false"/>
    <w:lsdException w:name="Medium Shading 1 Accent 6" w:uiPriority="63" w:semiHidden="false" w:unhideWhenUsed="false"/>
    <w:lsdException w:name="Medium Shading 1 Accent 1" w:uiPriority="63" w:semiHidden="false" w:unhideWhenUsed="false"/>
    <w:lsdException w:name="toc 2" w:uiPriority="39"/>
    <w:lsdException w:name="Intense Quote" w:uiPriority="30" w:semiHidden="false" w:unhideWhenUsed="false" w:qFormat="true"/>
    <w:lsdException w:name="Light List" w:uiPriority="61" w:semiHidden="false" w:unhideWhenUsed="false"/>
    <w:lsdException w:name="Subtle Emphasis" w:uiPriority="19" w:semiHidden="false" w:unhideWhenUsed="false" w:qFormat="true"/>
    <w:lsdException w:name="Colorful Shading" w:uiPriority="71" w:semiHidden="false" w:unhideWhenUsed="false"/>
    <w:lsdException w:name="Medium Grid 1 Accent 4" w:uiPriority="67" w:semiHidden="false" w:unhideWhenUsed="false"/>
    <w:lsdException w:name="Medium Grid 1 Accent 2" w:uiPriority="67" w:semiHidden="false" w:unhideWhenUsed="false"/>
    <w:lsdException w:name="Medium Shading 1 Accent 4" w:uiPriority="63" w:semiHidden="false" w:unhideWhenUsed="false"/>
    <w:lsdException w:name="Colorful Grid Accent 6" w:uiPriority="73" w:semiHidden="false" w:unhideWhenUsed="false"/>
    <w:lsdException w:name="Medium Shading 1" w:uiPriority="63" w:semiHidden="false" w:unhideWhenUsed="false"/>
    <w:lsdException w:name="Medium Grid 2 Accent 4" w:uiPriority="68" w:semiHidden="false" w:unhideWhenUsed="false"/>
    <w:lsdException w:name="No Spacing" w:uiPriority="1" w:semiHidden="false" w:unhideWhenUsed="false" w:qFormat="true"/>
    <w:lsdException w:name="Bibliography" w:uiPriority="37"/>
    <w:lsdException w:name="Default Paragraph Font" w:uiPriority="1"/>
    <w:lsdException w:name="Medium Grid 1 Accent 5" w:uiPriority="67" w:semiHidden="false" w:unhideWhenUsed="false"/>
    <w:lsdException w:name="Colorful Grid Accent 1" w:uiPriority="73" w:semiHidden="false" w:unhideWhenUsed="false"/>
    <w:lsdException w:name="toc 6" w:uiPriority="39"/>
    <w:lsdException w:name="Medium List 2" w:uiPriority="66" w:semiHidden="false" w:unhideWhenUsed="false"/>
    <w:lsdException w:name="Light Shading Accent 3" w:uiPriority="60" w:semiHidden="false" w:unhideWhenUsed="false"/>
    <w:lsdException w:name="Medium Grid 3 Accent 1" w:uiPriority="69" w:semiHidden="false" w:unhideWhenUsed="false"/>
    <w:lsdException w:name="Medium Grid 3" w:uiPriority="69" w:semiHidden="false" w:unhideWhenUsed="false"/>
    <w:lsdException w:name="Medium Grid 3 Accent 4" w:uiPriority="69" w:semiHidden="false" w:unhideWhenUsed="false"/>
    <w:lsdException w:name="Medium Shading 2 Accent 5" w:uiPriority="64" w:semiHidden="false" w:unhideWhenUsed="false"/>
    <w:lsdException w:name="Light List Accent 5" w:uiPriority="61" w:semiHidden="false" w:unhideWhenUsed="false"/>
    <w:lsdException w:name="Medium Shading 1 Accent 5" w:uiPriority="63" w:semiHidden="false" w:unhideWhenUsed="false"/>
    <w:lsdException w:name="Medium Grid 2" w:uiPriority="68" w:semiHidden="false" w:unhideWhenUsed="false"/>
    <w:lsdException w:name="Quote" w:uiPriority="29" w:semiHidden="false" w:unhideWhenUsed="false" w:qFormat="true"/>
    <w:lsdException w:name="Revision" w:unhideWhenUsed="false"/>
    <w:lsdException w:name="Light List Accent 4" w:uiPriority="61" w:semiHidden="false" w:unhideWhenUsed="false"/>
    <w:lsdException w:name="Medium List 2 Accent 3" w:uiPriority="66" w:semiHidden="false" w:unhideWhenUsed="false"/>
    <w:lsdException w:name="Subtle Reference" w:uiPriority="31" w:semiHidden="false" w:unhideWhenUsed="false" w:qFormat="true"/>
    <w:lsdException w:name="Colorful Grid Accent 2" w:uiPriority="73" w:semiHidden="false" w:unhideWhenUsed="false"/>
    <w:lsdException w:name="Colorful List Accent 2" w:uiPriority="72" w:semiHidden="false" w:unhideWhenUsed="false"/>
    <w:lsdException w:name="Light Grid Accent 6" w:uiPriority="62" w:semiHidden="false" w:unhideWhenUsed="false"/>
    <w:lsdException w:name="Dark List Accent 2" w:uiPriority="70" w:semiHidden="false" w:unhideWhenUsed="false"/>
    <w:lsdException w:name="Light List Accent 3" w:uiPriority="61" w:semiHidden="false" w:unhideWhenUsed="false"/>
    <w:lsdException w:name="heading 8" w:uiPriority="9" w:qFormat="true"/>
    <w:lsdException w:name="Subtitle" w:uiPriority="11" w:semiHidden="false" w:unhideWhenUsed="false" w:qFormat="true"/>
    <w:lsdException w:name="Medium Shading 1 Accent 2" w:uiPriority="63" w:semiHidden="false" w:unhideWhenUsed="false"/>
    <w:lsdException w:name="Colorful Grid Accent 5" w:uiPriority="73" w:semiHidden="false" w:unhideWhenUsed="false"/>
    <w:lsdException w:name="Light List Accent 6" w:uiPriority="61" w:semiHidden="false" w:unhideWhenUsed="false"/>
    <w:lsdException w:name="Normal" w:uiPriority="0" w:semiHidden="false" w:unhideWhenUsed="false" w:qFormat="true"/>
    <w:lsdException w:name="Colorful List Accent 4" w:uiPriority="72" w:semiHidden="false" w:unhideWhenUsed="false"/>
    <w:lsdException w:name="Title" w:uiPriority="10" w:semiHidden="false" w:unhideWhenUsed="false" w:qFormat="true"/>
    <w:lsdException w:name="Medium List 1 Accent 5" w:uiPriority="65" w:semiHidden="false" w:unhideWhenUsed="false"/>
    <w:lsdException w:name="Medium List 1 Accent 4" w:uiPriority="65" w:semiHidden="false" w:unhideWhenUsed="false"/>
    <w:lsdException w:name="toc 8" w:uiPriority="39"/>
    <w:lsdException w:name="Dark List" w:uiPriority="70" w:semiHidden="false" w:unhideWhenUsed="false"/>
    <w:lsdException w:name="Intense Reference" w:uiPriority="32" w:semiHidden="false" w:unhideWhenUsed="false" w:qFormat="true"/>
    <w:lsdException w:name="Medium Grid 2 Accent 6" w:uiPriority="68" w:semiHidden="false" w:unhideWhenUsed="false"/>
    <w:lsdException w:name="Light Grid Accent 1" w:uiPriority="62" w:semiHidden="false" w:unhideWhenUsed="false"/>
    <w:lsdException w:name="Dark List Accent 5" w:uiPriority="70" w:semiHidden="false" w:unhideWhenUsed="false"/>
    <w:lsdException w:name="Light Grid Accent 4" w:uiPriority="62" w:semiHidden="false" w:unhideWhenUsed="false"/>
    <w:lsdException w:name="Medium Shading 2 Accent 4" w:uiPriority="64" w:semiHidden="false" w:unhideWhenUsed="false"/>
    <w:lsdException w:name="Medium Grid 2 Accent 2" w:uiPriority="68" w:semiHidden="false" w:unhideWhenUsed="false"/>
    <w:lsdException w:name="Colorful Grid" w:uiPriority="73" w:semiHidden="false" w:unhideWhenUsed="false"/>
    <w:lsdException w:name="heading 2" w:uiPriority="9" w:qFormat="true"/>
    <w:lsdException w:name="heading 6" w:uiPriority="9" w:qFormat="true"/>
    <w:lsdException w:name="heading 7" w:uiPriority="9" w:qFormat="true"/>
    <w:lsdException w:name="Medium Grid 2 Accent 5" w:uiPriority="68" w:semiHidden="false" w:unhideWhenUsed="false"/>
    <w:lsdException w:name="Light Shading Accent 2" w:uiPriority="60" w:semiHidden="false" w:unhideWhenUsed="false"/>
    <w:lsdException w:name="toc 5" w:uiPriority="39"/>
    <w:lsdException w:name="Medium Grid 1 Accent 6" w:uiPriority="67" w:semiHidden="false" w:unhideWhenUsed="false"/>
    <w:lsdException w:name="Light Shading Accent 4" w:uiPriority="60" w:semiHidden="false" w:unhideWhenUsed="false"/>
    <w:lsdException w:name="Emphasis" w:uiPriority="20" w:semiHidden="false" w:unhideWhenUsed="false" w:qFormat="true"/>
    <w:lsdException w:name="heading 5" w:uiPriority="9" w:qFormat="true"/>
    <w:lsdException w:name="Colorful Grid Accent 3" w:uiPriority="73" w:semiHidden="false" w:unhideWhenUsed="false"/>
    <w:lsdException w:name="Colorful Shading Accent 5" w:uiPriority="71" w:semiHidden="false" w:unhideWhenUsed="false"/>
    <w:lsdException w:name="Light Grid Accent 5" w:uiPriority="62" w:semiHidden="false" w:unhideWhenUsed="false"/>
    <w:lsdException w:name="Light List Accent 1" w:uiPriority="61" w:semiHidden="false" w:unhideWhenUsed="false"/>
    <w:lsdException w:name="Colorful List Accent 5" w:uiPriority="72" w:semiHidden="false" w:unhideWhenUsed="false"/>
    <w:lsdException w:name="Intense Emphasis" w:uiPriority="21" w:semiHidden="false" w:unhideWhenUsed="false" w:qFormat="true"/>
    <w:lsdException w:name="Medium Grid 3 Accent 6" w:uiPriority="69" w:semiHidden="false" w:unhideWhenUsed="false"/>
    <w:lsdException w:name="Medium Shading 1 Accent 3" w:uiPriority="63" w:semiHidden="false" w:unhideWhenUsed="false"/>
    <w:lsdException w:name="caption" w:uiPriority="35" w:qFormat="true"/>
    <w:lsdException w:name="heading 9" w:uiPriority="9" w:qFormat="true"/>
    <w:lsdException w:name="Strong" w:uiPriority="22" w:semiHidden="false" w:unhideWhenUsed="false" w:qFormat="true"/>
    <w:lsdException w:name="Colorful Shading Accent 4" w:uiPriority="71" w:semiHidden="false" w:unhideWhenUsed="false"/>
    <w:lsdException w:name="Dark List Accent 3" w:uiPriority="70" w:semiHidden="false" w:unhideWhenUsed="false"/>
    <w:lsdException w:name="Medium List 1 Accent 2" w:uiPriority="65" w:semiHidden="false" w:unhideWhenUsed="false"/>
    <w:lsdException w:name="Medium List 1 Accent 3" w:uiPriority="65" w:semiHidden="false" w:unhideWhenUsed="false"/>
    <w:lsdException w:name="heading 3" w:uiPriority="9" w:qFormat="true"/>
    <w:lsdException w:name="Medium Shading 2 Accent 6" w:uiPriority="64" w:semiHidden="false" w:unhideWhenUsed="false"/>
    <w:lsdException w:name="Colorful List Accent 6" w:uiPriority="72" w:semiHidden="false" w:unhideWhenUsed="false"/>
    <w:lsdException w:name="Medium List 2 Accent 6" w:uiPriority="66" w:semiHidden="false" w:unhideWhenUsed="false"/>
    <w:lsdException w:name="heading 1" w:uiPriority="9" w:semiHidden="false" w:unhideWhenUsed="false" w:qFormat="true"/>
    <w:lsdException w:name="List Paragraph" w:uiPriority="34" w:semiHidden="false" w:unhideWhenUsed="false" w:qFormat="true"/>
    <w:lsdException w:name="Dark List Accent 6" w:uiPriority="70" w:semiHidden="false" w:unhideWhenUsed="false"/>
    <w:lsdException w:name="Dark List Accent 4" w:uiPriority="70" w:semiHidden="false" w:unhideWhenUsed="false"/>
    <w:lsdException w:name="Book Title" w:uiPriority="33" w:semiHidden="false" w:unhideWhenUsed="false" w:qFormat="true"/>
    <w:lsdException w:name="Colorful Shading Accent 1" w:uiPriority="71" w:semiHidden="false" w:unhideWhenUsed="false"/>
    <w:lsdException w:name="Colorful List Accent 3" w:uiPriority="72" w:semiHidden="false" w:unhideWhenUsed="false"/>
    <w:lsdException w:name="Dark List Accent 1" w:uiPriority="70" w:semiHidden="false" w:unhideWhenUsed="false"/>
    <w:lsdException w:name="Medium List 1" w:uiPriority="65" w:semiHidden="false" w:unhideWhenUsed="false"/>
    <w:lsdException w:name="Table Grid" w:uiPriority="59" w:semiHidden="false" w:unhideWhenUsed="false"/>
    <w:lsdException w:name="heading 4" w:uiPriority="9" w:qFormat="true"/>
  </w:latentStyles>
  <w:style w:type="character" w:styleId="0000be" w:customStyle="true">
    <w:name w:val="Heading 1 Char"/>
    <w:basedOn w:val="0000cf"/>
    <w:link w:val="0000bd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dc">
    <w:name w:val="Body Text 3"/>
    <w:basedOn w:val="0000bc"/>
    <w:link w:val="0000dd"/>
    <w:uiPriority w:val="99"/>
    <w:unhideWhenUsed/>
    <w:rsid w:val="00AA1D8D"/>
    <w:pPr>
      <w:spacing w:after="120"/>
    </w:pPr>
    <w:rPr>
      <w:sz w:val="16"/>
      <w:szCs w:val="16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39">
    <w:name w:val="Medium Grid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30">
    <w:name w:val="Medium Grid 1 Accent 5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4"/>
      </w:numPr>
      <w:contextualSpacing/>
    </w:pPr>
  </w:style>
  <w:style w:type="table" w:styleId="000123">
    <w:name w:val="Medium List 1 Accent 6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13b">
    <w:name w:val="Medium Grid 3 Accent 2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2e">
    <w:name w:val="Medium Grid 1 Accent 3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paragraph" w:styleId="0000f1">
    <w:name w:val="Intense Quote"/>
    <w:basedOn w:val="0000bc"/>
    <w:next w:val="0000bc"/>
    <w:link w:val="0000f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ca" w:customStyle="true">
    <w:name w:val="Heading 7 Char"/>
    <w:basedOn w:val="0000cf"/>
    <w:link w:val="0000c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15a">
    <w:name w:val="Colorful Grid Accent 5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</w:style>
  <w:style w:type="paragraph" w:styleId="0000e8">
    <w:name w:val="List Continue 2"/>
    <w:basedOn w:val="0000bc"/>
    <w:uiPriority w:val="99"/>
    <w:unhideWhenUsed/>
    <w:rsid w:val="0029639D"/>
    <w:pPr>
      <w:spacing w:after="120"/>
      <w:ind w:left="720"/>
      <w:contextualSpacing/>
    </w:pPr>
  </w:style>
  <w:style w:type="table" w:styleId="00012b">
    <w:name w:val="Medium Grid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26">
    <w:name w:val="Medium List 2 Accen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c">
    <w:name w:val="Light Shading Accent 2"/>
    <w:basedOn w:val="0000d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45">
    <w:name w:val="Dark List Accent 5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46">
    <w:name w:val="Dark List Accent 6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ef">
    <w:name w:val="Strong"/>
    <w:basedOn w:val="0000cf"/>
    <w:uiPriority w:val="22"/>
    <w:qFormat/>
    <w:rsid w:val="00FC693F"/>
    <w:rPr>
      <w:b/>
      <w:bCs/>
    </w:rPr>
  </w:style>
  <w:style w:type="character" w:styleId="000005" w:default="true">
    <w:name w:val="Default Paragraph Font"/>
    <w:uiPriority w:val="1"/>
    <w:semiHidden/>
    <w:unhideWhenUsed/>
  </w:style>
  <w:style w:type="table" w:styleId="000111">
    <w:name w:val="Medium Shading 1 Accent 2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d5">
    <w:name w:val="Subtitle"/>
    <w:basedOn w:val="0000bc"/>
    <w:next w:val="0000bc"/>
    <w:link w:val="0000d6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25">
    <w:name w:val="Medium List 2 Accent 1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a">
    <w:name w:val="Medium Grid 3 Accent 1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55">
    <w:name w:val="Colorful Grid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7">
    <w:name w:val="Colorful Grid Accent 2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2d">
    <w:name w:val="Medium Grid 1 Accent 2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149">
    <w:name w:val="Colorful Shading Accent 2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27">
    <w:name w:val="Medium List 2 Accent 3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table" w:styleId="00015b">
    <w:name w:val="Colorful Grid Accent 6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0a">
    <w:name w:val="Light Grid Accent 2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fb">
    <w:name w:val="Light Shading Accent 1"/>
    <w:basedOn w:val="0000d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d8">
    <w:name w:val="Body Text"/>
    <w:basedOn w:val="0000bc"/>
    <w:link w:val="0000d9"/>
    <w:uiPriority w:val="99"/>
    <w:unhideWhenUsed/>
    <w:rsid w:val="00AA1D8D"/>
    <w:pPr>
      <w:spacing w:after="120"/>
    </w:pPr>
  </w:style>
  <w:style w:type="table" w:styleId="000119">
    <w:name w:val="Medium Shading 2 Accent 3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paragraph" w:styleId="0000e3">
    <w:name w:val="List Bullet 3"/>
    <w:basedOn w:val="0000bc"/>
    <w:uiPriority w:val="99"/>
    <w:unhideWhenUsed/>
    <w:rsid w:val="00326F90"/>
    <w:pPr>
      <w:numPr>
        <w:numId w:val="4"/>
      </w:numPr>
      <w:contextualSpacing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58">
    <w:name w:val="Colorful Grid Accent 3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d9" w:customStyle="true">
    <w:name w:val="Body Text Char"/>
    <w:basedOn w:val="0000cf"/>
    <w:link w:val="0000d8"/>
    <w:uiPriority w:val="99"/>
    <w:rsid w:val="00AA1D8D"/>
  </w:style>
  <w:style w:type="table" w:styleId="000144">
    <w:name w:val="Dark List Accent 4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0d">
    <w:name w:val="Light Grid Accent 5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e9">
    <w:name w:val="List Continue 3"/>
    <w:basedOn w:val="0000bc"/>
    <w:uiPriority w:val="99"/>
    <w:unhideWhenUsed/>
    <w:rsid w:val="0029639D"/>
    <w:pPr>
      <w:spacing w:after="120"/>
      <w:ind w:left="1080"/>
      <w:contextualSpacing/>
    </w:pPr>
  </w:style>
  <w:style w:type="character" w:styleId="0000f4">
    <w:name w:val="Intense Emphasis"/>
    <w:basedOn w:val="0000cf"/>
    <w:uiPriority w:val="21"/>
    <w:qFormat/>
    <w:rsid w:val="00FC693F"/>
    <w:rPr>
      <w:b/>
      <w:bCs/>
      <w:i/>
      <w:iCs/>
      <w:color w:val="4F81BD" w:themeColor="accent1"/>
    </w:rPr>
  </w:style>
  <w:style w:type="table" w:styleId="000140">
    <w:name w:val="Dark List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</w:style>
  <w:style w:type="table" w:styleId="000137">
    <w:name w:val="Medium Grid 2 Accent 5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paragraph" w:styleId="00002e">
    <w:name w:val="List Bullet 2"/>
    <w:basedOn w:val="000002"/>
    <w:uiPriority w:val="99"/>
    <w:unhideWhenUsed/>
    <w:rsid w:val="00326F90"/>
    <w:pPr>
      <w:numPr>
        <w:numId w:val="5"/>
      </w:numPr>
      <w:contextualSpacing/>
    </w:p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2" w:customStyle="true">
    <w:name w:val="Heading 3 Char"/>
    <w:basedOn w:val="0000cf"/>
    <w:link w:val="0000c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c1">
    <w:name w:val="heading 3"/>
    <w:basedOn w:val="0000bc"/>
    <w:next w:val="0000bc"/>
    <w:link w:val="0000c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32">
    <w:name w:val="List Number"/>
    <w:basedOn w:val="000002"/>
    <w:uiPriority w:val="99"/>
    <w:unhideWhenUsed/>
    <w:rsid w:val="00326F90"/>
    <w:pPr>
      <w:numPr>
        <w:numId w:val="6"/>
      </w:numPr>
      <w:contextualSpacing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4f">
    <w:name w:val="Colorful List Accent 1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c5">
    <w:name w:val="heading 5"/>
    <w:basedOn w:val="0000bc"/>
    <w:next w:val="0000bc"/>
    <w:link w:val="0000c6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4" w:customStyle="true">
    <w:name w:val="Header Char"/>
    <w:basedOn w:val="000005"/>
    <w:link w:val="000003"/>
    <w:uiPriority w:val="99"/>
    <w:rsid w:val="00E618BF"/>
  </w:style>
  <w:style w:type="numbering" w:styleId="0000d1" w:default="true">
    <w:name w:val="No List"/>
    <w:uiPriority w:val="99"/>
    <w:semiHidden/>
    <w:unhideWhenUsed/>
  </w:style>
  <w:style w:type="table" w:styleId="000120">
    <w:name w:val="Medium List 1 Accent 3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156">
    <w:name w:val="Colorful Grid Accent 1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2f">
    <w:name w:val="Medium Grid 1 Accent 4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</w:style>
  <w:style w:type="table" w:styleId="000118">
    <w:name w:val="Medium Shading 2 Accent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d2">
    <w:name w:val="No Spacing"/>
    <w:uiPriority w:val="1"/>
    <w:qFormat/>
    <w:rsid w:val="00FC693F"/>
    <w:pPr>
      <w:spacing w:after="0" w:line="240" w:lineRule="auto"/>
    </w:p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paragraph" w:styleId="0000c3">
    <w:name w:val="heading 4"/>
    <w:basedOn w:val="0000bc"/>
    <w:next w:val="0000bc"/>
    <w:link w:val="0000c4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4d">
    <w:name w:val="Colorful Shading Accent 6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fe">
    <w:name w:val="Light Shading Accent 4"/>
    <w:basedOn w:val="0000d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21">
    <w:name w:val="Medium List 1 Accent 4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48">
    <w:name w:val="Colorful Shading Accent 1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paragraph" w:styleId="000002" w:default="true">
    <w:name w:val="Normal"/>
    <w:qFormat/>
    <w:rsid w:val="00FC693F"/>
    <w:pPr>
      <w:spacing w:line="306" w:lineRule="auto"/>
    </w:pPr>
    <w:rPr>
      <w:rFonts w:ascii="微软雅黑" w:hAnsi="微软雅黑" w:eastAsia="微软雅黑"/>
      <w:color w:val="1A1A1A"/>
      <w:sz w:val="18"/>
    </w:rPr>
  </w:style>
  <w:style w:type="character" w:styleId="0000c8" w:customStyle="true">
    <w:name w:val="Heading 6 Char"/>
    <w:basedOn w:val="0000cf"/>
    <w:link w:val="0000c7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eb" w:customStyle="true">
    <w:name w:val="Macro Text Char"/>
    <w:basedOn w:val="0000cf"/>
    <w:link w:val="0000ea"/>
    <w:uiPriority w:val="99"/>
    <w:rsid w:val="0029639D"/>
    <w:rPr>
      <w:rFonts w:ascii="Courier" w:hAnsi="Courier"/>
      <w:sz w:val="20"/>
      <w:szCs w:val="20"/>
    </w:rPr>
  </w:style>
  <w:style w:type="table" w:styleId="0000fd">
    <w:name w:val="Light Shading Accent 3"/>
    <w:basedOn w:val="0000d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1">
    <w:name w:val="Colorful List Accent 3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db" w:customStyle="true">
    <w:name w:val="Body Text 2 Char"/>
    <w:basedOn w:val="0000cf"/>
    <w:link w:val="0000da"/>
    <w:uiPriority w:val="99"/>
    <w:rsid w:val="00AA1D8D"/>
  </w:style>
  <w:style w:type="table" w:styleId="000102">
    <w:name w:val="Light List Accent 1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</w:style>
  <w:style w:type="table" w:styleId="00014b">
    <w:name w:val="Colorful Shading Accent 4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paragraph" w:styleId="0000c9">
    <w:name w:val="heading 7"/>
    <w:basedOn w:val="0000bc"/>
    <w:next w:val="0000bc"/>
    <w:link w:val="0000ca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16">
    <w:name w:val="Medium Shading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f">
    <w:name w:val="List 2"/>
    <w:basedOn w:val="0000bc"/>
    <w:uiPriority w:val="99"/>
    <w:unhideWhenUsed/>
    <w:rsid w:val="00326F90"/>
    <w:pPr>
      <w:ind w:left="720" w:hanging="360"/>
      <w:contextualSpacing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bf">
    <w:name w:val="heading 2"/>
    <w:basedOn w:val="0000bc"/>
    <w:next w:val="0000bc"/>
    <w:link w:val="0000c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bd">
    <w:name w:val="heading 1"/>
    <w:basedOn w:val="0000bc"/>
    <w:next w:val="0000bc"/>
    <w:link w:val="0000b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3f">
    <w:name w:val="Medium Grid 3 Accent 6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29">
    <w:name w:val="Medium List 2 Accent 5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c">
    <w:name w:val="Colorful Shading Accent 5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11b">
    <w:name w:val="Medium Shading 2 Accent 5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f7">
    <w:name w:val="Book Title"/>
    <w:basedOn w:val="0000cf"/>
    <w:uiPriority w:val="33"/>
    <w:qFormat/>
    <w:rsid w:val="00FC693F"/>
    <w:rPr>
      <w:b/>
      <w:bCs/>
      <w:smallCaps/>
      <w:spacing w:val="5"/>
    </w:rPr>
  </w:style>
  <w:style w:type="table" w:styleId="00014e">
    <w:name w:val="Colorful List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</w:style>
  <w:style w:type="character" w:styleId="0000c0" w:customStyle="true">
    <w:name w:val="Heading 2 Char"/>
    <w:basedOn w:val="0000cf"/>
    <w:link w:val="0000bf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d6" w:customStyle="true">
    <w:name w:val="Subtitle Char"/>
    <w:basedOn w:val="0000cf"/>
    <w:link w:val="0000d5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01">
    <w:name w:val="Light List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108">
    <w:name w:val="Light Grid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ea">
    <w:name w:val="macro"/>
    <w:link w:val="0000e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4a">
    <w:name w:val="Colorful Shading Accent 3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1a">
    <w:name w:val="Medium Shading 2 Accent 4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e">
    <w:name w:val="List"/>
    <w:basedOn w:val="0000bc"/>
    <w:uiPriority w:val="99"/>
    <w:unhideWhenUsed/>
    <w:rsid w:val="00AA1D8D"/>
    <w:pPr>
      <w:ind w:left="360" w:hanging="360"/>
      <w:contextualSpacing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bc" w:default="true">
    <w:name w:val="Normal"/>
    <w:qFormat/>
    <w:rsid w:val="00FC693F"/>
  </w:style>
  <w:style w:type="table" w:styleId="000142">
    <w:name w:val="Dark List Accent 2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f0">
    <w:name w:val="Emphasis"/>
    <w:basedOn w:val="0000cf"/>
    <w:uiPriority w:val="20"/>
    <w:qFormat/>
    <w:rsid w:val="00FC693F"/>
    <w:rPr>
      <w:i/>
      <w:iCs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fa">
    <w:name w:val="Light Shading"/>
    <w:basedOn w:val="0000d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14">
    <w:name w:val="Medium Shading 1 Accent 5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c4" w:customStyle="true">
    <w:name w:val="Heading 4 Char"/>
    <w:basedOn w:val="0000cf"/>
    <w:link w:val="0000c3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</w:style>
  <w:style w:type="paragraph" w:styleId="0000da">
    <w:name w:val="Body Text 2"/>
    <w:basedOn w:val="0000bc"/>
    <w:link w:val="0000db"/>
    <w:uiPriority w:val="99"/>
    <w:unhideWhenUsed/>
    <w:rsid w:val="00AA1D8D"/>
    <w:pPr>
      <w:spacing w:after="120" w:line="480" w:lineRule="auto"/>
    </w:pPr>
  </w:style>
  <w:style w:type="table" w:styleId="000117">
    <w:name w:val="Medium Shading 2 Accent 1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numbering" w:styleId="00001b" w:default="true">
    <w:name w:val="No List"/>
    <w:uiPriority w:val="99"/>
    <w:semiHidden/>
    <w:unhideWhenUsed/>
  </w:style>
  <w:style w:type="table" w:styleId="000106">
    <w:name w:val="Light List Accent 5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50">
    <w:name w:val="Colorful List Accent 2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e2">
    <w:name w:val="List Bullet 2"/>
    <w:basedOn w:val="0000bc"/>
    <w:uiPriority w:val="99"/>
    <w:unhideWhenUsed/>
    <w:rsid w:val="00326F90"/>
    <w:pPr>
      <w:numPr>
        <w:numId w:val="5"/>
      </w:numPr>
      <w:contextualSpacing/>
    </w:pPr>
  </w:style>
  <w:style w:type="table" w:styleId="000152">
    <w:name w:val="Colorful List Accent 4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131">
    <w:name w:val="Medium Grid 1 Accent 6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table" w:styleId="000105">
    <w:name w:val="Light List Accent 4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f2" w:customStyle="true">
    <w:name w:val="Intense Quote Char"/>
    <w:basedOn w:val="0000cf"/>
    <w:link w:val="0000f1"/>
    <w:uiPriority w:val="30"/>
    <w:rsid w:val="00FC693F"/>
    <w:rPr>
      <w:b/>
      <w:bCs/>
      <w:i/>
      <w:iCs/>
      <w:color w:val="4F81BD" w:themeColor="accent1"/>
    </w:rPr>
  </w:style>
  <w:style w:type="table" w:styleId="000154">
    <w:name w:val="Colorful List Accent 6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5">
    <w:name w:val="Medium Grid 2 Accent 3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2">
    <w:name w:val="Medium Shading 1 Accent 3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character" w:styleId="0000cf" w:default="true">
    <w:name w:val="Default Paragraph Font"/>
    <w:uiPriority w:val="1"/>
    <w:semiHidden/>
    <w:unhideWhenUsed/>
  </w:style>
  <w:style w:type="table" w:styleId="000107">
    <w:name w:val="Light List Accent 6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table" w:styleId="000109">
    <w:name w:val="Light Grid Accent 1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table" w:styleId="000124">
    <w:name w:val="Medium Lis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3">
    <w:name w:val="Light List Accent 2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32">
    <w:name w:val="Medium Grid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c" w:customStyle="true">
    <w:name w:val="Heading 8 Char"/>
    <w:basedOn w:val="0000cf"/>
    <w:link w:val="0000cb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3e">
    <w:name w:val="Medium Grid 3 Accent 5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36">
    <w:name w:val="Medium Grid 2 Accent 4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04">
    <w:name w:val="Light List Accent 3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41">
    <w:name w:val="Dark List Accent 1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8">
    <w:name w:val="Medium Grid 2 Accent 6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3c">
    <w:name w:val="Medium Grid 3 Accent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134">
    <w:name w:val="Medium Grid 2 Accent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5">
    <w:name w:val="List Number 2"/>
    <w:basedOn w:val="0000bc"/>
    <w:uiPriority w:val="99"/>
    <w:unhideWhenUsed/>
    <w:rsid w:val="0029639D"/>
    <w:pPr>
      <w:numPr>
        <w:numId w:val="7"/>
      </w:numPr>
      <w:contextualSpacing/>
    </w:pPr>
  </w:style>
  <w:style w:type="paragraph" w:styleId="0000e0">
    <w:name w:val="List 3"/>
    <w:basedOn w:val="0000bc"/>
    <w:uiPriority w:val="99"/>
    <w:unhideWhenUsed/>
    <w:rsid w:val="00326F90"/>
    <w:pPr>
      <w:ind w:left="1080" w:hanging="360"/>
      <w:contextualSpacing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1e">
    <w:name w:val="Medium List 1 Accen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f8">
    <w:name w:val="TOC Heading"/>
    <w:basedOn w:val="0000bd"/>
    <w:next w:val="0000bc"/>
    <w:uiPriority w:val="39"/>
    <w:semiHidden/>
    <w:unhideWhenUsed/>
    <w:qFormat/>
    <w:rsid w:val="00FC693F"/>
    <w:pPr>
      <w:outlineLvl w:val="9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11c">
    <w:name w:val="Medium Shading 2 Accent 6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f6">
    <w:name w:val="Intense Reference"/>
    <w:basedOn w:val="0000c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table" w:styleId="000122">
    <w:name w:val="Medium List 1 Accent 5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28">
    <w:name w:val="Medium List 2 Accent 4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10">
    <w:name w:val="Medium Shading 1 Accent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d">
    <w:name w:val="Medium Lis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e6">
    <w:name w:val="List Number 3"/>
    <w:basedOn w:val="0000bc"/>
    <w:uiPriority w:val="99"/>
    <w:unhideWhenUsed/>
    <w:rsid w:val="0029639D"/>
    <w:pPr>
      <w:numPr>
        <w:numId w:val="8"/>
      </w:numPr>
      <w:contextualSpacing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34">
    <w:name w:val="List Number 2"/>
    <w:basedOn w:val="000002"/>
    <w:uiPriority w:val="99"/>
    <w:unhideWhenUsed/>
    <w:rsid w:val="0029639D"/>
    <w:pPr>
      <w:numPr>
        <w:numId w:val="7"/>
      </w:numPr>
      <w:contextualSpacing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paragraph" w:styleId="0000ee">
    <w:name w:val="caption"/>
    <w:basedOn w:val="0000bc"/>
    <w:next w:val="0000bc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1">
    <w:name w:val="List Bullet"/>
    <w:basedOn w:val="0000bc"/>
    <w:uiPriority w:val="99"/>
    <w:unhideWhenUsed/>
    <w:rsid w:val="00326F90"/>
    <w:pPr>
      <w:numPr>
        <w:numId w:val="9"/>
      </w:numPr>
      <w:contextualSpacing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f3">
    <w:name w:val="Subtle Emphasis"/>
    <w:basedOn w:val="0000cf"/>
    <w:uiPriority w:val="19"/>
    <w:qFormat/>
    <w:rsid w:val="00FC693F"/>
    <w:rPr>
      <w:i/>
      <w:iCs/>
      <w:color w:val="808080" w:themeColor="text1" w:themeTint="7F"/>
    </w:rPr>
  </w:style>
  <w:style w:type="character" w:styleId="0000ed" w:customStyle="true">
    <w:name w:val="Quote Char"/>
    <w:basedOn w:val="0000cf"/>
    <w:link w:val="0000ec"/>
    <w:uiPriority w:val="29"/>
    <w:rsid w:val="00FC693F"/>
    <w:rPr>
      <w:i/>
      <w:iCs/>
      <w:color w:val="000000" w:themeColor="text1"/>
    </w:r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43">
    <w:name w:val="Dark List Accent 3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ec">
    <w:name w:val="Quote"/>
    <w:basedOn w:val="0000bc"/>
    <w:next w:val="0000bc"/>
    <w:link w:val="0000ed"/>
    <w:uiPriority w:val="29"/>
    <w:qFormat/>
    <w:rsid w:val="00FC693F"/>
    <w:rPr>
      <w:i/>
      <w:iCs/>
      <w:color w:val="000000" w:themeColor="text1"/>
    </w:rPr>
  </w:style>
  <w:style w:type="paragraph" w:styleId="0000c7">
    <w:name w:val="heading 6"/>
    <w:basedOn w:val="0000bc"/>
    <w:next w:val="0000bc"/>
    <w:link w:val="0000c8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cb">
    <w:name w:val="heading 8"/>
    <w:basedOn w:val="0000bc"/>
    <w:next w:val="0000bc"/>
    <w:link w:val="0000cc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4">
    <w:name w:val="List Number"/>
    <w:basedOn w:val="0000bc"/>
    <w:uiPriority w:val="99"/>
    <w:unhideWhenUsed/>
    <w:rsid w:val="00326F90"/>
    <w:pPr>
      <w:numPr>
        <w:numId w:val="6"/>
      </w:numPr>
      <w:contextualSpacing/>
    </w:p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11f">
    <w:name w:val="Medium List 1 Accent 2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133">
    <w:name w:val="Medium Grid 2 Accent 1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00">
    <w:name w:val="Light Shading Accent 6"/>
    <w:basedOn w:val="0000d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cd">
    <w:name w:val="heading 9"/>
    <w:basedOn w:val="0000bc"/>
    <w:next w:val="0000bc"/>
    <w:link w:val="0000c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115">
    <w:name w:val="Medium Shading 1 Accent 6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e7">
    <w:name w:val="List Continue"/>
    <w:basedOn w:val="0000bc"/>
    <w:uiPriority w:val="99"/>
    <w:unhideWhenUsed/>
    <w:rsid w:val="0029639D"/>
    <w:pPr>
      <w:spacing w:after="120"/>
      <w:ind w:left="360"/>
      <w:contextualSpacing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b">
    <w:name w:val="Light Grid Accent 3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0e">
    <w:name w:val="Light Grid Accent 6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ce" w:customStyle="true">
    <w:name w:val="Heading 9 Char"/>
    <w:basedOn w:val="0000cf"/>
    <w:link w:val="0000cd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0000d4" w:customStyle="true">
    <w:name w:val="Title Char"/>
    <w:basedOn w:val="0000cf"/>
    <w:link w:val="0000d3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f9">
    <w:name w:val="Table Grid"/>
    <w:basedOn w:val="0000d0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7">
    <w:name w:val="List Paragraph"/>
    <w:basedOn w:val="0000bc"/>
    <w:uiPriority w:val="34"/>
    <w:qFormat/>
    <w:rsid w:val="00FC693F"/>
    <w:pPr>
      <w:ind w:left="720"/>
      <w:contextualSpacing/>
    </w:pPr>
  </w:style>
  <w:style w:type="table" w:styleId="00012a">
    <w:name w:val="Medium List 2 Accent 6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d0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paragraph" w:styleId="0000d3">
    <w:name w:val="Title"/>
    <w:basedOn w:val="0000bc"/>
    <w:next w:val="0000bc"/>
    <w:link w:val="0000d4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13">
    <w:name w:val="Medium Shading 1 Accent 4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153">
    <w:name w:val="Colorful List Accent 5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47">
    <w:name w:val="Colorful Shading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9"/>
      </w:numPr>
      <w:contextualSpacing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159">
    <w:name w:val="Colorful Grid Accent 4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3d">
    <w:name w:val="Medium Grid 3 Accent 4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f5">
    <w:name w:val="Subtle Reference"/>
    <w:basedOn w:val="0000cf"/>
    <w:uiPriority w:val="31"/>
    <w:qFormat/>
    <w:rsid w:val="00FC693F"/>
    <w:rPr>
      <w:smallCaps/>
      <w:color w:val="C0504D" w:themeColor="accent2"/>
      <w:u w:val="single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12c">
    <w:name w:val="Medium Grid 1 Accent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0ff">
    <w:name w:val="Light Shading Accent 5"/>
    <w:basedOn w:val="0000d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0c">
    <w:name w:val="Light Grid Accent 4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dd" w:customStyle="true">
    <w:name w:val="Body Text 3 Char"/>
    <w:basedOn w:val="0000cf"/>
    <w:link w:val="0000dc"/>
    <w:uiPriority w:val="99"/>
    <w:rsid w:val="00AA1D8D"/>
    <w:rPr>
      <w:sz w:val="16"/>
      <w:szCs w:val="16"/>
    </w:rPr>
  </w:style>
  <w:style w:type="character" w:styleId="0000c6" w:customStyle="true">
    <w:name w:val="Heading 5 Char"/>
    <w:basedOn w:val="0000cf"/>
    <w:link w:val="0000c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10f">
    <w:name w:val="Medium Shading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6">
    <w:name w:val="List Number 3"/>
    <w:basedOn w:val="000002"/>
    <w:uiPriority w:val="99"/>
    <w:unhideWhenUsed/>
    <w:rsid w:val="0029639D"/>
    <w:pPr>
      <w:numPr>
        <w:numId w:val="8"/>
      </w:numPr>
      <w:contextualSpacing/>
    </w:p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2026-10-12T10:15:35Z</dcterms:created>
  <dcterms:modified xsi:type="dcterms:W3CDTF">2026-10-12T10:15:35Z</dcterms:modified>
</cp:coreProperties>
</file>