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連鎖生活用品零售集團 2025 年度全台營運檢討與 2026 策略轉型規劃報告</w:t>
      </w:r>
    </w:p>
    <w:p>
      <w:r>
        <w:t>撰寫人：總管理處營運分析組</w:t>
      </w:r>
    </w:p>
    <w:p>
      <w:r>
        <w:t>第一章 營運總體表現概述</w:t>
      </w:r>
    </w:p>
    <w:p>
      <w:r>
        <w:t>過去一年面對通膨壓力與電商平台持續低價促銷之雙重夾擊，本集團全台 45 間實體門市合併營業額達新台幣 8.4 億元，微幅衰退 2.3%。然而在自營品牌生活用品與健康居家品類中，毛利率逆勢成長 3.8 個百分點，顯示顧客對高性價比自有品牌之忠誠度顯著提升。</w:t>
      </w:r>
    </w:p>
    <w:p>
      <w:r>
        <w:t>第二章 各區域門市業績與獲利分析</w:t>
      </w:r>
    </w:p>
    <w:p>
      <w:r>
        <w:t>第一節 北區都會型門市營運評估</w:t>
      </w:r>
    </w:p>
    <w:p>
      <w:r>
        <w:t>北區 18 間門市營業額佔全集團 52%，但由於租金成本年增 7%，導致門市營業利益率由 14.5% 下滑至 11.8%。其中台北旗艦店與板橋車站店受惠於捷運人流，業績表現居冠；但郊區住宅型門市則出現來客數下滑警訊。</w:t>
      </w:r>
    </w:p>
    <w:p>
      <w:r>
        <w:t>第二節 中南區社區型門市營運評估</w:t>
      </w:r>
    </w:p>
    <w:p>
      <w:r>
        <w:t>中區 15 間門市與南區 12 間門市表現相對穩健，租金成本受控，且由於停車便利，大包裝家庭日用品銷量極佳。中南區毛利率平均達 34.2%，高於北區之 29.8%，為全集團獲利重要基石。</w:t>
      </w:r>
    </w:p>
    <w:p>
      <w:r>
        <w:t>第三章 庫存周轉率與呆滯品項診斷</w:t>
      </w:r>
    </w:p>
    <w:p>
      <w:r>
        <w:t>第一節 季節性商品過季庫存去化問題</w:t>
      </w:r>
    </w:p>
    <w:p>
      <w:r>
        <w:t>截至第四季結算，庫存天數（Days Sales of Inventory, DSI）由去年同期的 48 天惡化至 63 天。主要積壓品項集中於冬季保暖家電與夏季防曬配件，預估將產生約 1,200 萬元之存貨跌價損失提列。</w:t>
      </w:r>
    </w:p>
    <w:p>
      <w:r>
        <w:t>第二節 供應鏈自動補貨系統上線效益評估</w:t>
      </w:r>
    </w:p>
    <w:p>
      <w:r>
        <w:t>下半年於桃竹苗試點門市導入 AI 銷量預測與自動補貨模型，測試顯示缺貨率由 8.5% 顯著降至 2.1%，門市人員每日訂貨盤點工時由 90 分鐘銳減至 15 分鐘，成效卓著，建議 2026 年第一季全台全面推行。</w:t>
      </w:r>
    </w:p>
    <w:p>
      <w:r>
        <w:t>第四章 2026 年度轉型關鍵四部曲</w:t>
      </w:r>
    </w:p>
    <w:p>
      <w:r>
        <w:t>部曲一：關閉 3 間連續兩年虧損之高租金郊區門市。部曲二：全面推行 APP 線上下單、門市 1 小時快取服務。部曲三：自有品牌 SKU 數擴增 30%，拉高毛利空間。部曲四：實施門市績效分級浮動獎金激勵機制。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