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微軟正黑體" w:hAnsi="微軟正黑體"/>
          <w:b/>
          <w:color w:val="003366"/>
          <w:sz w:val="34"/>
        </w:rPr>
        <w:t>萬能科技大學 授課教學大綱與週次進度表</w:t>
      </w:r>
    </w:p>
    <w:p>
      <w:pPr>
        <w:spacing w:before="0" w:after="240"/>
        <w:jc w:val="center"/>
      </w:pPr>
      <w:r>
        <w:rPr>
          <w:rFonts w:ascii="微軟正黑體" w:hAnsi="微軟正黑體"/>
          <w:b/>
          <w:color w:val="4682B4"/>
          <w:sz w:val="23"/>
        </w:rPr>
        <w:t>課程名稱：企業資源規劃 (Enterprise Resource Planning) ｜ 2學分 (每週2小時)</w:t>
      </w:r>
    </w:p>
    <w:p>
      <w:pPr>
        <w:keepNext/>
        <w:spacing w:before="240" w:after="80"/>
      </w:pPr>
      <w:r>
        <w:rPr>
          <w:rFonts w:ascii="微軟正黑體" w:hAnsi="微軟正黑體"/>
          <w:b/>
          <w:color w:val="003366"/>
          <w:sz w:val="25"/>
        </w:rPr>
        <w:t>一、 課程基本資料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1728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微軟正黑體" w:hAnsi="微軟正黑體"/>
                <w:sz w:val="19"/>
              </w:rPr>
              <w:t>開課系所</w:t>
            </w:r>
          </w:p>
        </w:tc>
        <w:tc>
          <w:tcPr>
            <w:tcW w:type="dxa" w:w="3312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微軟正黑體" w:hAnsi="微軟正黑體"/>
                <w:sz w:val="19"/>
              </w:rPr>
              <w:t>管理與資訊相關科系</w:t>
            </w:r>
          </w:p>
        </w:tc>
        <w:tc>
          <w:tcPr>
            <w:tcW w:type="dxa" w:w="1728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微軟正黑體" w:hAnsi="微軟正黑體"/>
                <w:sz w:val="19"/>
              </w:rPr>
              <w:t>開課學期</w:t>
            </w:r>
          </w:p>
        </w:tc>
        <w:tc>
          <w:tcPr>
            <w:tcW w:type="dxa" w:w="3312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微軟正黑體" w:hAnsi="微軟正黑體"/>
                <w:sz w:val="19"/>
              </w:rPr>
              <w:t>114學年度第1/2學期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微軟正黑體" w:hAnsi="微軟正黑體"/>
                <w:sz w:val="19"/>
              </w:rPr>
              <w:t>授課教師</w:t>
            </w:r>
          </w:p>
        </w:tc>
        <w:tc>
          <w:tcPr>
            <w:tcW w:type="dxa" w:w="3312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微軟正黑體" w:hAnsi="微軟正黑體"/>
                <w:sz w:val="19"/>
              </w:rPr>
              <w:t>邱俊維 博士 / 專任教師</w:t>
            </w:r>
          </w:p>
        </w:tc>
        <w:tc>
          <w:tcPr>
            <w:tcW w:type="dxa" w:w="1728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微軟正黑體" w:hAnsi="微軟正黑體"/>
                <w:sz w:val="19"/>
              </w:rPr>
              <w:t>學分／時數</w:t>
            </w:r>
          </w:p>
        </w:tc>
        <w:tc>
          <w:tcPr>
            <w:tcW w:type="dxa" w:w="3312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微軟正黑體" w:hAnsi="微軟正黑體"/>
                <w:sz w:val="19"/>
              </w:rPr>
              <w:t>2 學分 ／ 每週 2 小時 (共 36 小時)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微軟正黑體" w:hAnsi="微軟正黑體"/>
                <w:sz w:val="19"/>
              </w:rPr>
              <w:t>修別</w:t>
            </w:r>
          </w:p>
        </w:tc>
        <w:tc>
          <w:tcPr>
            <w:tcW w:type="dxa" w:w="3312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微軟正黑體" w:hAnsi="微軟正黑體"/>
                <w:sz w:val="19"/>
              </w:rPr>
              <w:t>必修／選修</w:t>
            </w:r>
          </w:p>
        </w:tc>
        <w:tc>
          <w:tcPr>
            <w:tcW w:type="dxa" w:w="1728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微軟正黑體" w:hAnsi="微軟正黑體"/>
                <w:sz w:val="19"/>
              </w:rPr>
              <w:t>先修科目</w:t>
            </w:r>
          </w:p>
        </w:tc>
        <w:tc>
          <w:tcPr>
            <w:tcW w:type="dxa" w:w="3312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微軟正黑體" w:hAnsi="微軟正黑體"/>
                <w:sz w:val="19"/>
              </w:rPr>
              <w:t>管理學、計算機概論 (建議)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微軟正黑體" w:hAnsi="微軟正黑體"/>
                <w:sz w:val="19"/>
              </w:rPr>
              <w:t>輔導證照</w:t>
            </w:r>
          </w:p>
        </w:tc>
        <w:tc>
          <w:tcPr>
            <w:tcW w:type="dxa" w:w="13248"/>
            <w:gridSpan w:val="3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微軟正黑體" w:hAnsi="微軟正黑體"/>
                <w:sz w:val="19"/>
              </w:rPr>
              <w:t>中華企業資源規劃學會 (CERPS)「ERP 規劃師 / 基礎檢定」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微軟正黑體" w:hAnsi="微軟正黑體"/>
                <w:sz w:val="19"/>
              </w:rPr>
              <w:t>指定教材</w:t>
            </w:r>
          </w:p>
        </w:tc>
        <w:tc>
          <w:tcPr>
            <w:tcW w:type="dxa" w:w="13248"/>
            <w:gridSpan w:val="3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微軟正黑體" w:hAnsi="微軟正黑體"/>
                <w:sz w:val="19"/>
              </w:rPr>
              <w:t>1.《ERP企業資源規劃導論(第六版)》中華企業資源規劃學會 著 (AEE0405)</w:t>
              <w:br/>
              <w:t>2.《AI Agent導論與ERP自動化實務》前瞻輔助教材</w:t>
            </w:r>
          </w:p>
        </w:tc>
      </w:tr>
    </w:tbl>
    <w:p>
      <w:pPr>
        <w:keepNext/>
        <w:spacing w:before="240" w:after="80"/>
      </w:pPr>
      <w:r>
        <w:rPr>
          <w:rFonts w:ascii="微軟正黑體" w:hAnsi="微軟正黑體"/>
          <w:b/>
          <w:color w:val="003366"/>
          <w:sz w:val="25"/>
        </w:rPr>
        <w:t>二、 課程目標與核心能力培育 (OBE 導向)</w:t>
      </w:r>
    </w:p>
    <w:p>
      <w:pPr>
        <w:spacing w:before="0" w:after="80" w:line="276" w:lineRule="auto"/>
      </w:pPr>
      <w:r>
        <w:rPr>
          <w:rFonts w:ascii="微軟正黑體" w:hAnsi="微軟正黑體"/>
          <w:color w:val="333333"/>
          <w:sz w:val="20"/>
        </w:rPr>
        <w:t>本課程以「企業流程整合」為核心，對標「中華企業資源規劃學會 (CERPS) 專業認證」考點，並融入「現代 AI Agent 流程自動化」最新前瞻應用，培育兼具「流程思維」、「證照實力」與「數位前瞻力」之智慧商管人才。四大核心目標如下：</w:t>
      </w:r>
    </w:p>
    <w:p>
      <w:pPr>
        <w:spacing w:before="0" w:after="80" w:line="276" w:lineRule="auto"/>
      </w:pPr>
      <w:r>
        <w:rPr>
          <w:rFonts w:ascii="微軟正黑體" w:hAnsi="微軟正黑體"/>
          <w:b/>
          <w:color w:val="333333"/>
          <w:sz w:val="20"/>
        </w:rPr>
        <w:t>1. 企業流程整合力：</w:t>
      </w:r>
      <w:r>
        <w:rPr>
          <w:rFonts w:ascii="微軟正黑體" w:hAnsi="微軟正黑體"/>
          <w:color w:val="333333"/>
          <w:sz w:val="20"/>
        </w:rPr>
        <w:t>理解企業端到端核心營運流程（銷售、採購、庫存、生產、財務、人資、供應鏈、CRM）之資料流與資訊勾稽。</w:t>
      </w:r>
    </w:p>
    <w:p>
      <w:pPr>
        <w:spacing w:before="0" w:after="80" w:line="276" w:lineRule="auto"/>
      </w:pPr>
      <w:r>
        <w:rPr>
          <w:rFonts w:ascii="微軟正黑體" w:hAnsi="微軟正黑體"/>
          <w:b/>
          <w:color w:val="333333"/>
          <w:sz w:val="20"/>
        </w:rPr>
        <w:t>2. 系統運作與操作力：</w:t>
      </w:r>
      <w:r>
        <w:rPr>
          <w:rFonts w:ascii="微軟正黑體" w:hAnsi="微軟正黑體"/>
          <w:color w:val="333333"/>
          <w:sz w:val="20"/>
        </w:rPr>
        <w:t>掌握 ERP 系統主檔資料設定、單據流轉邏輯、權限控制與商業規則。</w:t>
      </w:r>
    </w:p>
    <w:p>
      <w:pPr>
        <w:spacing w:before="0" w:after="80" w:line="276" w:lineRule="auto"/>
      </w:pPr>
      <w:r>
        <w:rPr>
          <w:rFonts w:ascii="微軟正黑體" w:hAnsi="微軟正黑體"/>
          <w:b/>
          <w:color w:val="333333"/>
          <w:sz w:val="20"/>
        </w:rPr>
        <w:t>3. 專業證照通過力：</w:t>
      </w:r>
      <w:r>
        <w:rPr>
          <w:rFonts w:ascii="微軟正黑體" w:hAnsi="微軟正黑體"/>
          <w:color w:val="333333"/>
          <w:sz w:val="20"/>
        </w:rPr>
        <w:t>全程對標 CERPS 規劃師認證考綱，落實「課堂學習即考照複習」，達成學期末全班順利考取證照之目標。</w:t>
      </w:r>
    </w:p>
    <w:p>
      <w:pPr>
        <w:spacing w:before="0" w:after="80" w:line="276" w:lineRule="auto"/>
      </w:pPr>
      <w:r>
        <w:rPr>
          <w:rFonts w:ascii="微軟正黑體" w:hAnsi="微軟正黑體"/>
          <w:b/>
          <w:color w:val="333333"/>
          <w:sz w:val="20"/>
        </w:rPr>
        <w:t>4. 前瞻 AI 賦能力：</w:t>
      </w:r>
      <w:r>
        <w:rPr>
          <w:rFonts w:ascii="微軟正黑體" w:hAnsi="微軟正黑體"/>
          <w:color w:val="333333"/>
          <w:sz w:val="20"/>
        </w:rPr>
        <w:t>認識 LLM、AI Agent 與 n8n 在現代企業自動化訂單處理、智慧採購與對帳 Chatbot 中之創新實務。</w:t>
      </w:r>
    </w:p>
    <w:p>
      <w:pPr>
        <w:keepNext/>
        <w:spacing w:before="240" w:after="80"/>
      </w:pPr>
      <w:r>
        <w:rPr>
          <w:rFonts w:ascii="微軟正黑體" w:hAnsi="微軟正黑體"/>
          <w:b/>
          <w:color w:val="003366"/>
          <w:sz w:val="25"/>
        </w:rPr>
        <w:t>三、 成績評量方式</w:t>
      </w:r>
    </w:p>
    <w:p>
      <w:pPr>
        <w:spacing w:before="0" w:after="80" w:line="276" w:lineRule="auto"/>
      </w:pPr>
      <w:r>
        <w:rPr>
          <w:rFonts w:ascii="微軟正黑體" w:hAnsi="微軟正黑體"/>
          <w:b/>
          <w:color w:val="333333"/>
          <w:sz w:val="20"/>
        </w:rPr>
        <w:t xml:space="preserve">• </w:t>
      </w:r>
      <w:r>
        <w:rPr>
          <w:rFonts w:ascii="微軟正黑體" w:hAnsi="微軟正黑體"/>
          <w:color w:val="333333"/>
          <w:sz w:val="20"/>
        </w:rPr>
        <w:t>平時出缺席與課堂參與 (20%)：每週出席檢核、課堂互動與問答。</w:t>
      </w:r>
    </w:p>
    <w:p>
      <w:pPr>
        <w:spacing w:before="0" w:after="80" w:line="276" w:lineRule="auto"/>
      </w:pPr>
      <w:r>
        <w:rPr>
          <w:rFonts w:ascii="微軟正黑體" w:hAnsi="微軟正黑體"/>
          <w:b/>
          <w:color w:val="333333"/>
          <w:sz w:val="20"/>
        </w:rPr>
        <w:t xml:space="preserve">• </w:t>
      </w:r>
      <w:r>
        <w:rPr>
          <w:rFonts w:ascii="微軟正黑體" w:hAnsi="微軟正黑體"/>
          <w:color w:val="333333"/>
          <w:sz w:val="20"/>
        </w:rPr>
        <w:t>每週證照小測驗與隨堂作業 (20%)：CERPS 歷屆精選模擬試題線上測驗、課堂實作檢核。</w:t>
      </w:r>
    </w:p>
    <w:p>
      <w:pPr>
        <w:spacing w:before="0" w:after="80" w:line="276" w:lineRule="auto"/>
      </w:pPr>
      <w:r>
        <w:rPr>
          <w:rFonts w:ascii="微軟正黑體" w:hAnsi="微軟正黑體"/>
          <w:b/>
          <w:color w:val="333333"/>
          <w:sz w:val="20"/>
        </w:rPr>
        <w:t xml:space="preserve">• </w:t>
      </w:r>
      <w:r>
        <w:rPr>
          <w:rFonts w:ascii="微軟正黑體" w:hAnsi="微軟正黑體"/>
          <w:color w:val="333333"/>
          <w:sz w:val="20"/>
        </w:rPr>
        <w:t>期中考（理論與流程測驗）(25%)：CERPS 認證範圍 Part I (CH01~CH07) 模擬試題與流程圖解析。</w:t>
      </w:r>
    </w:p>
    <w:p>
      <w:pPr>
        <w:spacing w:before="0" w:after="80" w:line="276" w:lineRule="auto"/>
      </w:pPr>
      <w:r>
        <w:rPr>
          <w:rFonts w:ascii="微軟正黑體" w:hAnsi="微軟正黑體"/>
          <w:b/>
          <w:color w:val="333333"/>
          <w:sz w:val="20"/>
        </w:rPr>
        <w:t xml:space="preserve">• </w:t>
      </w:r>
      <w:r>
        <w:rPr>
          <w:rFonts w:ascii="微軟正黑體" w:hAnsi="微軟正黑體"/>
          <w:color w:val="333333"/>
          <w:sz w:val="20"/>
        </w:rPr>
        <w:t>期末考／證照檢定測驗 (25%)：CERPS 正式校園證照檢定考或期末綜合測驗。</w:t>
      </w:r>
    </w:p>
    <w:p>
      <w:pPr>
        <w:spacing w:before="0" w:after="80" w:line="276" w:lineRule="auto"/>
      </w:pPr>
      <w:r>
        <w:rPr>
          <w:rFonts w:ascii="微軟正黑體" w:hAnsi="微軟正黑體"/>
          <w:b/>
          <w:color w:val="333333"/>
          <w:sz w:val="20"/>
        </w:rPr>
        <w:t xml:space="preserve">• </w:t>
      </w:r>
      <w:r>
        <w:rPr>
          <w:rFonts w:ascii="微軟正黑體" w:hAnsi="微軟正黑體"/>
          <w:color w:val="333333"/>
          <w:sz w:val="20"/>
        </w:rPr>
        <w:t>AI 輔助企業流程專題 (10%)：分組進行 ERP 流程優化或 AI 訂單/採購自動化情境提案。</w:t>
      </w:r>
    </w:p>
    <w:p>
      <w:pPr>
        <w:keepNext/>
        <w:spacing w:before="240" w:after="80"/>
      </w:pPr>
      <w:r>
        <w:rPr>
          <w:rFonts w:ascii="微軟正黑體" w:hAnsi="微軟正黑體"/>
          <w:b/>
          <w:color w:val="003366"/>
          <w:sz w:val="25"/>
        </w:rPr>
        <w:t>四、 每週 2 小時課堂教學節奏設計 (100 分鐘標準配比)</w:t>
      </w:r>
    </w:p>
    <w:p>
      <w:pPr>
        <w:spacing w:before="0" w:after="80" w:line="276" w:lineRule="auto"/>
      </w:pPr>
      <w:r>
        <w:rPr>
          <w:rFonts w:ascii="微軟正黑體" w:hAnsi="微軟正黑體"/>
          <w:b/>
          <w:color w:val="333333"/>
          <w:sz w:val="20"/>
        </w:rPr>
        <w:t>【前半段】</w:t>
      </w:r>
      <w:r>
        <w:rPr>
          <w:rFonts w:ascii="微軟正黑體" w:hAnsi="微軟正黑體"/>
          <w:color w:val="333333"/>
          <w:sz w:val="20"/>
        </w:rPr>
        <w:t>第一節 (50分鐘) - 核心觀念精講與證照考點解析：</w:t>
      </w:r>
    </w:p>
    <w:p>
      <w:pPr>
        <w:spacing w:before="0" w:after="80" w:line="276" w:lineRule="auto"/>
      </w:pPr>
      <w:r>
        <w:rPr>
          <w:rFonts w:ascii="微軟正黑體" w:hAnsi="微軟正黑體"/>
          <w:color w:val="333333"/>
          <w:sz w:val="20"/>
        </w:rPr>
        <w:t>• 00~10 分鐘：破冰引言、時事企業案例痛點導入。</w:t>
        <w:br/>
        <w:t>• 10~40 分鐘：單元核心流程觀念精講、模組架構圖解與資料流向剖析。</w:t>
        <w:br/>
        <w:t>• 40~50 分鐘：CERPS 證照歷屆高頻精選考題實戰演練與盲點破解。</w:t>
      </w:r>
    </w:p>
    <w:p>
      <w:pPr>
        <w:spacing w:before="0" w:after="80" w:line="276" w:lineRule="auto"/>
      </w:pPr>
      <w:r>
        <w:rPr>
          <w:rFonts w:ascii="微軟正黑體" w:hAnsi="微軟正黑體"/>
          <w:b/>
          <w:color w:val="333333"/>
          <w:sz w:val="20"/>
        </w:rPr>
        <w:t>【後半段】</w:t>
      </w:r>
      <w:r>
        <w:rPr>
          <w:rFonts w:ascii="微軟正黑體" w:hAnsi="微軟正黑體"/>
          <w:color w:val="333333"/>
          <w:sz w:val="20"/>
        </w:rPr>
        <w:t>第二節 (50分鐘) - 流程實戰、情境演練與前瞻技術：</w:t>
      </w:r>
    </w:p>
    <w:p>
      <w:pPr>
        <w:spacing w:before="0" w:after="80" w:line="276" w:lineRule="auto"/>
      </w:pPr>
      <w:r>
        <w:rPr>
          <w:rFonts w:ascii="微軟正黑體" w:hAnsi="微軟正黑體"/>
          <w:color w:val="333333"/>
          <w:sz w:val="20"/>
        </w:rPr>
        <w:t>• 00~35 分鐘：企業情境模擬題演練、跨部門單據流轉實作或 AI 自動化展示。</w:t>
        <w:br/>
        <w:t>• 35~45 分鐘：分組討論成果檢核、操作易錯防呆提醒與觀念統整。</w:t>
        <w:br/>
        <w:t>• 45~50 分鐘：單元總結、線上隨堂快問快答 (Kahoot/Zuvio)、指派課後複習題。</w:t>
      </w:r>
    </w:p>
    <w:p>
      <w:pPr>
        <w:keepNext/>
        <w:spacing w:before="240" w:after="80"/>
      </w:pPr>
      <w:r>
        <w:rPr>
          <w:rFonts w:ascii="微軟正黑體" w:hAnsi="微軟正黑體"/>
          <w:b/>
          <w:color w:val="003366"/>
          <w:sz w:val="25"/>
        </w:rPr>
        <w:t>五、 18 週授課進度與證照考點規劃表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58"/>
        <w:gridCol w:w="1958"/>
        <w:gridCol w:w="1958"/>
        <w:gridCol w:w="1958"/>
        <w:gridCol w:w="1958"/>
      </w:tblGrid>
      <w:tr>
        <w:tc>
          <w:tcPr>
            <w:tcW w:type="dxa" w:w="864"/>
            <w:vAlign w:val="center"/>
            <w:shd w:fill="003366"/>
          </w:tcPr>
          <w:p>
            <w:pPr>
              <w:spacing w:before="40" w:after="40" w:line="252" w:lineRule="auto"/>
            </w:pPr>
            <w:r>
              <w:rPr>
                <w:rFonts w:ascii="微軟正黑體" w:hAnsi="微軟正黑體"/>
                <w:b/>
                <w:color w:val="FFFFFF"/>
                <w:sz w:val="19"/>
              </w:rPr>
              <w:t>週次</w:t>
            </w:r>
          </w:p>
        </w:tc>
        <w:tc>
          <w:tcPr>
            <w:tcW w:type="dxa" w:w="3600"/>
            <w:vAlign w:val="center"/>
            <w:shd w:fill="003366"/>
          </w:tcPr>
          <w:p>
            <w:pPr>
              <w:spacing w:before="40" w:after="40" w:line="252" w:lineRule="auto"/>
            </w:pPr>
            <w:r>
              <w:rPr>
                <w:rFonts w:ascii="微軟正黑體" w:hAnsi="微軟正黑體"/>
                <w:b/>
                <w:color w:val="FFFFFF"/>
                <w:sz w:val="19"/>
              </w:rPr>
              <w:t>單元主題與核心內容</w:t>
            </w:r>
          </w:p>
        </w:tc>
        <w:tc>
          <w:tcPr>
            <w:tcW w:type="dxa" w:w="1728"/>
            <w:vAlign w:val="center"/>
            <w:shd w:fill="003366"/>
          </w:tcPr>
          <w:p>
            <w:pPr>
              <w:spacing w:before="40" w:after="40" w:line="252" w:lineRule="auto"/>
            </w:pPr>
            <w:r>
              <w:rPr>
                <w:rFonts w:ascii="微軟正黑體" w:hAnsi="微軟正黑體"/>
                <w:b/>
                <w:color w:val="FFFFFF"/>
                <w:sz w:val="19"/>
              </w:rPr>
              <w:t>對應教材章節</w:t>
            </w:r>
          </w:p>
        </w:tc>
        <w:tc>
          <w:tcPr>
            <w:tcW w:type="dxa" w:w="2016"/>
            <w:vAlign w:val="center"/>
            <w:shd w:fill="003366"/>
          </w:tcPr>
          <w:p>
            <w:pPr>
              <w:spacing w:before="40" w:after="40" w:line="252" w:lineRule="auto"/>
            </w:pPr>
            <w:r>
              <w:rPr>
                <w:rFonts w:ascii="微軟正黑體" w:hAnsi="微軟正黑體"/>
                <w:b/>
                <w:color w:val="FFFFFF"/>
                <w:sz w:val="19"/>
              </w:rPr>
              <w:t>課堂實作 / 情境演練</w:t>
            </w:r>
          </w:p>
        </w:tc>
        <w:tc>
          <w:tcPr>
            <w:tcW w:type="dxa" w:w="2016"/>
            <w:vAlign w:val="center"/>
            <w:shd w:fill="003366"/>
          </w:tcPr>
          <w:p>
            <w:pPr>
              <w:spacing w:before="40" w:after="40" w:line="252" w:lineRule="auto"/>
            </w:pPr>
            <w:r>
              <w:rPr>
                <w:rFonts w:ascii="微軟正黑體" w:hAnsi="微軟正黑體"/>
                <w:b/>
                <w:color w:val="FFFFFF"/>
                <w:sz w:val="19"/>
              </w:rPr>
              <w:t>CERPS 證照核心考點</w:t>
            </w:r>
          </w:p>
        </w:tc>
      </w:tr>
      <w:tr>
        <w:tc>
          <w:tcPr>
            <w:tcW w:type="dxa" w:w="864"/>
            <w:vAlign w:val="center"/>
            <w:shd w:fill="F7F9FC"/>
          </w:tcPr>
          <w:p>
            <w:pPr>
              <w:spacing w:before="40" w:after="40" w:line="252" w:lineRule="auto"/>
            </w:pPr>
            <w:r>
              <w:rPr>
                <w:rFonts w:ascii="微軟正黑體" w:hAnsi="微軟正黑體"/>
                <w:sz w:val="17"/>
              </w:rPr>
              <w:t>第 1 週</w:t>
            </w:r>
          </w:p>
        </w:tc>
        <w:tc>
          <w:tcPr>
            <w:tcW w:type="dxa" w:w="3600"/>
            <w:vAlign w:val="center"/>
            <w:shd w:fill="F7F9FC"/>
          </w:tcPr>
          <w:p>
            <w:pPr>
              <w:spacing w:before="40" w:after="40" w:line="252" w:lineRule="auto"/>
            </w:pPr>
            <w:r>
              <w:rPr>
                <w:rFonts w:ascii="微軟正黑體" w:hAnsi="微軟正黑體"/>
                <w:sz w:val="17"/>
              </w:rPr>
              <w:t>課程導論、ERP 概念演進與企業數位轉型</w:t>
              <w:br/>
              <w:t>• ERP 定義與歷史發展 (MRP -&gt; MRPII -&gt; ERP)</w:t>
              <w:br/>
              <w:t>• 企業資訊孤島與整合效益、CERPS 證照介紹</w:t>
            </w:r>
          </w:p>
        </w:tc>
        <w:tc>
          <w:tcPr>
            <w:tcW w:type="dxa" w:w="1728"/>
            <w:vAlign w:val="center"/>
            <w:shd w:fill="F7F9FC"/>
          </w:tcPr>
          <w:p>
            <w:pPr>
              <w:spacing w:before="40" w:after="40" w:line="252" w:lineRule="auto"/>
            </w:pPr>
            <w:r>
              <w:rPr>
                <w:rFonts w:ascii="微軟正黑體" w:hAnsi="微軟正黑體"/>
                <w:sz w:val="17"/>
              </w:rPr>
              <w:t>AEE0405 CH01</w:t>
              <w:br/>
              <w:t>(含補充)</w:t>
            </w:r>
          </w:p>
        </w:tc>
        <w:tc>
          <w:tcPr>
            <w:tcW w:type="dxa" w:w="2016"/>
            <w:vAlign w:val="center"/>
            <w:shd w:fill="F7F9FC"/>
          </w:tcPr>
          <w:p>
            <w:pPr>
              <w:spacing w:before="40" w:after="40" w:line="252" w:lineRule="auto"/>
            </w:pPr>
            <w:r>
              <w:rPr>
                <w:rFonts w:ascii="微軟正黑體" w:hAnsi="微軟正黑體"/>
                <w:sz w:val="17"/>
              </w:rPr>
              <w:t>課堂破冰：傳統企業 vs 導入 ERP 之營運痛點比較</w:t>
            </w:r>
          </w:p>
        </w:tc>
        <w:tc>
          <w:tcPr>
            <w:tcW w:type="dxa" w:w="2016"/>
            <w:vAlign w:val="center"/>
            <w:shd w:fill="F7F9FC"/>
          </w:tcPr>
          <w:p>
            <w:pPr>
              <w:spacing w:before="40" w:after="40" w:line="252" w:lineRule="auto"/>
            </w:pPr>
            <w:r>
              <w:rPr>
                <w:rFonts w:ascii="微軟正黑體" w:hAnsi="微軟正黑體"/>
                <w:sz w:val="17"/>
              </w:rPr>
              <w:t>ERP 演進四階段、ERP 核心效益、企業資訊孤島定義</w:t>
            </w:r>
          </w:p>
        </w:tc>
      </w:tr>
      <w:tr>
        <w:tc>
          <w:tcPr>
            <w:tcW w:type="dxa" w:w="864"/>
            <w:vAlign w:val="center"/>
          </w:tcPr>
          <w:p>
            <w:pPr>
              <w:spacing w:before="40" w:after="40" w:line="252" w:lineRule="auto"/>
            </w:pPr>
            <w:r>
              <w:rPr>
                <w:rFonts w:ascii="微軟正黑體" w:hAnsi="微軟正黑體"/>
                <w:sz w:val="17"/>
              </w:rPr>
              <w:t>第 2 週</w:t>
            </w:r>
          </w:p>
        </w:tc>
        <w:tc>
          <w:tcPr>
            <w:tcW w:type="dxa" w:w="3600"/>
            <w:vAlign w:val="center"/>
          </w:tcPr>
          <w:p>
            <w:pPr>
              <w:spacing w:before="40" w:after="40" w:line="252" w:lineRule="auto"/>
            </w:pPr>
            <w:r>
              <w:rPr>
                <w:rFonts w:ascii="微軟正黑體" w:hAnsi="微軟正黑體"/>
                <w:sz w:val="17"/>
              </w:rPr>
              <w:t>企業模式與企業流程管理 (BPR)</w:t>
              <w:br/>
              <w:t>• 企業功能 vs 商業流程</w:t>
              <w:br/>
              <w:t>• 企業流程再造 (BPR) 原則、三大核心商業循環</w:t>
            </w:r>
          </w:p>
        </w:tc>
        <w:tc>
          <w:tcPr>
            <w:tcW w:type="dxa" w:w="1728"/>
            <w:vAlign w:val="center"/>
          </w:tcPr>
          <w:p>
            <w:pPr>
              <w:spacing w:before="40" w:after="40" w:line="252" w:lineRule="auto"/>
            </w:pPr>
            <w:r>
              <w:rPr>
                <w:rFonts w:ascii="微軟正黑體" w:hAnsi="微軟正黑體"/>
                <w:sz w:val="17"/>
              </w:rPr>
              <w:t>AEE0405 CH02</w:t>
              <w:br/>
              <w:t>(無補充)</w:t>
            </w:r>
          </w:p>
        </w:tc>
        <w:tc>
          <w:tcPr>
            <w:tcW w:type="dxa" w:w="2016"/>
            <w:vAlign w:val="center"/>
          </w:tcPr>
          <w:p>
            <w:pPr>
              <w:spacing w:before="40" w:after="40" w:line="252" w:lineRule="auto"/>
            </w:pPr>
            <w:r>
              <w:rPr>
                <w:rFonts w:ascii="微軟正黑體" w:hAnsi="微軟正黑體"/>
                <w:sz w:val="17"/>
              </w:rPr>
              <w:t>流程圖繪製：實體零售到線上訂購的流程變革</w:t>
            </w:r>
          </w:p>
        </w:tc>
        <w:tc>
          <w:tcPr>
            <w:tcW w:type="dxa" w:w="2016"/>
            <w:vAlign w:val="center"/>
          </w:tcPr>
          <w:p>
            <w:pPr>
              <w:spacing w:before="40" w:after="40" w:line="252" w:lineRule="auto"/>
            </w:pPr>
            <w:r>
              <w:rPr>
                <w:rFonts w:ascii="微軟正黑體" w:hAnsi="微軟正黑體"/>
                <w:sz w:val="17"/>
              </w:rPr>
              <w:t>BPR 定義、核心企業流程 (O2C, P2P)、橫向整合觀念</w:t>
            </w:r>
          </w:p>
        </w:tc>
      </w:tr>
      <w:tr>
        <w:tc>
          <w:tcPr>
            <w:tcW w:type="dxa" w:w="864"/>
            <w:vAlign w:val="center"/>
            <w:shd w:fill="F7F9FC"/>
          </w:tcPr>
          <w:p>
            <w:pPr>
              <w:spacing w:before="40" w:after="40" w:line="252" w:lineRule="auto"/>
            </w:pPr>
            <w:r>
              <w:rPr>
                <w:rFonts w:ascii="微軟正黑體" w:hAnsi="微軟正黑體"/>
                <w:sz w:val="17"/>
              </w:rPr>
              <w:t>第 3 週</w:t>
            </w:r>
          </w:p>
        </w:tc>
        <w:tc>
          <w:tcPr>
            <w:tcW w:type="dxa" w:w="3600"/>
            <w:vAlign w:val="center"/>
            <w:shd w:fill="F7F9FC"/>
          </w:tcPr>
          <w:p>
            <w:pPr>
              <w:spacing w:before="40" w:after="40" w:line="252" w:lineRule="auto"/>
            </w:pPr>
            <w:r>
              <w:rPr>
                <w:rFonts w:ascii="微軟正黑體" w:hAnsi="微軟正黑體"/>
                <w:sz w:val="17"/>
              </w:rPr>
              <w:t>銷售與配銷模組 (SD) - 訂單管理與客戶主檔</w:t>
              <w:br/>
              <w:t>• 報價、訂單處理、可用量檢查 (ATP)</w:t>
              <w:br/>
              <w:t>• 客戶主檔與定價策略</w:t>
            </w:r>
          </w:p>
        </w:tc>
        <w:tc>
          <w:tcPr>
            <w:tcW w:type="dxa" w:w="1728"/>
            <w:vAlign w:val="center"/>
            <w:shd w:fill="F7F9FC"/>
          </w:tcPr>
          <w:p>
            <w:pPr>
              <w:spacing w:before="40" w:after="40" w:line="252" w:lineRule="auto"/>
            </w:pPr>
            <w:r>
              <w:rPr>
                <w:rFonts w:ascii="微軟正黑體" w:hAnsi="微軟正黑體"/>
                <w:sz w:val="17"/>
              </w:rPr>
              <w:t>AEE0405 CH03</w:t>
              <w:br/>
              <w:t>(無補充)</w:t>
            </w:r>
          </w:p>
        </w:tc>
        <w:tc>
          <w:tcPr>
            <w:tcW w:type="dxa" w:w="2016"/>
            <w:vAlign w:val="center"/>
            <w:shd w:fill="F7F9FC"/>
          </w:tcPr>
          <w:p>
            <w:pPr>
              <w:spacing w:before="40" w:after="40" w:line="252" w:lineRule="auto"/>
            </w:pPr>
            <w:r>
              <w:rPr>
                <w:rFonts w:ascii="微軟正黑體" w:hAnsi="微軟正黑體"/>
                <w:sz w:val="17"/>
              </w:rPr>
              <w:t>實例演練：即時 ATP 可用量計算與缺貨調度</w:t>
            </w:r>
          </w:p>
        </w:tc>
        <w:tc>
          <w:tcPr>
            <w:tcW w:type="dxa" w:w="2016"/>
            <w:vAlign w:val="center"/>
            <w:shd w:fill="F7F9FC"/>
          </w:tcPr>
          <w:p>
            <w:pPr>
              <w:spacing w:before="40" w:after="40" w:line="252" w:lineRule="auto"/>
            </w:pPr>
            <w:r>
              <w:rPr>
                <w:rFonts w:ascii="微軟正黑體" w:hAnsi="微軟正黑體"/>
                <w:sz w:val="17"/>
              </w:rPr>
              <w:t>報價單轉訂單流程、ATP 檢核機制、客戶主檔欄位</w:t>
            </w:r>
          </w:p>
        </w:tc>
      </w:tr>
      <w:tr>
        <w:tc>
          <w:tcPr>
            <w:tcW w:type="dxa" w:w="864"/>
            <w:vAlign w:val="center"/>
          </w:tcPr>
          <w:p>
            <w:pPr>
              <w:spacing w:before="40" w:after="40" w:line="252" w:lineRule="auto"/>
            </w:pPr>
            <w:r>
              <w:rPr>
                <w:rFonts w:ascii="微軟正黑體" w:hAnsi="微軟正黑體"/>
                <w:sz w:val="17"/>
              </w:rPr>
              <w:t>第 4 週</w:t>
            </w:r>
          </w:p>
        </w:tc>
        <w:tc>
          <w:tcPr>
            <w:tcW w:type="dxa" w:w="3600"/>
            <w:vAlign w:val="center"/>
          </w:tcPr>
          <w:p>
            <w:pPr>
              <w:spacing w:before="40" w:after="40" w:line="252" w:lineRule="auto"/>
            </w:pPr>
            <w:r>
              <w:rPr>
                <w:rFonts w:ascii="微軟正黑體" w:hAnsi="微軟正黑體"/>
                <w:sz w:val="17"/>
              </w:rPr>
              <w:t>銷售與配銷模組 (SD) - 出貨、開立發票與應收</w:t>
              <w:br/>
              <w:t>• 揀貨、包裝、出貨發貨</w:t>
              <w:br/>
              <w:t>• 開立發票與應收帳款 (AR) 串接</w:t>
            </w:r>
          </w:p>
        </w:tc>
        <w:tc>
          <w:tcPr>
            <w:tcW w:type="dxa" w:w="1728"/>
            <w:vAlign w:val="center"/>
          </w:tcPr>
          <w:p>
            <w:pPr>
              <w:spacing w:before="40" w:after="40" w:line="252" w:lineRule="auto"/>
            </w:pPr>
            <w:r>
              <w:rPr>
                <w:rFonts w:ascii="微軟正黑體" w:hAnsi="微軟正黑體"/>
                <w:sz w:val="17"/>
              </w:rPr>
              <w:t>AEE0405 CH03</w:t>
              <w:br/>
              <w:t>(無補充)</w:t>
            </w:r>
          </w:p>
        </w:tc>
        <w:tc>
          <w:tcPr>
            <w:tcW w:type="dxa" w:w="2016"/>
            <w:vAlign w:val="center"/>
          </w:tcPr>
          <w:p>
            <w:pPr>
              <w:spacing w:before="40" w:after="40" w:line="252" w:lineRule="auto"/>
            </w:pPr>
            <w:r>
              <w:rPr>
                <w:rFonts w:ascii="微軟正黑體" w:hAnsi="微軟正黑體"/>
                <w:sz w:val="17"/>
              </w:rPr>
              <w:t>單據流轉圖解：Order-to-Cash 完整單據勾稽練習</w:t>
            </w:r>
          </w:p>
        </w:tc>
        <w:tc>
          <w:tcPr>
            <w:tcW w:type="dxa" w:w="2016"/>
            <w:vAlign w:val="center"/>
          </w:tcPr>
          <w:p>
            <w:pPr>
              <w:spacing w:before="40" w:after="40" w:line="252" w:lineRule="auto"/>
            </w:pPr>
            <w:r>
              <w:rPr>
                <w:rFonts w:ascii="微軟正黑體" w:hAnsi="微軟正黑體"/>
                <w:sz w:val="17"/>
              </w:rPr>
              <w:t>出貨過帳對庫存與財務的影響、借貸科目自動拋轉</w:t>
            </w:r>
          </w:p>
        </w:tc>
      </w:tr>
      <w:tr>
        <w:tc>
          <w:tcPr>
            <w:tcW w:type="dxa" w:w="864"/>
            <w:vAlign w:val="center"/>
            <w:shd w:fill="F7F9FC"/>
          </w:tcPr>
          <w:p>
            <w:pPr>
              <w:spacing w:before="40" w:after="40" w:line="252" w:lineRule="auto"/>
            </w:pPr>
            <w:r>
              <w:rPr>
                <w:rFonts w:ascii="微軟正黑體" w:hAnsi="微軟正黑體"/>
                <w:sz w:val="17"/>
              </w:rPr>
              <w:t>第 5 週</w:t>
            </w:r>
          </w:p>
        </w:tc>
        <w:tc>
          <w:tcPr>
            <w:tcW w:type="dxa" w:w="3600"/>
            <w:vAlign w:val="center"/>
            <w:shd w:fill="F7F9FC"/>
          </w:tcPr>
          <w:p>
            <w:pPr>
              <w:spacing w:before="40" w:after="40" w:line="252" w:lineRule="auto"/>
            </w:pPr>
            <w:r>
              <w:rPr>
                <w:rFonts w:ascii="微軟正黑體" w:hAnsi="微軟正黑體"/>
                <w:sz w:val="17"/>
              </w:rPr>
              <w:t>採購與庫存管理 (MM) - 採購流程與供應商管理</w:t>
              <w:br/>
              <w:t>• 請購單、採購單、詢比議價</w:t>
              <w:br/>
              <w:t>• 供應商評選與主檔設定</w:t>
            </w:r>
          </w:p>
        </w:tc>
        <w:tc>
          <w:tcPr>
            <w:tcW w:type="dxa" w:w="1728"/>
            <w:vAlign w:val="center"/>
            <w:shd w:fill="F7F9FC"/>
          </w:tcPr>
          <w:p>
            <w:pPr>
              <w:spacing w:before="40" w:after="40" w:line="252" w:lineRule="auto"/>
            </w:pPr>
            <w:r>
              <w:rPr>
                <w:rFonts w:ascii="微軟正黑體" w:hAnsi="微軟正黑體"/>
                <w:sz w:val="17"/>
              </w:rPr>
              <w:t>AEE0405 CH05</w:t>
              <w:br/>
              <w:t>(含補充)</w:t>
            </w:r>
          </w:p>
        </w:tc>
        <w:tc>
          <w:tcPr>
            <w:tcW w:type="dxa" w:w="2016"/>
            <w:vAlign w:val="center"/>
            <w:shd w:fill="F7F9FC"/>
          </w:tcPr>
          <w:p>
            <w:pPr>
              <w:spacing w:before="40" w:after="40" w:line="252" w:lineRule="auto"/>
            </w:pPr>
            <w:r>
              <w:rPr>
                <w:rFonts w:ascii="微軟正黑體" w:hAnsi="微軟正黑體"/>
                <w:sz w:val="17"/>
              </w:rPr>
              <w:t>情境題：急單採購流程與供應商詢價比價表</w:t>
            </w:r>
          </w:p>
        </w:tc>
        <w:tc>
          <w:tcPr>
            <w:tcW w:type="dxa" w:w="2016"/>
            <w:vAlign w:val="center"/>
            <w:shd w:fill="F7F9FC"/>
          </w:tcPr>
          <w:p>
            <w:pPr>
              <w:spacing w:before="40" w:after="40" w:line="252" w:lineRule="auto"/>
            </w:pPr>
            <w:r>
              <w:rPr>
                <w:rFonts w:ascii="微軟正黑體" w:hAnsi="微軟正黑體"/>
                <w:sz w:val="17"/>
              </w:rPr>
              <w:t>請購與採購之差異、採購單核准階層、供應商主檔</w:t>
            </w:r>
          </w:p>
        </w:tc>
      </w:tr>
      <w:tr>
        <w:tc>
          <w:tcPr>
            <w:tcW w:type="dxa" w:w="864"/>
            <w:vAlign w:val="center"/>
          </w:tcPr>
          <w:p>
            <w:pPr>
              <w:spacing w:before="40" w:after="40" w:line="252" w:lineRule="auto"/>
            </w:pPr>
            <w:r>
              <w:rPr>
                <w:rFonts w:ascii="微軟正黑體" w:hAnsi="微軟正黑體"/>
                <w:sz w:val="17"/>
              </w:rPr>
              <w:t>第 6 週</w:t>
            </w:r>
          </w:p>
        </w:tc>
        <w:tc>
          <w:tcPr>
            <w:tcW w:type="dxa" w:w="3600"/>
            <w:vAlign w:val="center"/>
          </w:tcPr>
          <w:p>
            <w:pPr>
              <w:spacing w:before="40" w:after="40" w:line="252" w:lineRule="auto"/>
            </w:pPr>
            <w:r>
              <w:rPr>
                <w:rFonts w:ascii="微軟正黑體" w:hAnsi="微軟正黑體"/>
                <w:sz w:val="17"/>
              </w:rPr>
              <w:t>採購與庫存管理 (MM) - 收料檢驗與三向比對</w:t>
              <w:br/>
              <w:t>• 收料入庫 (GR)、品檢與退貨</w:t>
              <w:br/>
              <w:t>• 採購發票驗證 (三向比對：PO / GR / Invoice)</w:t>
            </w:r>
          </w:p>
        </w:tc>
        <w:tc>
          <w:tcPr>
            <w:tcW w:type="dxa" w:w="1728"/>
            <w:vAlign w:val="center"/>
          </w:tcPr>
          <w:p>
            <w:pPr>
              <w:spacing w:before="40" w:after="40" w:line="252" w:lineRule="auto"/>
            </w:pPr>
            <w:r>
              <w:rPr>
                <w:rFonts w:ascii="微軟正黑體" w:hAnsi="微軟正黑體"/>
                <w:sz w:val="17"/>
              </w:rPr>
              <w:t>AEE0405 CH05</w:t>
              <w:br/>
              <w:t>(含補充)</w:t>
            </w:r>
          </w:p>
        </w:tc>
        <w:tc>
          <w:tcPr>
            <w:tcW w:type="dxa" w:w="2016"/>
            <w:vAlign w:val="center"/>
          </w:tcPr>
          <w:p>
            <w:pPr>
              <w:spacing w:before="40" w:after="40" w:line="252" w:lineRule="auto"/>
            </w:pPr>
            <w:r>
              <w:rPr>
                <w:rFonts w:ascii="微軟正黑體" w:hAnsi="微軟正黑體"/>
                <w:sz w:val="17"/>
              </w:rPr>
              <w:t>查帳演練：採購單、收料單與發票金額不符之除錯</w:t>
            </w:r>
          </w:p>
        </w:tc>
        <w:tc>
          <w:tcPr>
            <w:tcW w:type="dxa" w:w="2016"/>
            <w:vAlign w:val="center"/>
          </w:tcPr>
          <w:p>
            <w:pPr>
              <w:spacing w:before="40" w:after="40" w:line="252" w:lineRule="auto"/>
            </w:pPr>
            <w:r>
              <w:rPr>
                <w:rFonts w:ascii="微軟正黑體" w:hAnsi="微軟正黑體"/>
                <w:sz w:val="17"/>
              </w:rPr>
              <w:t>三向比對 (Three-way Matching) 原則、收料庫存異動</w:t>
            </w:r>
          </w:p>
        </w:tc>
      </w:tr>
      <w:tr>
        <w:tc>
          <w:tcPr>
            <w:tcW w:type="dxa" w:w="864"/>
            <w:vAlign w:val="center"/>
            <w:shd w:fill="F7F9FC"/>
          </w:tcPr>
          <w:p>
            <w:pPr>
              <w:spacing w:before="40" w:after="40" w:line="252" w:lineRule="auto"/>
            </w:pPr>
            <w:r>
              <w:rPr>
                <w:rFonts w:ascii="微軟正黑體" w:hAnsi="微軟正黑體"/>
                <w:sz w:val="17"/>
              </w:rPr>
              <w:t>第 7 週</w:t>
            </w:r>
          </w:p>
        </w:tc>
        <w:tc>
          <w:tcPr>
            <w:tcW w:type="dxa" w:w="3600"/>
            <w:vAlign w:val="center"/>
            <w:shd w:fill="F7F9FC"/>
          </w:tcPr>
          <w:p>
            <w:pPr>
              <w:spacing w:before="40" w:after="40" w:line="252" w:lineRule="auto"/>
            </w:pPr>
            <w:r>
              <w:rPr>
                <w:rFonts w:ascii="微軟正黑體" w:hAnsi="微軟正黑體"/>
                <w:sz w:val="17"/>
              </w:rPr>
              <w:t>生產規劃與控制 (PP) - 主生產排程與 BOM 表</w:t>
              <w:br/>
              <w:t>• 生產型態 (MTS, MTO, ATO)</w:t>
              <w:br/>
              <w:t>• 物料清單 (BOM) 架構與製程路線 (Routing)</w:t>
            </w:r>
          </w:p>
        </w:tc>
        <w:tc>
          <w:tcPr>
            <w:tcW w:type="dxa" w:w="1728"/>
            <w:vAlign w:val="center"/>
            <w:shd w:fill="F7F9FC"/>
          </w:tcPr>
          <w:p>
            <w:pPr>
              <w:spacing w:before="40" w:after="40" w:line="252" w:lineRule="auto"/>
            </w:pPr>
            <w:r>
              <w:rPr>
                <w:rFonts w:ascii="微軟正黑體" w:hAnsi="微軟正黑體"/>
                <w:sz w:val="17"/>
              </w:rPr>
              <w:t>AEE0405 CH04</w:t>
              <w:br/>
              <w:t>(無補充)</w:t>
            </w:r>
          </w:p>
        </w:tc>
        <w:tc>
          <w:tcPr>
            <w:tcW w:type="dxa" w:w="2016"/>
            <w:vAlign w:val="center"/>
            <w:shd w:fill="F7F9FC"/>
          </w:tcPr>
          <w:p>
            <w:pPr>
              <w:spacing w:before="40" w:after="40" w:line="252" w:lineRule="auto"/>
            </w:pPr>
            <w:r>
              <w:rPr>
                <w:rFonts w:ascii="微軟正黑體" w:hAnsi="微軟正黑體"/>
                <w:sz w:val="17"/>
              </w:rPr>
              <w:t>實作：以自行車為例拆解多階層 BOM 表架構</w:t>
            </w:r>
          </w:p>
        </w:tc>
        <w:tc>
          <w:tcPr>
            <w:tcW w:type="dxa" w:w="2016"/>
            <w:vAlign w:val="center"/>
            <w:shd w:fill="F7F9FC"/>
          </w:tcPr>
          <w:p>
            <w:pPr>
              <w:spacing w:before="40" w:after="40" w:line="252" w:lineRule="auto"/>
            </w:pPr>
            <w:r>
              <w:rPr>
                <w:rFonts w:ascii="微軟正黑體" w:hAnsi="微軟正黑體"/>
                <w:sz w:val="17"/>
              </w:rPr>
              <w:t>BOM 表階層展開、MTS/MTO 特性區分、產線工時估算</w:t>
            </w:r>
          </w:p>
        </w:tc>
      </w:tr>
      <w:tr>
        <w:tc>
          <w:tcPr>
            <w:tcW w:type="dxa" w:w="864"/>
            <w:vAlign w:val="center"/>
          </w:tcPr>
          <w:p>
            <w:pPr>
              <w:spacing w:before="40" w:after="40" w:line="252" w:lineRule="auto"/>
            </w:pPr>
            <w:r>
              <w:rPr>
                <w:rFonts w:ascii="微軟正黑體" w:hAnsi="微軟正黑體"/>
                <w:sz w:val="17"/>
              </w:rPr>
              <w:t>第 8 週</w:t>
            </w:r>
          </w:p>
        </w:tc>
        <w:tc>
          <w:tcPr>
            <w:tcW w:type="dxa" w:w="3600"/>
            <w:vAlign w:val="center"/>
          </w:tcPr>
          <w:p>
            <w:pPr>
              <w:spacing w:before="40" w:after="40" w:line="252" w:lineRule="auto"/>
            </w:pPr>
            <w:r>
              <w:rPr>
                <w:rFonts w:ascii="微軟正黑體" w:hAnsi="微軟正黑體"/>
                <w:sz w:val="17"/>
              </w:rPr>
              <w:t>生產規劃與控制 (PP) - 物料需求規劃 (MRP)</w:t>
              <w:br/>
              <w:t>• 毛需求、現有庫存、在途量計算</w:t>
              <w:br/>
              <w:t>• 淨需求展開與批量法則 (Lot Sizing)</w:t>
            </w:r>
          </w:p>
        </w:tc>
        <w:tc>
          <w:tcPr>
            <w:tcW w:type="dxa" w:w="1728"/>
            <w:vAlign w:val="center"/>
          </w:tcPr>
          <w:p>
            <w:pPr>
              <w:spacing w:before="40" w:after="40" w:line="252" w:lineRule="auto"/>
            </w:pPr>
            <w:r>
              <w:rPr>
                <w:rFonts w:ascii="微軟正黑體" w:hAnsi="微軟正黑體"/>
                <w:sz w:val="17"/>
              </w:rPr>
              <w:t>AEE0405 CH04</w:t>
              <w:br/>
              <w:t>(無補充)</w:t>
            </w:r>
          </w:p>
        </w:tc>
        <w:tc>
          <w:tcPr>
            <w:tcW w:type="dxa" w:w="2016"/>
            <w:vAlign w:val="center"/>
          </w:tcPr>
          <w:p>
            <w:pPr>
              <w:spacing w:before="40" w:after="40" w:line="252" w:lineRule="auto"/>
            </w:pPr>
            <w:r>
              <w:rPr>
                <w:rFonts w:ascii="微軟正黑體" w:hAnsi="微軟正黑體"/>
                <w:sz w:val="17"/>
              </w:rPr>
              <w:t>計算題精練：九宮格 MRP 淨需求展開推導實作</w:t>
            </w:r>
          </w:p>
        </w:tc>
        <w:tc>
          <w:tcPr>
            <w:tcW w:type="dxa" w:w="2016"/>
            <w:vAlign w:val="center"/>
          </w:tcPr>
          <w:p>
            <w:pPr>
              <w:spacing w:before="40" w:after="40" w:line="252" w:lineRule="auto"/>
            </w:pPr>
            <w:r>
              <w:rPr>
                <w:rFonts w:ascii="微軟正黑體" w:hAnsi="微軟正黑體"/>
                <w:sz w:val="17"/>
              </w:rPr>
              <w:t>MRP 三大輸入檔、淨需求計算公式、安全庫存設定</w:t>
            </w:r>
          </w:p>
        </w:tc>
      </w:tr>
      <w:tr>
        <w:tc>
          <w:tcPr>
            <w:tcW w:type="dxa" w:w="864"/>
            <w:vAlign w:val="center"/>
            <w:shd w:fill="FFF2E6"/>
          </w:tcPr>
          <w:p>
            <w:pPr>
              <w:spacing w:before="40" w:after="40" w:line="252" w:lineRule="auto"/>
            </w:pPr>
            <w:r>
              <w:rPr>
                <w:rFonts w:ascii="微軟正黑體" w:hAnsi="微軟正黑體"/>
                <w:b/>
                <w:sz w:val="17"/>
              </w:rPr>
              <w:t>第 9 週</w:t>
            </w:r>
          </w:p>
        </w:tc>
        <w:tc>
          <w:tcPr>
            <w:tcW w:type="dxa" w:w="3600"/>
            <w:vAlign w:val="center"/>
            <w:shd w:fill="FFF2E6"/>
          </w:tcPr>
          <w:p>
            <w:pPr>
              <w:spacing w:before="40" w:after="40" w:line="252" w:lineRule="auto"/>
            </w:pPr>
            <w:r>
              <w:rPr>
                <w:rFonts w:ascii="微軟正黑體" w:hAnsi="微軟正黑體"/>
                <w:b/>
                <w:sz w:val="17"/>
              </w:rPr>
              <w:t>期中學習評量與證照模擬檢定 (Part I)</w:t>
              <w:br/>
              <w:t>• CH01~CH07 核心考點綜合複習</w:t>
              <w:br/>
              <w:t>• CERPS 證照模擬測驗與試題解析</w:t>
            </w:r>
          </w:p>
        </w:tc>
        <w:tc>
          <w:tcPr>
            <w:tcW w:type="dxa" w:w="1728"/>
            <w:vAlign w:val="center"/>
            <w:shd w:fill="FFF2E6"/>
          </w:tcPr>
          <w:p>
            <w:pPr>
              <w:spacing w:before="40" w:after="40" w:line="252" w:lineRule="auto"/>
            </w:pPr>
            <w:r>
              <w:rPr>
                <w:rFonts w:ascii="微軟正黑體" w:hAnsi="微軟正黑體"/>
                <w:b/>
                <w:sz w:val="17"/>
              </w:rPr>
              <w:t>AEE0405</w:t>
              <w:br/>
              <w:t>CH01~CH07</w:t>
            </w:r>
          </w:p>
        </w:tc>
        <w:tc>
          <w:tcPr>
            <w:tcW w:type="dxa" w:w="2016"/>
            <w:vAlign w:val="center"/>
            <w:shd w:fill="FFF2E6"/>
          </w:tcPr>
          <w:p>
            <w:pPr>
              <w:spacing w:before="40" w:after="40" w:line="252" w:lineRule="auto"/>
            </w:pPr>
            <w:r>
              <w:rPr>
                <w:rFonts w:ascii="微軟正黑體" w:hAnsi="微軟正黑體"/>
                <w:b/>
                <w:sz w:val="17"/>
              </w:rPr>
              <w:t>期中模擬筆試 (50題) + 流程觀念題檢討</w:t>
            </w:r>
          </w:p>
        </w:tc>
        <w:tc>
          <w:tcPr>
            <w:tcW w:type="dxa" w:w="2016"/>
            <w:vAlign w:val="center"/>
            <w:shd w:fill="FFF2E6"/>
          </w:tcPr>
          <w:p>
            <w:pPr>
              <w:spacing w:before="40" w:after="40" w:line="252" w:lineRule="auto"/>
            </w:pPr>
            <w:r>
              <w:rPr>
                <w:rFonts w:ascii="微軟正黑體" w:hAnsi="微軟正黑體"/>
                <w:b/>
                <w:sz w:val="17"/>
              </w:rPr>
              <w:t>期中考照實戰驗收，掌握答題技巧與易錯考點</w:t>
            </w:r>
          </w:p>
        </w:tc>
      </w:tr>
      <w:tr>
        <w:tc>
          <w:tcPr>
            <w:tcW w:type="dxa" w:w="864"/>
            <w:vAlign w:val="center"/>
          </w:tcPr>
          <w:p>
            <w:pPr>
              <w:spacing w:before="40" w:after="40" w:line="252" w:lineRule="auto"/>
            </w:pPr>
            <w:r>
              <w:rPr>
                <w:rFonts w:ascii="微軟正黑體" w:hAnsi="微軟正黑體"/>
                <w:sz w:val="17"/>
              </w:rPr>
              <w:t>第 10 週</w:t>
            </w:r>
          </w:p>
        </w:tc>
        <w:tc>
          <w:tcPr>
            <w:tcW w:type="dxa" w:w="3600"/>
            <w:vAlign w:val="center"/>
          </w:tcPr>
          <w:p>
            <w:pPr>
              <w:spacing w:before="40" w:after="40" w:line="252" w:lineRule="auto"/>
            </w:pPr>
            <w:r>
              <w:rPr>
                <w:rFonts w:ascii="微軟正黑體" w:hAnsi="微軟正黑體"/>
                <w:sz w:val="17"/>
              </w:rPr>
              <w:t>會計與財務管理模組 (FI/CO)</w:t>
              <w:br/>
              <w:t>• 財務會計 (總帳、應收、應付、資產)</w:t>
              <w:br/>
              <w:t>• 管理會計 (成本中心、利潤中心、產品成本結算)</w:t>
            </w:r>
          </w:p>
        </w:tc>
        <w:tc>
          <w:tcPr>
            <w:tcW w:type="dxa" w:w="1728"/>
            <w:vAlign w:val="center"/>
          </w:tcPr>
          <w:p>
            <w:pPr>
              <w:spacing w:before="40" w:after="40" w:line="252" w:lineRule="auto"/>
            </w:pPr>
            <w:r>
              <w:rPr>
                <w:rFonts w:ascii="微軟正黑體" w:hAnsi="微軟正黑體"/>
                <w:sz w:val="17"/>
              </w:rPr>
              <w:t>AEE0405 CH06</w:t>
              <w:br/>
              <w:t>(含補充)</w:t>
            </w:r>
          </w:p>
        </w:tc>
        <w:tc>
          <w:tcPr>
            <w:tcW w:type="dxa" w:w="2016"/>
            <w:vAlign w:val="center"/>
          </w:tcPr>
          <w:p>
            <w:pPr>
              <w:spacing w:before="40" w:after="40" w:line="252" w:lineRule="auto"/>
            </w:pPr>
            <w:r>
              <w:rPr>
                <w:rFonts w:ascii="微軟正黑體" w:hAnsi="微軟正黑體"/>
                <w:sz w:val="17"/>
              </w:rPr>
              <w:t>實作：銷貨成本結轉與跨模組自動分錄拋轉</w:t>
            </w:r>
          </w:p>
        </w:tc>
        <w:tc>
          <w:tcPr>
            <w:tcW w:type="dxa" w:w="2016"/>
            <w:vAlign w:val="center"/>
          </w:tcPr>
          <w:p>
            <w:pPr>
              <w:spacing w:before="40" w:after="40" w:line="252" w:lineRule="auto"/>
            </w:pPr>
            <w:r>
              <w:rPr>
                <w:rFonts w:ascii="微軟正黑體" w:hAnsi="微軟正黑體"/>
                <w:sz w:val="17"/>
              </w:rPr>
              <w:t>FI 與 CO 之差異、自動拋轉機制、成本分攤原則</w:t>
            </w:r>
          </w:p>
        </w:tc>
      </w:tr>
      <w:tr>
        <w:tc>
          <w:tcPr>
            <w:tcW w:type="dxa" w:w="864"/>
            <w:vAlign w:val="center"/>
            <w:shd w:fill="F7F9FC"/>
          </w:tcPr>
          <w:p>
            <w:pPr>
              <w:spacing w:before="40" w:after="40" w:line="252" w:lineRule="auto"/>
            </w:pPr>
            <w:r>
              <w:rPr>
                <w:rFonts w:ascii="微軟正黑體" w:hAnsi="微軟正黑體"/>
                <w:sz w:val="17"/>
              </w:rPr>
              <w:t>第 11 週</w:t>
            </w:r>
          </w:p>
        </w:tc>
        <w:tc>
          <w:tcPr>
            <w:tcW w:type="dxa" w:w="3600"/>
            <w:vAlign w:val="center"/>
            <w:shd w:fill="F7F9FC"/>
          </w:tcPr>
          <w:p>
            <w:pPr>
              <w:spacing w:before="40" w:after="40" w:line="252" w:lineRule="auto"/>
            </w:pPr>
            <w:r>
              <w:rPr>
                <w:rFonts w:ascii="微軟正黑體" w:hAnsi="微軟正黑體"/>
                <w:sz w:val="17"/>
              </w:rPr>
              <w:t>人力資源管理模組 (HR)</w:t>
              <w:br/>
              <w:t>• 人事組織架構、招聘、培訓與差勤管理</w:t>
              <w:br/>
              <w:t>• 薪資結算與績效考評流程</w:t>
            </w:r>
          </w:p>
        </w:tc>
        <w:tc>
          <w:tcPr>
            <w:tcW w:type="dxa" w:w="1728"/>
            <w:vAlign w:val="center"/>
            <w:shd w:fill="F7F9FC"/>
          </w:tcPr>
          <w:p>
            <w:pPr>
              <w:spacing w:before="40" w:after="40" w:line="252" w:lineRule="auto"/>
            </w:pPr>
            <w:r>
              <w:rPr>
                <w:rFonts w:ascii="微軟正黑體" w:hAnsi="微軟正黑體"/>
                <w:sz w:val="17"/>
              </w:rPr>
              <w:t>AEE0405 CH07</w:t>
              <w:br/>
              <w:t>(含補充)</w:t>
            </w:r>
          </w:p>
        </w:tc>
        <w:tc>
          <w:tcPr>
            <w:tcW w:type="dxa" w:w="2016"/>
            <w:vAlign w:val="center"/>
            <w:shd w:fill="F7F9FC"/>
          </w:tcPr>
          <w:p>
            <w:pPr>
              <w:spacing w:before="40" w:after="40" w:line="252" w:lineRule="auto"/>
            </w:pPr>
            <w:r>
              <w:rPr>
                <w:rFonts w:ascii="微軟正黑體" w:hAnsi="微軟正黑體"/>
                <w:sz w:val="17"/>
              </w:rPr>
              <w:t>案例分析：薪資計算與考勤排班之系統勾稽</w:t>
            </w:r>
          </w:p>
        </w:tc>
        <w:tc>
          <w:tcPr>
            <w:tcW w:type="dxa" w:w="2016"/>
            <w:vAlign w:val="center"/>
            <w:shd w:fill="F7F9FC"/>
          </w:tcPr>
          <w:p>
            <w:pPr>
              <w:spacing w:before="40" w:after="40" w:line="252" w:lineRule="auto"/>
            </w:pPr>
            <w:r>
              <w:rPr>
                <w:rFonts w:ascii="微軟正黑體" w:hAnsi="微軟正黑體"/>
                <w:sz w:val="17"/>
              </w:rPr>
              <w:t>HR 主檔架構、薪資結算流程與總帳科目連結</w:t>
            </w:r>
          </w:p>
        </w:tc>
      </w:tr>
      <w:tr>
        <w:tc>
          <w:tcPr>
            <w:tcW w:type="dxa" w:w="864"/>
            <w:vAlign w:val="center"/>
          </w:tcPr>
          <w:p>
            <w:pPr>
              <w:spacing w:before="40" w:after="40" w:line="252" w:lineRule="auto"/>
            </w:pPr>
            <w:r>
              <w:rPr>
                <w:rFonts w:ascii="微軟正黑體" w:hAnsi="微軟正黑體"/>
                <w:sz w:val="17"/>
              </w:rPr>
              <w:t>第 12 週</w:t>
            </w:r>
          </w:p>
        </w:tc>
        <w:tc>
          <w:tcPr>
            <w:tcW w:type="dxa" w:w="3600"/>
            <w:vAlign w:val="center"/>
          </w:tcPr>
          <w:p>
            <w:pPr>
              <w:spacing w:before="40" w:after="40" w:line="252" w:lineRule="auto"/>
            </w:pPr>
            <w:r>
              <w:rPr>
                <w:rFonts w:ascii="微軟正黑體" w:hAnsi="微軟正黑體"/>
                <w:sz w:val="17"/>
              </w:rPr>
              <w:t>供應鏈管理 (SCM) 與跨企業協同運作</w:t>
              <w:br/>
              <w:t>• 長鞭效應 (Bullwhip Effect) 成因與對策</w:t>
              <w:br/>
              <w:t>• 供應商管理庫存 (VMI) 與跨組織物流整合</w:t>
            </w:r>
          </w:p>
        </w:tc>
        <w:tc>
          <w:tcPr>
            <w:tcW w:type="dxa" w:w="1728"/>
            <w:vAlign w:val="center"/>
          </w:tcPr>
          <w:p>
            <w:pPr>
              <w:spacing w:before="40" w:after="40" w:line="252" w:lineRule="auto"/>
            </w:pPr>
            <w:r>
              <w:rPr>
                <w:rFonts w:ascii="微軟正黑體" w:hAnsi="微軟正黑體"/>
                <w:sz w:val="17"/>
              </w:rPr>
              <w:t>AEE0405 CH08</w:t>
              <w:br/>
              <w:t>(無補充)</w:t>
            </w:r>
          </w:p>
        </w:tc>
        <w:tc>
          <w:tcPr>
            <w:tcW w:type="dxa" w:w="2016"/>
            <w:vAlign w:val="center"/>
          </w:tcPr>
          <w:p>
            <w:pPr>
              <w:spacing w:before="40" w:after="40" w:line="252" w:lineRule="auto"/>
            </w:pPr>
            <w:r>
              <w:rPr>
                <w:rFonts w:ascii="微軟正黑體" w:hAnsi="微軟正黑體"/>
                <w:sz w:val="17"/>
              </w:rPr>
              <w:t>課堂遊戲：啤酒遊戲 (Beer Game) 體驗長鞭效應</w:t>
            </w:r>
          </w:p>
        </w:tc>
        <w:tc>
          <w:tcPr>
            <w:tcW w:type="dxa" w:w="2016"/>
            <w:vAlign w:val="center"/>
          </w:tcPr>
          <w:p>
            <w:pPr>
              <w:spacing w:before="40" w:after="40" w:line="252" w:lineRule="auto"/>
            </w:pPr>
            <w:r>
              <w:rPr>
                <w:rFonts w:ascii="微軟正黑體" w:hAnsi="微軟正黑體"/>
                <w:sz w:val="17"/>
              </w:rPr>
              <w:t>長鞭效應四大主因、VMI 運作模式、SCM 核心指標</w:t>
            </w:r>
          </w:p>
        </w:tc>
      </w:tr>
      <w:tr>
        <w:tc>
          <w:tcPr>
            <w:tcW w:type="dxa" w:w="864"/>
            <w:vAlign w:val="center"/>
            <w:shd w:fill="F7F9FC"/>
          </w:tcPr>
          <w:p>
            <w:pPr>
              <w:spacing w:before="40" w:after="40" w:line="252" w:lineRule="auto"/>
            </w:pPr>
            <w:r>
              <w:rPr>
                <w:rFonts w:ascii="微軟正黑體" w:hAnsi="微軟正黑體"/>
                <w:sz w:val="17"/>
              </w:rPr>
              <w:t>第 13 週</w:t>
            </w:r>
          </w:p>
        </w:tc>
        <w:tc>
          <w:tcPr>
            <w:tcW w:type="dxa" w:w="3600"/>
            <w:vAlign w:val="center"/>
            <w:shd w:fill="F7F9FC"/>
          </w:tcPr>
          <w:p>
            <w:pPr>
              <w:spacing w:before="40" w:after="40" w:line="252" w:lineRule="auto"/>
            </w:pPr>
            <w:r>
              <w:rPr>
                <w:rFonts w:ascii="微軟正黑體" w:hAnsi="微軟正黑體"/>
                <w:sz w:val="17"/>
              </w:rPr>
              <w:t>客戶關係管理 (CRM) 與全通路行銷</w:t>
              <w:br/>
              <w:t>• 行銷自動化、銷售管道管理 (Sales Pipeline)</w:t>
              <w:br/>
              <w:t>• 顧客終身價值 (CLV) 與客戶服務支援</w:t>
            </w:r>
          </w:p>
        </w:tc>
        <w:tc>
          <w:tcPr>
            <w:tcW w:type="dxa" w:w="1728"/>
            <w:vAlign w:val="center"/>
            <w:shd w:fill="F7F9FC"/>
          </w:tcPr>
          <w:p>
            <w:pPr>
              <w:spacing w:before="40" w:after="40" w:line="252" w:lineRule="auto"/>
            </w:pPr>
            <w:r>
              <w:rPr>
                <w:rFonts w:ascii="微軟正黑體" w:hAnsi="微軟正黑體"/>
                <w:sz w:val="17"/>
              </w:rPr>
              <w:t>AEE0405 CH09</w:t>
              <w:br/>
              <w:t>(含補充)</w:t>
            </w:r>
          </w:p>
        </w:tc>
        <w:tc>
          <w:tcPr>
            <w:tcW w:type="dxa" w:w="2016"/>
            <w:vAlign w:val="center"/>
            <w:shd w:fill="F7F9FC"/>
          </w:tcPr>
          <w:p>
            <w:pPr>
              <w:spacing w:before="40" w:after="40" w:line="252" w:lineRule="auto"/>
            </w:pPr>
            <w:r>
              <w:rPr>
                <w:rFonts w:ascii="微軟正黑體" w:hAnsi="微軟正黑體"/>
                <w:sz w:val="17"/>
              </w:rPr>
              <w:t>情境題：客戶流失預警與會員忠誠度分群行銷</w:t>
            </w:r>
          </w:p>
        </w:tc>
        <w:tc>
          <w:tcPr>
            <w:tcW w:type="dxa" w:w="2016"/>
            <w:vAlign w:val="center"/>
            <w:shd w:fill="F7F9FC"/>
          </w:tcPr>
          <w:p>
            <w:pPr>
              <w:spacing w:before="40" w:after="40" w:line="252" w:lineRule="auto"/>
            </w:pPr>
            <w:r>
              <w:rPr>
                <w:rFonts w:ascii="微軟正黑體" w:hAnsi="微軟正黑體"/>
                <w:sz w:val="17"/>
              </w:rPr>
              <w:t>CRM 三大構面 (分析/操作/協同型)、CLV 計算</w:t>
            </w:r>
          </w:p>
        </w:tc>
      </w:tr>
      <w:tr>
        <w:tc>
          <w:tcPr>
            <w:tcW w:type="dxa" w:w="864"/>
            <w:vAlign w:val="center"/>
          </w:tcPr>
          <w:p>
            <w:pPr>
              <w:spacing w:before="40" w:after="40" w:line="252" w:lineRule="auto"/>
            </w:pPr>
            <w:r>
              <w:rPr>
                <w:rFonts w:ascii="微軟正黑體" w:hAnsi="微軟正黑體"/>
                <w:sz w:val="17"/>
              </w:rPr>
              <w:t>第 14 週</w:t>
            </w:r>
          </w:p>
        </w:tc>
        <w:tc>
          <w:tcPr>
            <w:tcW w:type="dxa" w:w="3600"/>
            <w:vAlign w:val="center"/>
          </w:tcPr>
          <w:p>
            <w:pPr>
              <w:spacing w:before="40" w:after="40" w:line="252" w:lineRule="auto"/>
            </w:pPr>
            <w:r>
              <w:rPr>
                <w:rFonts w:ascii="微軟正黑體" w:hAnsi="微軟正黑體"/>
                <w:sz w:val="17"/>
              </w:rPr>
              <w:t>商業智慧 (BI) 與企業營運大數據分析</w:t>
              <w:br/>
              <w:t>• 資料倉儲 (Data Warehouse) 與 ETL 流程</w:t>
              <w:br/>
              <w:t>• 多維度分析 (OLAP) 與管理決策儀表板</w:t>
            </w:r>
          </w:p>
        </w:tc>
        <w:tc>
          <w:tcPr>
            <w:tcW w:type="dxa" w:w="1728"/>
            <w:vAlign w:val="center"/>
          </w:tcPr>
          <w:p>
            <w:pPr>
              <w:spacing w:before="40" w:after="40" w:line="252" w:lineRule="auto"/>
            </w:pPr>
            <w:r>
              <w:rPr>
                <w:rFonts w:ascii="微軟正黑體" w:hAnsi="微軟正黑體"/>
                <w:sz w:val="17"/>
              </w:rPr>
              <w:t>AEE0405 CH10</w:t>
              <w:br/>
              <w:t>(無補充)</w:t>
            </w:r>
          </w:p>
        </w:tc>
        <w:tc>
          <w:tcPr>
            <w:tcW w:type="dxa" w:w="2016"/>
            <w:vAlign w:val="center"/>
          </w:tcPr>
          <w:p>
            <w:pPr>
              <w:spacing w:before="40" w:after="40" w:line="252" w:lineRule="auto"/>
            </w:pPr>
            <w:r>
              <w:rPr>
                <w:rFonts w:ascii="微軟正黑體" w:hAnsi="微軟正黑體"/>
                <w:sz w:val="17"/>
              </w:rPr>
              <w:t>實作：設計製造業高階主管營運 KPI 儀表板</w:t>
            </w:r>
          </w:p>
        </w:tc>
        <w:tc>
          <w:tcPr>
            <w:tcW w:type="dxa" w:w="2016"/>
            <w:vAlign w:val="center"/>
          </w:tcPr>
          <w:p>
            <w:pPr>
              <w:spacing w:before="40" w:after="40" w:line="252" w:lineRule="auto"/>
            </w:pPr>
            <w:r>
              <w:rPr>
                <w:rFonts w:ascii="微軟正黑體" w:hAnsi="微軟正黑體"/>
                <w:sz w:val="17"/>
              </w:rPr>
              <w:t>OLAP 切片切塊功能、資料倉儲架構、KPI 指標設計</w:t>
            </w:r>
          </w:p>
        </w:tc>
      </w:tr>
      <w:tr>
        <w:tc>
          <w:tcPr>
            <w:tcW w:type="dxa" w:w="864"/>
            <w:vAlign w:val="center"/>
            <w:shd w:fill="F7F9FC"/>
          </w:tcPr>
          <w:p>
            <w:pPr>
              <w:spacing w:before="40" w:after="40" w:line="252" w:lineRule="auto"/>
            </w:pPr>
            <w:r>
              <w:rPr>
                <w:rFonts w:ascii="微軟正黑體" w:hAnsi="微軟正黑體"/>
                <w:sz w:val="17"/>
              </w:rPr>
              <w:t>第 15 週</w:t>
            </w:r>
          </w:p>
        </w:tc>
        <w:tc>
          <w:tcPr>
            <w:tcW w:type="dxa" w:w="3600"/>
            <w:vAlign w:val="center"/>
            <w:shd w:fill="F7F9FC"/>
          </w:tcPr>
          <w:p>
            <w:pPr>
              <w:spacing w:before="40" w:after="40" w:line="252" w:lineRule="auto"/>
            </w:pPr>
            <w:r>
              <w:rPr>
                <w:rFonts w:ascii="微軟正黑體" w:hAnsi="微軟正黑體"/>
                <w:sz w:val="17"/>
              </w:rPr>
              <w:t>ERP 系統導入方法論與系統評選</w:t>
              <w:br/>
              <w:t>• ERP 導入五大生命週期與關鍵成功因素 (CSF)</w:t>
              <w:br/>
              <w:t>• 系統評選標準、顧問角色與變革管理 (Change Mgt)</w:t>
            </w:r>
          </w:p>
        </w:tc>
        <w:tc>
          <w:tcPr>
            <w:tcW w:type="dxa" w:w="1728"/>
            <w:vAlign w:val="center"/>
            <w:shd w:fill="F7F9FC"/>
          </w:tcPr>
          <w:p>
            <w:pPr>
              <w:spacing w:before="40" w:after="40" w:line="252" w:lineRule="auto"/>
            </w:pPr>
            <w:r>
              <w:rPr>
                <w:rFonts w:ascii="微軟正黑體" w:hAnsi="微軟正黑體"/>
                <w:sz w:val="17"/>
              </w:rPr>
              <w:t>AEE0405</w:t>
              <w:br/>
              <w:t>CH11 &amp; CH12</w:t>
            </w:r>
          </w:p>
        </w:tc>
        <w:tc>
          <w:tcPr>
            <w:tcW w:type="dxa" w:w="2016"/>
            <w:vAlign w:val="center"/>
            <w:shd w:fill="F7F9FC"/>
          </w:tcPr>
          <w:p>
            <w:pPr>
              <w:spacing w:before="40" w:after="40" w:line="252" w:lineRule="auto"/>
            </w:pPr>
            <w:r>
              <w:rPr>
                <w:rFonts w:ascii="微軟正黑體" w:hAnsi="微軟正黑體"/>
                <w:sz w:val="17"/>
              </w:rPr>
              <w:t>個案研討：國內外知名企業 ERP 導入成敗案例分析</w:t>
            </w:r>
          </w:p>
        </w:tc>
        <w:tc>
          <w:tcPr>
            <w:tcW w:type="dxa" w:w="2016"/>
            <w:vAlign w:val="center"/>
            <w:shd w:fill="F7F9FC"/>
          </w:tcPr>
          <w:p>
            <w:pPr>
              <w:spacing w:before="40" w:after="40" w:line="252" w:lineRule="auto"/>
            </w:pPr>
            <w:r>
              <w:rPr>
                <w:rFonts w:ascii="微軟正黑體" w:hAnsi="微軟正黑體"/>
                <w:sz w:val="17"/>
              </w:rPr>
              <w:t>ERP 導入五階段、客製化 vs 標準化權衡、CSF 分析</w:t>
            </w:r>
          </w:p>
        </w:tc>
      </w:tr>
      <w:tr>
        <w:tc>
          <w:tcPr>
            <w:tcW w:type="dxa" w:w="864"/>
            <w:vAlign w:val="center"/>
          </w:tcPr>
          <w:p>
            <w:pPr>
              <w:spacing w:before="40" w:after="40" w:line="252" w:lineRule="auto"/>
            </w:pPr>
            <w:r>
              <w:rPr>
                <w:rFonts w:ascii="微軟正黑體" w:hAnsi="微軟正黑體"/>
                <w:sz w:val="17"/>
              </w:rPr>
              <w:t>第 16 週</w:t>
            </w:r>
          </w:p>
        </w:tc>
        <w:tc>
          <w:tcPr>
            <w:tcW w:type="dxa" w:w="3600"/>
            <w:vAlign w:val="center"/>
          </w:tcPr>
          <w:p>
            <w:pPr>
              <w:spacing w:before="40" w:after="40" w:line="252" w:lineRule="auto"/>
            </w:pPr>
            <w:r>
              <w:rPr>
                <w:rFonts w:ascii="微軟正黑體" w:hAnsi="微軟正黑體"/>
                <w:sz w:val="17"/>
              </w:rPr>
              <w:t>AI 時代的 ERP：AI Agent 與流程自動化實務</w:t>
              <w:br/>
              <w:t>• 語言式 AI 與 LLM 在 ERP 的角色 (CH06)</w:t>
              <w:br/>
              <w:t>• n8n 流程自動化平台與 AI Agent 實例展示</w:t>
            </w:r>
          </w:p>
        </w:tc>
        <w:tc>
          <w:tcPr>
            <w:tcW w:type="dxa" w:w="1728"/>
            <w:vAlign w:val="center"/>
          </w:tcPr>
          <w:p>
            <w:pPr>
              <w:spacing w:before="40" w:after="40" w:line="252" w:lineRule="auto"/>
            </w:pPr>
            <w:r>
              <w:rPr>
                <w:rFonts w:ascii="微軟正黑體" w:hAnsi="微軟正黑體"/>
                <w:sz w:val="17"/>
              </w:rPr>
              <w:t>AI Agent 教材</w:t>
              <w:br/>
              <w:t>CH05~CH08</w:t>
            </w:r>
          </w:p>
        </w:tc>
        <w:tc>
          <w:tcPr>
            <w:tcW w:type="dxa" w:w="2016"/>
            <w:vAlign w:val="center"/>
          </w:tcPr>
          <w:p>
            <w:pPr>
              <w:spacing w:before="40" w:after="40" w:line="252" w:lineRule="auto"/>
            </w:pPr>
            <w:r>
              <w:rPr>
                <w:rFonts w:ascii="微軟正黑體" w:hAnsi="微軟正黑體"/>
                <w:sz w:val="17"/>
              </w:rPr>
              <w:t>實作展示：AI 驅動訂單文字自動轉入 ERP 單據</w:t>
            </w:r>
          </w:p>
        </w:tc>
        <w:tc>
          <w:tcPr>
            <w:tcW w:type="dxa" w:w="2016"/>
            <w:vAlign w:val="center"/>
          </w:tcPr>
          <w:p>
            <w:pPr>
              <w:spacing w:before="40" w:after="40" w:line="252" w:lineRule="auto"/>
            </w:pPr>
            <w:r>
              <w:rPr>
                <w:rFonts w:ascii="微軟正黑體" w:hAnsi="微軟正黑體"/>
                <w:sz w:val="17"/>
              </w:rPr>
              <w:t>AI-Ready 數據架構、自動化單據建立、未來 ERP 趨勢</w:t>
            </w:r>
          </w:p>
        </w:tc>
      </w:tr>
      <w:tr>
        <w:tc>
          <w:tcPr>
            <w:tcW w:type="dxa" w:w="864"/>
            <w:vAlign w:val="center"/>
            <w:shd w:fill="F7F9FC"/>
          </w:tcPr>
          <w:p>
            <w:pPr>
              <w:spacing w:before="40" w:after="40" w:line="252" w:lineRule="auto"/>
            </w:pPr>
            <w:r>
              <w:rPr>
                <w:rFonts w:ascii="微軟正黑體" w:hAnsi="微軟正黑體"/>
                <w:sz w:val="17"/>
              </w:rPr>
              <w:t>第 17 週</w:t>
            </w:r>
          </w:p>
        </w:tc>
        <w:tc>
          <w:tcPr>
            <w:tcW w:type="dxa" w:w="3600"/>
            <w:vAlign w:val="center"/>
            <w:shd w:fill="F7F9FC"/>
          </w:tcPr>
          <w:p>
            <w:pPr>
              <w:spacing w:before="40" w:after="40" w:line="252" w:lineRule="auto"/>
            </w:pPr>
            <w:r>
              <w:rPr>
                <w:rFonts w:ascii="微軟正黑體" w:hAnsi="微軟正黑體"/>
                <w:sz w:val="17"/>
              </w:rPr>
              <w:t>CERPS 證照考前總衝刺與全真模擬測驗</w:t>
              <w:br/>
              <w:t>• 14 章重點考點快速統整與解題秘訣</w:t>
              <w:br/>
              <w:t>• 歷屆考古題全真模考與盲點即時解惑</w:t>
            </w:r>
          </w:p>
        </w:tc>
        <w:tc>
          <w:tcPr>
            <w:tcW w:type="dxa" w:w="1728"/>
            <w:vAlign w:val="center"/>
            <w:shd w:fill="F7F9FC"/>
          </w:tcPr>
          <w:p>
            <w:pPr>
              <w:spacing w:before="40" w:after="40" w:line="252" w:lineRule="auto"/>
            </w:pPr>
            <w:r>
              <w:rPr>
                <w:rFonts w:ascii="微軟正黑體" w:hAnsi="微軟正黑體"/>
                <w:sz w:val="17"/>
              </w:rPr>
              <w:t>全冊總複習</w:t>
              <w:br/>
              <w:t>CERPS 題庫</w:t>
            </w:r>
          </w:p>
        </w:tc>
        <w:tc>
          <w:tcPr>
            <w:tcW w:type="dxa" w:w="2016"/>
            <w:vAlign w:val="center"/>
            <w:shd w:fill="F7F9FC"/>
          </w:tcPr>
          <w:p>
            <w:pPr>
              <w:spacing w:before="40" w:after="40" w:line="252" w:lineRule="auto"/>
            </w:pPr>
            <w:r>
              <w:rPr>
                <w:rFonts w:ascii="微軟正黑體" w:hAnsi="微軟正黑體"/>
                <w:sz w:val="17"/>
              </w:rPr>
              <w:t>全真模擬考 (100題) + 即時診斷與落點分析</w:t>
            </w:r>
          </w:p>
        </w:tc>
        <w:tc>
          <w:tcPr>
            <w:tcW w:type="dxa" w:w="2016"/>
            <w:vAlign w:val="center"/>
            <w:shd w:fill="F7F9FC"/>
          </w:tcPr>
          <w:p>
            <w:pPr>
              <w:spacing w:before="40" w:after="40" w:line="252" w:lineRule="auto"/>
            </w:pPr>
            <w:r>
              <w:rPr>
                <w:rFonts w:ascii="微軟正黑體" w:hAnsi="微軟正黑體"/>
                <w:sz w:val="17"/>
              </w:rPr>
              <w:t>全面掌握 CERPS 證照出題慣性與高頻考點</w:t>
            </w:r>
          </w:p>
        </w:tc>
      </w:tr>
      <w:tr>
        <w:tc>
          <w:tcPr>
            <w:tcW w:type="dxa" w:w="864"/>
            <w:vAlign w:val="center"/>
            <w:shd w:fill="FFF2E6"/>
          </w:tcPr>
          <w:p>
            <w:pPr>
              <w:spacing w:before="40" w:after="40" w:line="252" w:lineRule="auto"/>
            </w:pPr>
            <w:r>
              <w:rPr>
                <w:rFonts w:ascii="微軟正黑體" w:hAnsi="微軟正黑體"/>
                <w:b/>
                <w:sz w:val="17"/>
              </w:rPr>
              <w:t>第 18 週</w:t>
            </w:r>
          </w:p>
        </w:tc>
        <w:tc>
          <w:tcPr>
            <w:tcW w:type="dxa" w:w="3600"/>
            <w:vAlign w:val="center"/>
            <w:shd w:fill="FFF2E6"/>
          </w:tcPr>
          <w:p>
            <w:pPr>
              <w:spacing w:before="40" w:after="40" w:line="252" w:lineRule="auto"/>
            </w:pPr>
            <w:r>
              <w:rPr>
                <w:rFonts w:ascii="微軟正黑體" w:hAnsi="微軟正黑體"/>
                <w:b/>
                <w:sz w:val="17"/>
              </w:rPr>
              <w:t>期末成果驗收 ／ CERPS 企業資源規劃證照校園檢定</w:t>
              <w:br/>
              <w:t>• 辦理學會認證校園團報測驗 或 期末綜合實戰評量</w:t>
              <w:br/>
              <w:t>• 學期學習成果總結與職場職涯發展建議</w:t>
            </w:r>
          </w:p>
        </w:tc>
        <w:tc>
          <w:tcPr>
            <w:tcW w:type="dxa" w:w="1728"/>
            <w:vAlign w:val="center"/>
            <w:shd w:fill="FFF2E6"/>
          </w:tcPr>
          <w:p>
            <w:pPr>
              <w:spacing w:before="40" w:after="40" w:line="252" w:lineRule="auto"/>
            </w:pPr>
            <w:r>
              <w:rPr>
                <w:rFonts w:ascii="微軟正黑體" w:hAnsi="微軟正黑體"/>
                <w:b/>
                <w:sz w:val="17"/>
              </w:rPr>
              <w:t>CERPS 正式檢定</w:t>
            </w:r>
          </w:p>
        </w:tc>
        <w:tc>
          <w:tcPr>
            <w:tcW w:type="dxa" w:w="2016"/>
            <w:vAlign w:val="center"/>
            <w:shd w:fill="FFF2E6"/>
          </w:tcPr>
          <w:p>
            <w:pPr>
              <w:spacing w:before="40" w:after="40" w:line="252" w:lineRule="auto"/>
            </w:pPr>
            <w:r>
              <w:rPr>
                <w:rFonts w:ascii="微軟正黑體" w:hAnsi="微軟正黑體"/>
                <w:b/>
                <w:sz w:val="17"/>
              </w:rPr>
              <w:t>參加 CERPS 官方證照考試 / 繳交專案成果</w:t>
            </w:r>
          </w:p>
        </w:tc>
        <w:tc>
          <w:tcPr>
            <w:tcW w:type="dxa" w:w="2016"/>
            <w:vAlign w:val="center"/>
            <w:shd w:fill="FFF2E6"/>
          </w:tcPr>
          <w:p>
            <w:pPr>
              <w:spacing w:before="40" w:after="40" w:line="252" w:lineRule="auto"/>
            </w:pPr>
            <w:r>
              <w:rPr>
                <w:rFonts w:ascii="微軟正黑體" w:hAnsi="微軟正黑體"/>
                <w:b/>
                <w:sz w:val="17"/>
              </w:rPr>
              <w:t>取得中華企業資源規劃學會專業認證</w:t>
            </w:r>
          </w:p>
        </w:tc>
      </w:tr>
    </w:tbl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