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出退勤管理規程（雛形）</w:t>
      </w:r>
    </w:p>
    <w:bookmarkStart w:id="53" w:name="出退勤管理規程"/>
    <w:p>
      <w:pPr>
        <w:pStyle w:val="Heading1"/>
      </w:pPr>
      <w:r>
        <w:t xml:space="preserve">出退勤管理規程</w:t>
      </w:r>
    </w:p>
    <w:bookmarkStart w:id="23" w:name="第1章-総則"/>
    <w:p>
      <w:pPr>
        <w:pStyle w:val="Heading2"/>
      </w:pPr>
      <w:r>
        <w:t xml:space="preserve">第1章 総則</w:t>
      </w:r>
    </w:p>
    <w:bookmarkStart w:id="20" w:name="第1条目的"/>
    <w:p>
      <w:pPr>
        <w:pStyle w:val="Heading3"/>
      </w:pPr>
      <w:r>
        <w:t xml:space="preserve">第1条（目的）</w:t>
      </w:r>
    </w:p>
    <w:p>
      <w:pPr>
        <w:pStyle w:val="FirstParagraph"/>
      </w:pPr>
      <w:r>
        <w:t xml:space="preserve">本規程は、株式会社〇〇（以下「会社」という）における従業員の出退勤管理に関し、その方法および手続き等を定めることを目的とする。</w:t>
      </w:r>
    </w:p>
    <w:bookmarkEnd w:id="20"/>
    <w:bookmarkStart w:id="21" w:name="第2条適用範囲"/>
    <w:p>
      <w:pPr>
        <w:pStyle w:val="Heading3"/>
      </w:pPr>
      <w:r>
        <w:t xml:space="preserve">第2条（適用範囲）</w:t>
      </w:r>
    </w:p>
    <w:p>
      <w:pPr>
        <w:pStyle w:val="FirstParagraph"/>
      </w:pPr>
      <w:r>
        <w:t xml:space="preserve">本規程は、会社に雇用される全ての従業員に適用する。</w:t>
      </w:r>
    </w:p>
    <w:bookmarkEnd w:id="21"/>
    <w:bookmarkStart w:id="22" w:name="第3条定義"/>
    <w:p>
      <w:pPr>
        <w:pStyle w:val="Heading3"/>
      </w:pPr>
      <w:r>
        <w:t xml:space="preserve">第3条（定義）</w:t>
      </w:r>
    </w:p>
    <w:p>
      <w:pPr>
        <w:pStyle w:val="FirstParagraph"/>
      </w:pPr>
      <w:r>
        <w:t xml:space="preserve">本規程における用語の定義は、次のとおりとする。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出勤</w:t>
      </w:r>
      <w:r>
        <w:t xml:space="preserve">: 所定の始業時刻までに業務を開始すること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退勤</w:t>
      </w:r>
      <w:r>
        <w:t xml:space="preserve">: 所定の終業時刻以降に業務を終了すること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所定労働時間</w:t>
      </w:r>
      <w:r>
        <w:t xml:space="preserve">: 就業規則で定める労働時間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時間外労働</w:t>
      </w:r>
      <w:r>
        <w:t xml:space="preserve">: 所定労働時間を超える労働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休日労働</w:t>
      </w:r>
      <w:r>
        <w:t xml:space="preserve">: 所定休日における労働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第2章-出退勤の記録"/>
    <w:p>
      <w:pPr>
        <w:pStyle w:val="Heading2"/>
      </w:pPr>
      <w:r>
        <w:t xml:space="preserve">第2章 出退勤の記録</w:t>
      </w:r>
    </w:p>
    <w:bookmarkStart w:id="24" w:name="第4条打刻義務"/>
    <w:p>
      <w:pPr>
        <w:pStyle w:val="Heading3"/>
      </w:pPr>
      <w:r>
        <w:t xml:space="preserve">第4条（打刻義務）</w:t>
      </w:r>
    </w:p>
    <w:p>
      <w:pPr>
        <w:pStyle w:val="FirstParagraph"/>
      </w:pPr>
      <w:r>
        <w:t xml:space="preserve">従業員は、出勤時および退勤時に、所定の方法により打刻しなければならない。</w:t>
      </w:r>
    </w:p>
    <w:p>
      <w:pPr>
        <w:numPr>
          <w:ilvl w:val="0"/>
          <w:numId w:val="1002"/>
        </w:numPr>
        <w:pStyle w:val="Compact"/>
      </w:pPr>
      <w:r>
        <w:t xml:space="preserve">出勤時： 始業時刻前に打刻する</w:t>
      </w:r>
    </w:p>
    <w:p>
      <w:pPr>
        <w:numPr>
          <w:ilvl w:val="0"/>
          <w:numId w:val="1002"/>
        </w:numPr>
        <w:pStyle w:val="Compact"/>
      </w:pPr>
      <w:r>
        <w:t xml:space="preserve">退勤時： 終業時刻後に打刻する</w:t>
      </w:r>
    </w:p>
    <w:p>
      <w:pPr>
        <w:numPr>
          <w:ilvl w:val="0"/>
          <w:numId w:val="1002"/>
        </w:numPr>
        <w:pStyle w:val="Compact"/>
      </w:pPr>
      <w:r>
        <w:t xml:space="preserve">休憩開始時および終了時： 所定の方法により記録する</w:t>
      </w:r>
    </w:p>
    <w:bookmarkEnd w:id="24"/>
    <w:bookmarkStart w:id="25" w:name="第5条打刻方法"/>
    <w:p>
      <w:pPr>
        <w:pStyle w:val="Heading3"/>
      </w:pPr>
      <w:r>
        <w:t xml:space="preserve">第5条（打刻方法）</w:t>
      </w:r>
    </w:p>
    <w:p>
      <w:pPr>
        <w:pStyle w:val="FirstParagraph"/>
      </w:pPr>
      <w:r>
        <w:t xml:space="preserve">出退勤の打刻は、次のいずれかの方法により行う。</w:t>
      </w:r>
    </w:p>
    <w:p>
      <w:pPr>
        <w:numPr>
          <w:ilvl w:val="0"/>
          <w:numId w:val="1003"/>
        </w:numPr>
        <w:pStyle w:val="Compact"/>
      </w:pPr>
      <w:r>
        <w:t xml:space="preserve">タイムカードによる打刻</w:t>
      </w:r>
    </w:p>
    <w:p>
      <w:pPr>
        <w:numPr>
          <w:ilvl w:val="0"/>
          <w:numId w:val="1003"/>
        </w:numPr>
        <w:pStyle w:val="Compact"/>
      </w:pPr>
      <w:r>
        <w:t xml:space="preserve">ICカードによる打刻</w:t>
      </w:r>
    </w:p>
    <w:p>
      <w:pPr>
        <w:numPr>
          <w:ilvl w:val="0"/>
          <w:numId w:val="1003"/>
        </w:numPr>
        <w:pStyle w:val="Compact"/>
      </w:pPr>
      <w:r>
        <w:t xml:space="preserve">指紋認証等の生体認証による打刻</w:t>
      </w:r>
    </w:p>
    <w:p>
      <w:pPr>
        <w:numPr>
          <w:ilvl w:val="0"/>
          <w:numId w:val="1003"/>
        </w:numPr>
        <w:pStyle w:val="Compact"/>
      </w:pPr>
      <w:r>
        <w:t xml:space="preserve">会社が指定するその他の方法</w:t>
      </w:r>
    </w:p>
    <w:bookmarkEnd w:id="25"/>
    <w:bookmarkStart w:id="26" w:name="第6条打刻の代行禁止"/>
    <w:p>
      <w:pPr>
        <w:pStyle w:val="Heading3"/>
      </w:pPr>
      <w:r>
        <w:t xml:space="preserve">第6条（打刻の代行禁止**</w:t>
      </w:r>
    </w:p>
    <w:p>
      <w:pPr>
        <w:pStyle w:val="FirstParagraph"/>
      </w:pPr>
      <w:r>
        <w:t xml:space="preserve">従業員は、他の従業員に代わって打刻すること、または他の従業員に打刻を代行させることを禁止する。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第3章-遅刻早退欠勤"/>
    <w:p>
      <w:pPr>
        <w:pStyle w:val="Heading2"/>
      </w:pPr>
      <w:r>
        <w:t xml:space="preserve">第3章 遅刻・早退・欠勤</w:t>
      </w:r>
    </w:p>
    <w:bookmarkStart w:id="28" w:name="第7条遅刻"/>
    <w:p>
      <w:pPr>
        <w:pStyle w:val="Heading3"/>
      </w:pPr>
      <w:r>
        <w:t xml:space="preserve">第7条（遅刻）</w:t>
      </w:r>
    </w:p>
    <w:p>
      <w:pPr>
        <w:pStyle w:val="FirstParagraph"/>
      </w:pPr>
      <w:r>
        <w:t xml:space="preserve">始業時刻までに出勤しなかった場合、遅刻とみなす。遅刻した従業員は、直ちに上司にその旨を報告しなければならない。</w:t>
      </w:r>
    </w:p>
    <w:bookmarkEnd w:id="28"/>
    <w:bookmarkStart w:id="29" w:name="第8条早退"/>
    <w:p>
      <w:pPr>
        <w:pStyle w:val="Heading3"/>
      </w:pPr>
      <w:r>
        <w:t xml:space="preserve">第8条（早退）</w:t>
      </w:r>
    </w:p>
    <w:p>
      <w:pPr>
        <w:pStyle w:val="FirstParagraph"/>
      </w:pPr>
      <w:r>
        <w:t xml:space="preserve">終業時刻前に退勤する場合、早退とみなす。早退する従業員は、事前に上司の承認を得なければならない。</w:t>
      </w:r>
    </w:p>
    <w:bookmarkEnd w:id="29"/>
    <w:bookmarkStart w:id="30" w:name="第9条欠勤"/>
    <w:p>
      <w:pPr>
        <w:pStyle w:val="Heading3"/>
      </w:pPr>
      <w:r>
        <w:t xml:space="preserve">第9条（欠勤）</w:t>
      </w:r>
    </w:p>
    <w:p>
      <w:pPr>
        <w:pStyle w:val="FirstParagraph"/>
      </w:pPr>
      <w:r>
        <w:t xml:space="preserve">勤務すべき日に勤務しない場合、欠勤とみなす。欠勤する従業員は、次のとおり手続きを行わなければならない。</w:t>
      </w:r>
    </w:p>
    <w:p>
      <w:pPr>
        <w:numPr>
          <w:ilvl w:val="0"/>
          <w:numId w:val="1004"/>
        </w:numPr>
        <w:pStyle w:val="Compact"/>
      </w:pPr>
      <w:r>
        <w:t xml:space="preserve">病気または負傷による欠勤： 始業時刻までに上司に連絡する</w:t>
      </w:r>
    </w:p>
    <w:p>
      <w:pPr>
        <w:numPr>
          <w:ilvl w:val="0"/>
          <w:numId w:val="1004"/>
        </w:numPr>
        <w:pStyle w:val="Compact"/>
      </w:pPr>
      <w:r>
        <w:t xml:space="preserve">事由による欠勤： 原則として前日までに上司の承認を得る</w:t>
      </w:r>
    </w:p>
    <w:p>
      <w:pPr>
        <w:numPr>
          <w:ilvl w:val="0"/>
          <w:numId w:val="1004"/>
        </w:numPr>
        <w:pStyle w:val="Compact"/>
      </w:pPr>
      <w:r>
        <w:t xml:space="preserve">その他の事由： 直ちに上司に連絡し、事後に欠勤届を提出する</w:t>
      </w:r>
    </w:p>
    <w:bookmarkEnd w:id="30"/>
    <w:bookmarkStart w:id="31" w:name="第10条遅刻早退欠勤の給与"/>
    <w:p>
      <w:pPr>
        <w:pStyle w:val="Heading3"/>
      </w:pPr>
      <w:r>
        <w:t xml:space="preserve">第10条（遅刻・早退・欠勤の給与**</w:t>
      </w:r>
    </w:p>
    <w:p>
      <w:pPr>
        <w:pStyle w:val="FirstParagraph"/>
      </w:pPr>
      <w:r>
        <w:t xml:space="preserve">遅刻・早退・欠勤による減給は、就業規則および給与規程の定めるところによる。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4章-休憩休息"/>
    <w:p>
      <w:pPr>
        <w:pStyle w:val="Heading2"/>
      </w:pPr>
      <w:r>
        <w:t xml:space="preserve">第4章 休憩・休息</w:t>
      </w:r>
    </w:p>
    <w:bookmarkStart w:id="33" w:name="第11条休憩"/>
    <w:p>
      <w:pPr>
        <w:pStyle w:val="Heading3"/>
      </w:pPr>
      <w:r>
        <w:t xml:space="preserve">第11条（休憩）</w:t>
      </w:r>
    </w:p>
    <w:p>
      <w:pPr>
        <w:pStyle w:val="FirstParagraph"/>
      </w:pPr>
      <w:r>
        <w:t xml:space="preserve">会社は、労働基準法の定めるところにより、次の休憩を与える。</w:t>
      </w:r>
    </w:p>
    <w:p>
      <w:pPr>
        <w:numPr>
          <w:ilvl w:val="0"/>
          <w:numId w:val="1005"/>
        </w:numPr>
        <w:pStyle w:val="Compact"/>
      </w:pPr>
      <w:r>
        <w:t xml:space="preserve">労働時間が6時間を超える場合： 45分以上</w:t>
      </w:r>
    </w:p>
    <w:p>
      <w:pPr>
        <w:numPr>
          <w:ilvl w:val="0"/>
          <w:numId w:val="1005"/>
        </w:numPr>
        <w:pStyle w:val="Compact"/>
      </w:pPr>
      <w:r>
        <w:t xml:space="preserve">労働時間が8時間を超える場合： 1時間以上</w:t>
      </w:r>
    </w:p>
    <w:bookmarkEnd w:id="33"/>
    <w:bookmarkStart w:id="34" w:name="第12条休憩の取得方法"/>
    <w:p>
      <w:pPr>
        <w:pStyle w:val="Heading3"/>
      </w:pPr>
      <w:r>
        <w:t xml:space="preserve">第12条（休憩の取得方法）</w:t>
      </w:r>
    </w:p>
    <w:p>
      <w:pPr>
        <w:pStyle w:val="FirstParagraph"/>
      </w:pPr>
      <w:r>
        <w:t xml:space="preserve">休憩は、一括して取得することを原則とする。ただし、業務の都合により分割して取得する場合は、上司の承認を得るものとする。</w:t>
      </w:r>
    </w:p>
    <w:bookmarkEnd w:id="34"/>
    <w:bookmarkStart w:id="35" w:name="第13条休息"/>
    <w:p>
      <w:pPr>
        <w:pStyle w:val="Heading3"/>
      </w:pPr>
      <w:r>
        <w:t xml:space="preserve">第13条（休息）</w:t>
      </w:r>
    </w:p>
    <w:p>
      <w:pPr>
        <w:pStyle w:val="FirstParagraph"/>
      </w:pPr>
      <w:r>
        <w:t xml:space="preserve">業務の性質上、連続して長時間労働する場合、適宜休息をとるものとする。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第5章-時間外労働休日労働"/>
    <w:p>
      <w:pPr>
        <w:pStyle w:val="Heading2"/>
      </w:pPr>
      <w:r>
        <w:t xml:space="preserve">第5章 時間外労働・休日労働</w:t>
      </w:r>
    </w:p>
    <w:bookmarkStart w:id="37" w:name="第14条時間外労働の命令"/>
    <w:p>
      <w:pPr>
        <w:pStyle w:val="Heading3"/>
      </w:pPr>
      <w:r>
        <w:t xml:space="preserve">第14条（時間外労働の命令）</w:t>
      </w:r>
    </w:p>
    <w:p>
      <w:pPr>
        <w:pStyle w:val="FirstParagraph"/>
      </w:pPr>
      <w:r>
        <w:t xml:space="preserve">業務の都合により必要がある場合、会社は従業員に時間外労働を命ずることができる。この場合、従業員は正当な理由なく拒否してはならない。</w:t>
      </w:r>
    </w:p>
    <w:bookmarkEnd w:id="37"/>
    <w:bookmarkStart w:id="38" w:name="第15条時間外労働の手続き"/>
    <w:p>
      <w:pPr>
        <w:pStyle w:val="Heading3"/>
      </w:pPr>
      <w:r>
        <w:t xml:space="preserve">第15条（時間外労働の手続き）</w:t>
      </w:r>
    </w:p>
    <w:p>
      <w:pPr>
        <w:pStyle w:val="FirstParagraph"/>
      </w:pPr>
      <w:r>
        <w:t xml:space="preserve">時間外労働を行う場合、従業員は事前に時間外労働届を提出し、上司の承認を得なければならない。</w:t>
      </w:r>
    </w:p>
    <w:bookmarkEnd w:id="38"/>
    <w:bookmarkStart w:id="39" w:name="第16条休日労働の手続き"/>
    <w:p>
      <w:pPr>
        <w:pStyle w:val="Heading3"/>
      </w:pPr>
      <w:r>
        <w:t xml:space="preserve">第16条（休日労働の手続き）</w:t>
      </w:r>
    </w:p>
    <w:p>
      <w:pPr>
        <w:pStyle w:val="FirstParagraph"/>
      </w:pPr>
      <w:r>
        <w:t xml:space="preserve">休日に労働する場合、従業員は事前に休日労働届を提出し、上司の承認を得なければならない。</w:t>
      </w:r>
    </w:p>
    <w:bookmarkEnd w:id="39"/>
    <w:bookmarkStart w:id="40" w:name="第17条時間外労働休日労働の限度"/>
    <w:p>
      <w:pPr>
        <w:pStyle w:val="Heading3"/>
      </w:pPr>
      <w:r>
        <w:t xml:space="preserve">第17条（時間外労働・休日労働の限度）</w:t>
      </w:r>
    </w:p>
    <w:p>
      <w:pPr>
        <w:pStyle w:val="FirstParagraph"/>
      </w:pPr>
      <w:r>
        <w:t xml:space="preserve">時間外労働および休日労働は、労働基準法および関連法規の定める限度を超えないものとする。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6章-勤務状況の確認"/>
    <w:p>
      <w:pPr>
        <w:pStyle w:val="Heading2"/>
      </w:pPr>
      <w:r>
        <w:t xml:space="preserve">第6章 勤務状況の確認</w:t>
      </w:r>
    </w:p>
    <w:bookmarkStart w:id="42" w:name="第18条勤務表の作成"/>
    <w:p>
      <w:pPr>
        <w:pStyle w:val="Heading3"/>
      </w:pPr>
      <w:r>
        <w:t xml:space="preserve">第18条（勤務表の作成）</w:t>
      </w:r>
    </w:p>
    <w:p>
      <w:pPr>
        <w:pStyle w:val="FirstParagraph"/>
      </w:pPr>
      <w:r>
        <w:t xml:space="preserve">人事部は、毎月従業員の勤務状況を記載した勤務表を作成し、これを保管する。</w:t>
      </w:r>
    </w:p>
    <w:bookmarkEnd w:id="42"/>
    <w:bookmarkStart w:id="43" w:name="第19条勤務状況の確認"/>
    <w:p>
      <w:pPr>
        <w:pStyle w:val="Heading3"/>
      </w:pPr>
      <w:r>
        <w:t xml:space="preserve">第19条（勤務状況の確認）</w:t>
      </w:r>
    </w:p>
    <w:p>
      <w:pPr>
        <w:pStyle w:val="FirstParagraph"/>
      </w:pPr>
      <w:r>
        <w:t xml:space="preserve">従業員は、毎月の勤務状況を確認し、内容に誤りがある場合は、速やかに人事部に申し出るものとする。</w:t>
      </w:r>
    </w:p>
    <w:bookmarkEnd w:id="43"/>
    <w:bookmarkStart w:id="44" w:name="第20条勤怠記録の保存"/>
    <w:p>
      <w:pPr>
        <w:pStyle w:val="Heading3"/>
      </w:pPr>
      <w:r>
        <w:t xml:space="preserve">第20条（勤怠記録の保存**</w:t>
      </w:r>
    </w:p>
    <w:p>
      <w:pPr>
        <w:pStyle w:val="FirstParagraph"/>
      </w:pPr>
      <w:r>
        <w:t xml:space="preserve">勤怠記録は、労働基準法の定めるところにより、3年間保存する。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第7章-出張"/>
    <w:p>
      <w:pPr>
        <w:pStyle w:val="Heading2"/>
      </w:pPr>
      <w:r>
        <w:t xml:space="preserve">第7章 出張</w:t>
      </w:r>
    </w:p>
    <w:bookmarkStart w:id="46" w:name="第21条出張の手続き"/>
    <w:p>
      <w:pPr>
        <w:pStyle w:val="Heading3"/>
      </w:pPr>
      <w:r>
        <w:t xml:space="preserve">第21条（出張の手続き）</w:t>
      </w:r>
    </w:p>
    <w:p>
      <w:pPr>
        <w:pStyle w:val="FirstParagraph"/>
      </w:pPr>
      <w:r>
        <w:t xml:space="preserve">出張する場合、従業員は事前に出張届を提出し、上司の承認を得なければならない。</w:t>
      </w:r>
    </w:p>
    <w:bookmarkEnd w:id="46"/>
    <w:bookmarkStart w:id="47" w:name="第22条出張中の出退勤"/>
    <w:p>
      <w:pPr>
        <w:pStyle w:val="Heading3"/>
      </w:pPr>
      <w:r>
        <w:t xml:space="preserve">第22条（出張中の出退勤**</w:t>
      </w:r>
    </w:p>
    <w:p>
      <w:pPr>
        <w:pStyle w:val="FirstParagraph"/>
      </w:pPr>
      <w:r>
        <w:t xml:space="preserve">出張中の出退勤については、出張先の状況に応じて適切に記録するものとする。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第8章-雑則"/>
    <w:p>
      <w:pPr>
        <w:pStyle w:val="Heading2"/>
      </w:pPr>
      <w:r>
        <w:t xml:space="preserve">第8章 雑則</w:t>
      </w:r>
    </w:p>
    <w:bookmarkStart w:id="49" w:name="第23条細則"/>
    <w:p>
      <w:pPr>
        <w:pStyle w:val="Heading3"/>
      </w:pPr>
      <w:r>
        <w:t xml:space="preserve">第23条（細則）</w:t>
      </w:r>
    </w:p>
    <w:p>
      <w:pPr>
        <w:pStyle w:val="FirstParagraph"/>
      </w:pPr>
      <w:r>
        <w:t xml:space="preserve">本規程の実施に関し必要な事項は、別に定める。</w:t>
      </w:r>
    </w:p>
    <w:bookmarkEnd w:id="49"/>
    <w:bookmarkStart w:id="50" w:name="第24条規程の改廃"/>
    <w:p>
      <w:pPr>
        <w:pStyle w:val="Heading3"/>
      </w:pPr>
      <w:r>
        <w:t xml:space="preserve">第24条（規程の改廃）</w:t>
      </w:r>
    </w:p>
    <w:p>
      <w:pPr>
        <w:pStyle w:val="FirstParagraph"/>
      </w:pPr>
      <w:r>
        <w:t xml:space="preserve">本規程の改廃は、取締役会の決議による。</w:t>
      </w:r>
    </w:p>
    <w:bookmarkEnd w:id="50"/>
    <w:bookmarkStart w:id="51" w:name="第25条施行日"/>
    <w:p>
      <w:pPr>
        <w:pStyle w:val="Heading3"/>
      </w:pPr>
      <w:r>
        <w:t xml:space="preserve">第25条（施行日）</w:t>
      </w:r>
    </w:p>
    <w:p>
      <w:pPr>
        <w:pStyle w:val="FirstParagraph"/>
      </w:pPr>
      <w:r>
        <w:t xml:space="preserve">本規程は、2025年4月1日から施行する。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制定日</w:t>
      </w:r>
      <w:r>
        <w:t xml:space="preserve">: 2025年2月25日</w:t>
      </w:r>
      <w:r>
        <w:t xml:space="preserve"> </w:t>
      </w:r>
      <w:r>
        <w:rPr>
          <w:bCs/>
          <w:b/>
        </w:rPr>
        <w:t xml:space="preserve">株式会社〇〇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出退勤管理規程（雛形）</dc:title>
  <dc:creator/>
  <cp:category>regulation</cp:category>
  <cp:keywords/>
  <dcterms:created xsi:type="dcterms:W3CDTF">2026-10-07T23:31:40Z</dcterms:created>
  <dcterms:modified xsi:type="dcterms:W3CDTF">2026-10-07T23:31:40Z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ble_to">
    <vt:lpwstr/>
  </property>
  <property fmtid="{D5CDD505-2E9C-101B-9397-08002B2CF9AE}" pid="3" name="created_at">
    <vt:lpwstr>2025-02-25</vt:lpwstr>
  </property>
  <property fmtid="{D5CDD505-2E9C-101B-9397-08002B2CF9AE}" pid="4" name="created_by">
    <vt:lpwstr>hr-team</vt:lpwstr>
  </property>
  <property fmtid="{D5CDD505-2E9C-101B-9397-08002B2CF9AE}" pid="5" name="id">
    <vt:lpwstr>template-attendance-policy-001</vt:lpwstr>
  </property>
  <property fmtid="{D5CDD505-2E9C-101B-9397-08002B2CF9AE}" pid="6" name="next_review">
    <vt:lpwstr>2026-02-25</vt:lpwstr>
  </property>
  <property fmtid="{D5CDD505-2E9C-101B-9397-08002B2CF9AE}" pid="7" name="review_frequency">
    <vt:lpwstr>annual</vt:lpwstr>
  </property>
  <property fmtid="{D5CDD505-2E9C-101B-9397-08002B2CF9AE}" pid="8" name="tags">
    <vt:lpwstr/>
  </property>
  <property fmtid="{D5CDD505-2E9C-101B-9397-08002B2CF9AE}" pid="9" name="type">
    <vt:lpwstr>attendance-policy</vt:lpwstr>
  </property>
  <property fmtid="{D5CDD505-2E9C-101B-9397-08002B2CF9AE}" pid="10" name="version">
    <vt:lpwstr>1</vt:lpwstr>
  </property>
</Properties>
</file>